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5649BD" w14:textId="77777777" w:rsidR="00E44A21" w:rsidRPr="00472732" w:rsidRDefault="00E44A21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1BD66F81" w14:textId="77777777" w:rsidR="00E44A21" w:rsidRPr="00472732" w:rsidRDefault="00E44A21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35E62BA1" w14:textId="77777777" w:rsidR="00E44A21" w:rsidRPr="00472732" w:rsidRDefault="00E44A21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46663C5B" w14:textId="77777777" w:rsidR="00E44A21" w:rsidRPr="00472732" w:rsidRDefault="00E44A21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5B26442D" w14:textId="77777777" w:rsidR="00E44A21" w:rsidRPr="00472732" w:rsidRDefault="00E44A21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43D739A9" w14:textId="77777777" w:rsidR="00E44A21" w:rsidRPr="00472732" w:rsidRDefault="00E44A21" w:rsidP="005815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3DB214C" w14:textId="77777777" w:rsidR="00F00FB0" w:rsidRPr="00472732" w:rsidRDefault="00F00FB0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472732">
        <w:rPr>
          <w:rFonts w:ascii="Arial" w:hAnsi="Arial" w:cs="Arial"/>
          <w:b/>
          <w:bCs/>
          <w:sz w:val="22"/>
          <w:szCs w:val="22"/>
        </w:rPr>
        <w:t>Programme: BSc (Hons) Health and Social Care</w:t>
      </w:r>
    </w:p>
    <w:p w14:paraId="7899217F" w14:textId="77777777" w:rsidR="00F00FB0" w:rsidRPr="00472732" w:rsidRDefault="00F00FB0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472732">
        <w:rPr>
          <w:rFonts w:ascii="Arial" w:hAnsi="Arial" w:cs="Arial"/>
          <w:b/>
          <w:bCs/>
          <w:sz w:val="22"/>
          <w:szCs w:val="22"/>
        </w:rPr>
        <w:t>Module: Empowering the Older Person</w:t>
      </w:r>
    </w:p>
    <w:p w14:paraId="55002EF5" w14:textId="25A6EA84" w:rsidR="00E44A21" w:rsidRPr="00472732" w:rsidRDefault="00F00FB0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472732">
        <w:rPr>
          <w:rFonts w:ascii="Arial" w:hAnsi="Arial" w:cs="Arial"/>
          <w:b/>
          <w:bCs/>
          <w:sz w:val="22"/>
          <w:szCs w:val="22"/>
        </w:rPr>
        <w:t>Module code: BMHP6027</w:t>
      </w:r>
    </w:p>
    <w:p w14:paraId="3EC5C11A" w14:textId="2B67BF56" w:rsidR="00F00FB0" w:rsidRPr="00472732" w:rsidRDefault="00F00FB0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472732">
        <w:rPr>
          <w:rFonts w:ascii="Arial" w:hAnsi="Arial" w:cs="Arial"/>
          <w:b/>
          <w:bCs/>
          <w:sz w:val="22"/>
          <w:szCs w:val="22"/>
        </w:rPr>
        <w:t>Title: “</w:t>
      </w:r>
      <w:r w:rsidR="00550578" w:rsidRPr="00472732">
        <w:rPr>
          <w:rFonts w:ascii="Arial" w:hAnsi="Arial" w:cs="Arial"/>
          <w:b/>
          <w:bCs/>
          <w:sz w:val="22"/>
          <w:szCs w:val="22"/>
        </w:rPr>
        <w:t>“Dementia patients are better supported by family caregivers than professional caregivers</w:t>
      </w:r>
      <w:r w:rsidRPr="00472732">
        <w:rPr>
          <w:rFonts w:ascii="Arial" w:hAnsi="Arial" w:cs="Arial"/>
          <w:b/>
          <w:bCs/>
          <w:sz w:val="22"/>
          <w:szCs w:val="22"/>
        </w:rPr>
        <w:t>”</w:t>
      </w:r>
    </w:p>
    <w:p w14:paraId="5C570AC4" w14:textId="77777777" w:rsidR="0079417B" w:rsidRDefault="0079417B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770FA11B" w14:textId="77777777" w:rsidR="0079417B" w:rsidRDefault="0079417B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18889389" w14:textId="77777777" w:rsidR="0079417B" w:rsidRDefault="0079417B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2D9E0F2B" w14:textId="77777777" w:rsidR="0079417B" w:rsidRDefault="0079417B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7D509600" w14:textId="77777777" w:rsidR="0079417B" w:rsidRDefault="0079417B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267029A4" w14:textId="77777777" w:rsidR="0079417B" w:rsidRDefault="0079417B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1769D95E" w14:textId="77777777" w:rsidR="0079417B" w:rsidRDefault="0079417B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5DA6FF0B" w14:textId="77777777" w:rsidR="0079417B" w:rsidRDefault="0079417B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2C0AC221" w14:textId="77777777" w:rsidR="0079417B" w:rsidRDefault="0079417B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2D5CC432" w14:textId="2AD3D96E" w:rsidR="00F00FB0" w:rsidRPr="00472732" w:rsidRDefault="00F00FB0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472732">
        <w:rPr>
          <w:rFonts w:ascii="Arial" w:hAnsi="Arial" w:cs="Arial"/>
          <w:b/>
          <w:bCs/>
          <w:sz w:val="22"/>
          <w:szCs w:val="22"/>
        </w:rPr>
        <w:t>Student Name:</w:t>
      </w:r>
      <w:r w:rsidR="00FF1368">
        <w:rPr>
          <w:rFonts w:ascii="Arial" w:hAnsi="Arial" w:cs="Arial"/>
          <w:b/>
          <w:bCs/>
          <w:sz w:val="22"/>
          <w:szCs w:val="22"/>
        </w:rPr>
        <w:t xml:space="preserve"> </w:t>
      </w:r>
      <w:r w:rsidR="0079417B">
        <w:rPr>
          <w:rFonts w:ascii="Arial" w:hAnsi="Arial" w:cs="Arial"/>
          <w:b/>
          <w:bCs/>
          <w:sz w:val="22"/>
          <w:szCs w:val="22"/>
        </w:rPr>
        <w:t>G</w:t>
      </w:r>
      <w:r w:rsidR="006831E3">
        <w:rPr>
          <w:rFonts w:ascii="Arial" w:hAnsi="Arial" w:cs="Arial"/>
          <w:b/>
          <w:bCs/>
          <w:sz w:val="22"/>
          <w:szCs w:val="22"/>
        </w:rPr>
        <w:t>abriela Emilia Gheorghe</w:t>
      </w:r>
    </w:p>
    <w:p w14:paraId="0D4B7857" w14:textId="27FE0B44" w:rsidR="00F00FB0" w:rsidRPr="00472732" w:rsidRDefault="00F00FB0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472732">
        <w:rPr>
          <w:rFonts w:ascii="Arial" w:hAnsi="Arial" w:cs="Arial"/>
          <w:b/>
          <w:bCs/>
          <w:sz w:val="22"/>
          <w:szCs w:val="22"/>
        </w:rPr>
        <w:t>Student ID Number:</w:t>
      </w:r>
      <w:r w:rsidR="006831E3">
        <w:rPr>
          <w:rFonts w:ascii="Arial" w:hAnsi="Arial" w:cs="Arial"/>
          <w:b/>
          <w:bCs/>
          <w:sz w:val="22"/>
          <w:szCs w:val="22"/>
        </w:rPr>
        <w:t>2310506</w:t>
      </w:r>
    </w:p>
    <w:p w14:paraId="03A19B2C" w14:textId="77777777" w:rsidR="00F00FB0" w:rsidRPr="00472732" w:rsidRDefault="00F00FB0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19FC706A" w14:textId="77777777" w:rsidR="00F00FB0" w:rsidRPr="00472732" w:rsidRDefault="00F00FB0" w:rsidP="00581594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</w:p>
    <w:p w14:paraId="0FBF981A" w14:textId="77777777" w:rsidR="00F00FB0" w:rsidRPr="00472732" w:rsidRDefault="00F00FB0" w:rsidP="0058159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A7465A3" w14:textId="40BACA7D" w:rsidR="00550578" w:rsidRPr="00581594" w:rsidRDefault="002C55E6" w:rsidP="00581594">
      <w:pPr>
        <w:pStyle w:val="Heading1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0" w:name="_Toc224230515"/>
      <w:r w:rsidRPr="00472732">
        <w:rPr>
          <w:rFonts w:ascii="Arial" w:hAnsi="Arial" w:cs="Arial"/>
          <w:b/>
          <w:bCs/>
          <w:color w:val="auto"/>
          <w:sz w:val="22"/>
          <w:szCs w:val="22"/>
        </w:rPr>
        <w:t>References</w:t>
      </w:r>
      <w:bookmarkEnd w:id="0"/>
    </w:p>
    <w:p w14:paraId="2A0E6BB2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A90166">
        <w:rPr>
          <w:rFonts w:ascii="Arial" w:hAnsi="Arial" w:cs="Arial"/>
          <w:sz w:val="22"/>
          <w:szCs w:val="22"/>
        </w:rPr>
        <w:t>Abdelhalim, D.S., Ahmed, M.M., Hussein, H.A., Khalaf, O.O. and Sarhan, M.D. (2024). Burden of care, depression, and anxiety among family caregivers of people with dementia. </w:t>
      </w:r>
      <w:r w:rsidRPr="00A90166">
        <w:rPr>
          <w:rFonts w:ascii="Arial" w:hAnsi="Arial" w:cs="Arial"/>
          <w:i/>
          <w:iCs/>
          <w:sz w:val="22"/>
          <w:szCs w:val="22"/>
        </w:rPr>
        <w:t>Journal of Primary Care &amp; Community Health</w:t>
      </w:r>
      <w:r w:rsidRPr="00A90166">
        <w:rPr>
          <w:rFonts w:ascii="Arial" w:hAnsi="Arial" w:cs="Arial"/>
          <w:sz w:val="22"/>
          <w:szCs w:val="22"/>
        </w:rPr>
        <w:t>, </w:t>
      </w:r>
      <w:r w:rsidRPr="00A90166">
        <w:rPr>
          <w:rFonts w:ascii="Arial" w:hAnsi="Arial" w:cs="Arial"/>
          <w:i/>
          <w:iCs/>
          <w:sz w:val="22"/>
          <w:szCs w:val="22"/>
        </w:rPr>
        <w:t>15</w:t>
      </w:r>
      <w:r w:rsidRPr="00A90166">
        <w:rPr>
          <w:rFonts w:ascii="Arial" w:hAnsi="Arial" w:cs="Arial"/>
          <w:sz w:val="22"/>
          <w:szCs w:val="22"/>
        </w:rPr>
        <w:t>, p.21501319241288029.</w:t>
      </w:r>
    </w:p>
    <w:p w14:paraId="06466728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proofErr w:type="spellStart"/>
      <w:r w:rsidRPr="00A90166">
        <w:rPr>
          <w:rFonts w:ascii="Arial" w:hAnsi="Arial" w:cs="Arial"/>
          <w:sz w:val="22"/>
          <w:szCs w:val="22"/>
        </w:rPr>
        <w:t>Boumans</w:t>
      </w:r>
      <w:proofErr w:type="spellEnd"/>
      <w:r w:rsidRPr="00A90166">
        <w:rPr>
          <w:rFonts w:ascii="Arial" w:hAnsi="Arial" w:cs="Arial"/>
          <w:sz w:val="22"/>
          <w:szCs w:val="22"/>
        </w:rPr>
        <w:t xml:space="preserve">, J., Van Boekel, L.C., Verbiest, M.E., Baan, C.A. and </w:t>
      </w:r>
      <w:proofErr w:type="spellStart"/>
      <w:r w:rsidRPr="00A90166">
        <w:rPr>
          <w:rFonts w:ascii="Arial" w:hAnsi="Arial" w:cs="Arial"/>
          <w:sz w:val="22"/>
          <w:szCs w:val="22"/>
        </w:rPr>
        <w:t>Luijkx</w:t>
      </w:r>
      <w:proofErr w:type="spellEnd"/>
      <w:r w:rsidRPr="00A90166">
        <w:rPr>
          <w:rFonts w:ascii="Arial" w:hAnsi="Arial" w:cs="Arial"/>
          <w:sz w:val="22"/>
          <w:szCs w:val="22"/>
        </w:rPr>
        <w:t>, K.G. (2022). Exploring how residential care facilities can enhance the autonomy of people with dementia and improve informal care. </w:t>
      </w:r>
      <w:r w:rsidRPr="00A90166">
        <w:rPr>
          <w:rFonts w:ascii="Arial" w:hAnsi="Arial" w:cs="Arial"/>
          <w:i/>
          <w:iCs/>
          <w:sz w:val="22"/>
          <w:szCs w:val="22"/>
        </w:rPr>
        <w:t>Dementia</w:t>
      </w:r>
      <w:r w:rsidRPr="00A90166">
        <w:rPr>
          <w:rFonts w:ascii="Arial" w:hAnsi="Arial" w:cs="Arial"/>
          <w:sz w:val="22"/>
          <w:szCs w:val="22"/>
        </w:rPr>
        <w:t>, </w:t>
      </w:r>
      <w:r w:rsidRPr="00A90166">
        <w:rPr>
          <w:rFonts w:ascii="Arial" w:hAnsi="Arial" w:cs="Arial"/>
          <w:i/>
          <w:iCs/>
          <w:sz w:val="22"/>
          <w:szCs w:val="22"/>
        </w:rPr>
        <w:t>21</w:t>
      </w:r>
      <w:r w:rsidRPr="00A90166">
        <w:rPr>
          <w:rFonts w:ascii="Arial" w:hAnsi="Arial" w:cs="Arial"/>
          <w:sz w:val="22"/>
          <w:szCs w:val="22"/>
        </w:rPr>
        <w:t>(1), pp.136-152.</w:t>
      </w:r>
    </w:p>
    <w:p w14:paraId="55F014B0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A90166">
        <w:rPr>
          <w:rFonts w:ascii="Arial" w:hAnsi="Arial" w:cs="Arial"/>
          <w:sz w:val="22"/>
          <w:szCs w:val="22"/>
        </w:rPr>
        <w:t>Bressan, V., Visintini, C. and Palese, A. (2020). What do family caregivers of people with dementia need? A mixed</w:t>
      </w:r>
      <w:r w:rsidRPr="00A90166">
        <w:rPr>
          <w:rFonts w:ascii="Cambria Math" w:hAnsi="Cambria Math" w:cs="Cambria Math"/>
          <w:sz w:val="22"/>
          <w:szCs w:val="22"/>
        </w:rPr>
        <w:t>‐</w:t>
      </w:r>
      <w:r w:rsidRPr="00A90166">
        <w:rPr>
          <w:rFonts w:ascii="Arial" w:hAnsi="Arial" w:cs="Arial"/>
          <w:sz w:val="22"/>
          <w:szCs w:val="22"/>
        </w:rPr>
        <w:t>method systematic review. </w:t>
      </w:r>
      <w:r w:rsidRPr="00A90166">
        <w:rPr>
          <w:rFonts w:ascii="Arial" w:hAnsi="Arial" w:cs="Arial"/>
          <w:i/>
          <w:iCs/>
          <w:sz w:val="22"/>
          <w:szCs w:val="22"/>
        </w:rPr>
        <w:t>Health &amp; social care in the community</w:t>
      </w:r>
      <w:r w:rsidRPr="00A90166">
        <w:rPr>
          <w:rFonts w:ascii="Arial" w:hAnsi="Arial" w:cs="Arial"/>
          <w:sz w:val="22"/>
          <w:szCs w:val="22"/>
        </w:rPr>
        <w:t>, </w:t>
      </w:r>
      <w:r w:rsidRPr="00A90166">
        <w:rPr>
          <w:rFonts w:ascii="Arial" w:hAnsi="Arial" w:cs="Arial"/>
          <w:i/>
          <w:iCs/>
          <w:sz w:val="22"/>
          <w:szCs w:val="22"/>
        </w:rPr>
        <w:t>28</w:t>
      </w:r>
      <w:r w:rsidRPr="00A90166">
        <w:rPr>
          <w:rFonts w:ascii="Arial" w:hAnsi="Arial" w:cs="Arial"/>
          <w:sz w:val="22"/>
          <w:szCs w:val="22"/>
        </w:rPr>
        <w:t>(6), pp.1942-1960.</w:t>
      </w:r>
    </w:p>
    <w:p w14:paraId="765695C0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A90166">
        <w:rPr>
          <w:rFonts w:ascii="Arial" w:hAnsi="Arial" w:cs="Arial"/>
          <w:sz w:val="22"/>
          <w:szCs w:val="22"/>
        </w:rPr>
        <w:t xml:space="preserve">Cezar, A.G.D., </w:t>
      </w:r>
      <w:proofErr w:type="spellStart"/>
      <w:r w:rsidRPr="00A90166">
        <w:rPr>
          <w:rFonts w:ascii="Arial" w:hAnsi="Arial" w:cs="Arial"/>
          <w:sz w:val="22"/>
          <w:szCs w:val="22"/>
        </w:rPr>
        <w:t>Castanhel</w:t>
      </w:r>
      <w:proofErr w:type="spellEnd"/>
      <w:r w:rsidRPr="00A90166">
        <w:rPr>
          <w:rFonts w:ascii="Arial" w:hAnsi="Arial" w:cs="Arial"/>
          <w:sz w:val="22"/>
          <w:szCs w:val="22"/>
        </w:rPr>
        <w:t xml:space="preserve">, F.D. and </w:t>
      </w:r>
      <w:proofErr w:type="spellStart"/>
      <w:r w:rsidRPr="00A90166">
        <w:rPr>
          <w:rFonts w:ascii="Arial" w:hAnsi="Arial" w:cs="Arial"/>
          <w:sz w:val="22"/>
          <w:szCs w:val="22"/>
        </w:rPr>
        <w:t>Grosseman</w:t>
      </w:r>
      <w:proofErr w:type="spellEnd"/>
      <w:r w:rsidRPr="00A90166">
        <w:rPr>
          <w:rFonts w:ascii="Arial" w:hAnsi="Arial" w:cs="Arial"/>
          <w:sz w:val="22"/>
          <w:szCs w:val="22"/>
        </w:rPr>
        <w:t>, S. (2023). Needs of family members of patients in intensive care and their perception of medical communication. </w:t>
      </w:r>
      <w:r w:rsidRPr="00A90166">
        <w:rPr>
          <w:rFonts w:ascii="Arial" w:hAnsi="Arial" w:cs="Arial"/>
          <w:i/>
          <w:iCs/>
          <w:sz w:val="22"/>
          <w:szCs w:val="22"/>
        </w:rPr>
        <w:t>Critical Care Science</w:t>
      </w:r>
      <w:r w:rsidRPr="00A90166">
        <w:rPr>
          <w:rFonts w:ascii="Arial" w:hAnsi="Arial" w:cs="Arial"/>
          <w:sz w:val="22"/>
          <w:szCs w:val="22"/>
        </w:rPr>
        <w:t>, </w:t>
      </w:r>
      <w:r w:rsidRPr="00A90166">
        <w:rPr>
          <w:rFonts w:ascii="Arial" w:hAnsi="Arial" w:cs="Arial"/>
          <w:i/>
          <w:iCs/>
          <w:sz w:val="22"/>
          <w:szCs w:val="22"/>
        </w:rPr>
        <w:t>35</w:t>
      </w:r>
      <w:r w:rsidRPr="00A90166">
        <w:rPr>
          <w:rFonts w:ascii="Arial" w:hAnsi="Arial" w:cs="Arial"/>
          <w:sz w:val="22"/>
          <w:szCs w:val="22"/>
        </w:rPr>
        <w:t>(1), pp.73-83.</w:t>
      </w:r>
    </w:p>
    <w:p w14:paraId="72BBE394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A90166">
        <w:rPr>
          <w:rFonts w:ascii="Arial" w:hAnsi="Arial" w:cs="Arial"/>
          <w:sz w:val="22"/>
          <w:szCs w:val="22"/>
        </w:rPr>
        <w:t xml:space="preserve">Cianconi, P., Hanife, B., Grillo, F., Lesmana, C.B.J. and </w:t>
      </w:r>
      <w:proofErr w:type="spellStart"/>
      <w:r w:rsidRPr="00A90166">
        <w:rPr>
          <w:rFonts w:ascii="Arial" w:hAnsi="Arial" w:cs="Arial"/>
          <w:sz w:val="22"/>
          <w:szCs w:val="22"/>
        </w:rPr>
        <w:t>Janiri</w:t>
      </w:r>
      <w:proofErr w:type="spellEnd"/>
      <w:r w:rsidRPr="00A90166">
        <w:rPr>
          <w:rFonts w:ascii="Arial" w:hAnsi="Arial" w:cs="Arial"/>
          <w:sz w:val="22"/>
          <w:szCs w:val="22"/>
        </w:rPr>
        <w:t xml:space="preserve">, L. (2023). Eco-emotions and </w:t>
      </w:r>
      <w:proofErr w:type="spellStart"/>
      <w:r w:rsidRPr="00A90166">
        <w:rPr>
          <w:rFonts w:ascii="Arial" w:hAnsi="Arial" w:cs="Arial"/>
          <w:sz w:val="22"/>
          <w:szCs w:val="22"/>
        </w:rPr>
        <w:t>psychoterratic</w:t>
      </w:r>
      <w:proofErr w:type="spellEnd"/>
      <w:r w:rsidRPr="00A90166">
        <w:rPr>
          <w:rFonts w:ascii="Arial" w:hAnsi="Arial" w:cs="Arial"/>
          <w:sz w:val="22"/>
          <w:szCs w:val="22"/>
        </w:rPr>
        <w:t xml:space="preserve"> syndromes: reshaping mental health assessment under climate change. </w:t>
      </w:r>
      <w:r w:rsidRPr="00A90166">
        <w:rPr>
          <w:rFonts w:ascii="Arial" w:hAnsi="Arial" w:cs="Arial"/>
          <w:i/>
          <w:iCs/>
          <w:sz w:val="22"/>
          <w:szCs w:val="22"/>
        </w:rPr>
        <w:t>The Yale journal of biology and medicine</w:t>
      </w:r>
      <w:r w:rsidRPr="00A90166">
        <w:rPr>
          <w:rFonts w:ascii="Arial" w:hAnsi="Arial" w:cs="Arial"/>
          <w:sz w:val="22"/>
          <w:szCs w:val="22"/>
        </w:rPr>
        <w:t>, </w:t>
      </w:r>
      <w:r w:rsidRPr="00A90166">
        <w:rPr>
          <w:rFonts w:ascii="Arial" w:hAnsi="Arial" w:cs="Arial"/>
          <w:i/>
          <w:iCs/>
          <w:sz w:val="22"/>
          <w:szCs w:val="22"/>
        </w:rPr>
        <w:t>96</w:t>
      </w:r>
      <w:r w:rsidRPr="00A90166">
        <w:rPr>
          <w:rFonts w:ascii="Arial" w:hAnsi="Arial" w:cs="Arial"/>
          <w:sz w:val="22"/>
          <w:szCs w:val="22"/>
        </w:rPr>
        <w:t>(2), p.211.</w:t>
      </w:r>
    </w:p>
    <w:p w14:paraId="2D169649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A90166">
        <w:rPr>
          <w:rFonts w:ascii="Arial" w:hAnsi="Arial" w:cs="Arial"/>
          <w:sz w:val="22"/>
          <w:szCs w:val="22"/>
        </w:rPr>
        <w:t>Farhana, N., Peckham, A., Marani, H., Roerig, M. and Marchildon, G. (2023). The social construction of dementia: Implications for healthcare experiences of caregivers and people living with dementia. </w:t>
      </w:r>
      <w:r w:rsidRPr="00A90166">
        <w:rPr>
          <w:rFonts w:ascii="Arial" w:hAnsi="Arial" w:cs="Arial"/>
          <w:i/>
          <w:iCs/>
          <w:sz w:val="22"/>
          <w:szCs w:val="22"/>
        </w:rPr>
        <w:t>Journal of Patient Experience</w:t>
      </w:r>
      <w:r w:rsidRPr="00A90166">
        <w:rPr>
          <w:rFonts w:ascii="Arial" w:hAnsi="Arial" w:cs="Arial"/>
          <w:sz w:val="22"/>
          <w:szCs w:val="22"/>
        </w:rPr>
        <w:t>, </w:t>
      </w:r>
      <w:r w:rsidRPr="00A90166">
        <w:rPr>
          <w:rFonts w:ascii="Arial" w:hAnsi="Arial" w:cs="Arial"/>
          <w:i/>
          <w:iCs/>
          <w:sz w:val="22"/>
          <w:szCs w:val="22"/>
        </w:rPr>
        <w:t>10</w:t>
      </w:r>
      <w:r w:rsidRPr="00A90166">
        <w:rPr>
          <w:rFonts w:ascii="Arial" w:hAnsi="Arial" w:cs="Arial"/>
          <w:sz w:val="22"/>
          <w:szCs w:val="22"/>
        </w:rPr>
        <w:t>, p.23743735231211066.</w:t>
      </w:r>
    </w:p>
    <w:p w14:paraId="56902930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A90166">
        <w:rPr>
          <w:rFonts w:ascii="Arial" w:hAnsi="Arial" w:cs="Arial"/>
          <w:sz w:val="22"/>
          <w:szCs w:val="22"/>
        </w:rPr>
        <w:t>Gaugler, J.E. and, Mitchell L.L. (2022). Reimagining family involvement in residential long-term care. </w:t>
      </w:r>
      <w:r w:rsidRPr="00A90166">
        <w:rPr>
          <w:rFonts w:ascii="Arial" w:hAnsi="Arial" w:cs="Arial"/>
          <w:i/>
          <w:iCs/>
          <w:sz w:val="22"/>
          <w:szCs w:val="22"/>
        </w:rPr>
        <w:t>Journal of the American Medical Directors Association</w:t>
      </w:r>
      <w:r w:rsidRPr="00A90166">
        <w:rPr>
          <w:rFonts w:ascii="Arial" w:hAnsi="Arial" w:cs="Arial"/>
          <w:sz w:val="22"/>
          <w:szCs w:val="22"/>
        </w:rPr>
        <w:t>, </w:t>
      </w:r>
      <w:r w:rsidRPr="00A90166">
        <w:rPr>
          <w:rFonts w:ascii="Arial" w:hAnsi="Arial" w:cs="Arial"/>
          <w:i/>
          <w:iCs/>
          <w:sz w:val="22"/>
          <w:szCs w:val="22"/>
        </w:rPr>
        <w:t>23</w:t>
      </w:r>
      <w:r w:rsidRPr="00A90166">
        <w:rPr>
          <w:rFonts w:ascii="Arial" w:hAnsi="Arial" w:cs="Arial"/>
          <w:sz w:val="22"/>
          <w:szCs w:val="22"/>
        </w:rPr>
        <w:t>(2), pp.235-240.</w:t>
      </w:r>
    </w:p>
    <w:p w14:paraId="7388F8E4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A90166">
        <w:rPr>
          <w:rFonts w:ascii="Arial" w:hAnsi="Arial" w:cs="Arial"/>
          <w:sz w:val="22"/>
          <w:szCs w:val="22"/>
        </w:rPr>
        <w:t>Green, M.R., Hughes, M.C., Afrin, S. and Vernon, E. (2024). Caregiver policies in the United States: a systematic review. </w:t>
      </w:r>
      <w:r w:rsidRPr="00A90166">
        <w:rPr>
          <w:rFonts w:ascii="Arial" w:hAnsi="Arial" w:cs="Arial"/>
          <w:i/>
          <w:iCs/>
          <w:sz w:val="22"/>
          <w:szCs w:val="22"/>
        </w:rPr>
        <w:t>Journal of Public Health Policy</w:t>
      </w:r>
      <w:r w:rsidRPr="00A90166">
        <w:rPr>
          <w:rFonts w:ascii="Arial" w:hAnsi="Arial" w:cs="Arial"/>
          <w:sz w:val="22"/>
          <w:szCs w:val="22"/>
        </w:rPr>
        <w:t>, </w:t>
      </w:r>
      <w:r w:rsidRPr="00A90166">
        <w:rPr>
          <w:rFonts w:ascii="Arial" w:hAnsi="Arial" w:cs="Arial"/>
          <w:i/>
          <w:iCs/>
          <w:sz w:val="22"/>
          <w:szCs w:val="22"/>
        </w:rPr>
        <w:t>46</w:t>
      </w:r>
      <w:r w:rsidRPr="00A90166">
        <w:rPr>
          <w:rFonts w:ascii="Arial" w:hAnsi="Arial" w:cs="Arial"/>
          <w:sz w:val="22"/>
          <w:szCs w:val="22"/>
        </w:rPr>
        <w:t>(1), p.22.</w:t>
      </w:r>
    </w:p>
    <w:p w14:paraId="68C13697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A90166">
        <w:rPr>
          <w:rFonts w:ascii="Arial" w:hAnsi="Arial" w:cs="Arial"/>
          <w:sz w:val="22"/>
          <w:szCs w:val="22"/>
        </w:rPr>
        <w:t>Guedes, J. and Melo, S. (2022). Continuity theory. In </w:t>
      </w:r>
      <w:r w:rsidRPr="00A90166">
        <w:rPr>
          <w:rFonts w:ascii="Arial" w:hAnsi="Arial" w:cs="Arial"/>
          <w:i/>
          <w:iCs/>
          <w:sz w:val="22"/>
          <w:szCs w:val="22"/>
        </w:rPr>
        <w:t>Encyclopedia of gerontology and population aging</w:t>
      </w:r>
      <w:r w:rsidRPr="00A90166">
        <w:rPr>
          <w:rFonts w:ascii="Arial" w:hAnsi="Arial" w:cs="Arial"/>
          <w:sz w:val="22"/>
          <w:szCs w:val="22"/>
        </w:rPr>
        <w:t> (pp. 1170-1180). Cham: Springer International Publishing.</w:t>
      </w:r>
    </w:p>
    <w:p w14:paraId="5758311F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A90166">
        <w:rPr>
          <w:rFonts w:ascii="Arial" w:hAnsi="Arial" w:cs="Arial"/>
          <w:sz w:val="22"/>
          <w:szCs w:val="22"/>
        </w:rPr>
        <w:t xml:space="preserve">Kelly, L., </w:t>
      </w:r>
      <w:proofErr w:type="spellStart"/>
      <w:r w:rsidRPr="00A90166">
        <w:rPr>
          <w:rFonts w:ascii="Arial" w:hAnsi="Arial" w:cs="Arial"/>
          <w:sz w:val="22"/>
          <w:szCs w:val="22"/>
        </w:rPr>
        <w:t>Ahessy</w:t>
      </w:r>
      <w:proofErr w:type="spellEnd"/>
      <w:r w:rsidRPr="00A90166">
        <w:rPr>
          <w:rFonts w:ascii="Arial" w:hAnsi="Arial" w:cs="Arial"/>
          <w:sz w:val="22"/>
          <w:szCs w:val="22"/>
        </w:rPr>
        <w:t xml:space="preserve">, B., Richardson, I. and Moss, H. (2023). Aligning </w:t>
      </w:r>
      <w:proofErr w:type="spellStart"/>
      <w:r w:rsidRPr="00A90166">
        <w:rPr>
          <w:rFonts w:ascii="Arial" w:hAnsi="Arial" w:cs="Arial"/>
          <w:sz w:val="22"/>
          <w:szCs w:val="22"/>
        </w:rPr>
        <w:t>Kitwood’s</w:t>
      </w:r>
      <w:proofErr w:type="spellEnd"/>
      <w:r w:rsidRPr="00A90166">
        <w:rPr>
          <w:rFonts w:ascii="Arial" w:hAnsi="Arial" w:cs="Arial"/>
          <w:sz w:val="22"/>
          <w:szCs w:val="22"/>
        </w:rPr>
        <w:t xml:space="preserve"> model of person-centered dementia care with music therapy practice. </w:t>
      </w:r>
      <w:r w:rsidRPr="00A90166">
        <w:rPr>
          <w:rFonts w:ascii="Arial" w:hAnsi="Arial" w:cs="Arial"/>
          <w:i/>
          <w:iCs/>
          <w:sz w:val="22"/>
          <w:szCs w:val="22"/>
        </w:rPr>
        <w:t>Music Therapy Perspectives</w:t>
      </w:r>
      <w:r w:rsidRPr="00A90166">
        <w:rPr>
          <w:rFonts w:ascii="Arial" w:hAnsi="Arial" w:cs="Arial"/>
          <w:sz w:val="22"/>
          <w:szCs w:val="22"/>
        </w:rPr>
        <w:t>, </w:t>
      </w:r>
      <w:r w:rsidRPr="00A90166">
        <w:rPr>
          <w:rFonts w:ascii="Arial" w:hAnsi="Arial" w:cs="Arial"/>
          <w:i/>
          <w:iCs/>
          <w:sz w:val="22"/>
          <w:szCs w:val="22"/>
        </w:rPr>
        <w:t>41</w:t>
      </w:r>
      <w:r w:rsidRPr="00A90166">
        <w:rPr>
          <w:rFonts w:ascii="Arial" w:hAnsi="Arial" w:cs="Arial"/>
          <w:sz w:val="22"/>
          <w:szCs w:val="22"/>
        </w:rPr>
        <w:t>(2), pp.198-206.</w:t>
      </w:r>
    </w:p>
    <w:p w14:paraId="6D614C2C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A90166">
        <w:rPr>
          <w:rFonts w:ascii="Arial" w:hAnsi="Arial" w:cs="Arial"/>
          <w:sz w:val="22"/>
          <w:szCs w:val="22"/>
        </w:rPr>
        <w:lastRenderedPageBreak/>
        <w:t xml:space="preserve">Khatri, R., </w:t>
      </w:r>
      <w:proofErr w:type="spellStart"/>
      <w:r w:rsidRPr="00A90166">
        <w:rPr>
          <w:rFonts w:ascii="Arial" w:hAnsi="Arial" w:cs="Arial"/>
          <w:sz w:val="22"/>
          <w:szCs w:val="22"/>
        </w:rPr>
        <w:t>Endalamaw</w:t>
      </w:r>
      <w:proofErr w:type="spellEnd"/>
      <w:r w:rsidRPr="00A90166">
        <w:rPr>
          <w:rFonts w:ascii="Arial" w:hAnsi="Arial" w:cs="Arial"/>
          <w:sz w:val="22"/>
          <w:szCs w:val="22"/>
        </w:rPr>
        <w:t xml:space="preserve">, A., </w:t>
      </w:r>
      <w:proofErr w:type="spellStart"/>
      <w:r w:rsidRPr="00A90166">
        <w:rPr>
          <w:rFonts w:ascii="Arial" w:hAnsi="Arial" w:cs="Arial"/>
          <w:sz w:val="22"/>
          <w:szCs w:val="22"/>
        </w:rPr>
        <w:t>Erku</w:t>
      </w:r>
      <w:proofErr w:type="spellEnd"/>
      <w:r w:rsidRPr="00A90166">
        <w:rPr>
          <w:rFonts w:ascii="Arial" w:hAnsi="Arial" w:cs="Arial"/>
          <w:sz w:val="22"/>
          <w:szCs w:val="22"/>
        </w:rPr>
        <w:t xml:space="preserve">, D., </w:t>
      </w:r>
      <w:proofErr w:type="spellStart"/>
      <w:r w:rsidRPr="00A90166">
        <w:rPr>
          <w:rFonts w:ascii="Arial" w:hAnsi="Arial" w:cs="Arial"/>
          <w:sz w:val="22"/>
          <w:szCs w:val="22"/>
        </w:rPr>
        <w:t>Wolka</w:t>
      </w:r>
      <w:proofErr w:type="spellEnd"/>
      <w:r w:rsidRPr="00A90166">
        <w:rPr>
          <w:rFonts w:ascii="Arial" w:hAnsi="Arial" w:cs="Arial"/>
          <w:sz w:val="22"/>
          <w:szCs w:val="22"/>
        </w:rPr>
        <w:t>, E., Nigatu, F., Zewdie, A. and Assefa, Y. (2023). Continuity and care coordination of primary health care: a scoping review. </w:t>
      </w:r>
      <w:r w:rsidRPr="00A90166">
        <w:rPr>
          <w:rFonts w:ascii="Arial" w:hAnsi="Arial" w:cs="Arial"/>
          <w:i/>
          <w:iCs/>
          <w:sz w:val="22"/>
          <w:szCs w:val="22"/>
        </w:rPr>
        <w:t>BMC Health Services Research</w:t>
      </w:r>
      <w:r w:rsidRPr="00A90166">
        <w:rPr>
          <w:rFonts w:ascii="Arial" w:hAnsi="Arial" w:cs="Arial"/>
          <w:sz w:val="22"/>
          <w:szCs w:val="22"/>
        </w:rPr>
        <w:t>, </w:t>
      </w:r>
      <w:r w:rsidRPr="00A90166">
        <w:rPr>
          <w:rFonts w:ascii="Arial" w:hAnsi="Arial" w:cs="Arial"/>
          <w:i/>
          <w:iCs/>
          <w:sz w:val="22"/>
          <w:szCs w:val="22"/>
        </w:rPr>
        <w:t>23</w:t>
      </w:r>
      <w:r w:rsidRPr="00A90166">
        <w:rPr>
          <w:rFonts w:ascii="Arial" w:hAnsi="Arial" w:cs="Arial"/>
          <w:sz w:val="22"/>
          <w:szCs w:val="22"/>
        </w:rPr>
        <w:t>(1), p.750.</w:t>
      </w:r>
    </w:p>
    <w:p w14:paraId="48B432FD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proofErr w:type="spellStart"/>
      <w:r w:rsidRPr="00A90166">
        <w:rPr>
          <w:rFonts w:ascii="Arial" w:hAnsi="Arial" w:cs="Arial"/>
          <w:sz w:val="22"/>
          <w:szCs w:val="22"/>
        </w:rPr>
        <w:t>Kvæl</w:t>
      </w:r>
      <w:proofErr w:type="spellEnd"/>
      <w:r w:rsidRPr="00A90166">
        <w:rPr>
          <w:rFonts w:ascii="Arial" w:hAnsi="Arial" w:cs="Arial"/>
          <w:sz w:val="22"/>
          <w:szCs w:val="22"/>
        </w:rPr>
        <w:t xml:space="preserve">, L.A.H., Hellesø, R., Bergland, A. and </w:t>
      </w:r>
      <w:proofErr w:type="spellStart"/>
      <w:r w:rsidRPr="00A90166">
        <w:rPr>
          <w:rFonts w:ascii="Arial" w:hAnsi="Arial" w:cs="Arial"/>
          <w:sz w:val="22"/>
          <w:szCs w:val="22"/>
        </w:rPr>
        <w:t>Debesay</w:t>
      </w:r>
      <w:proofErr w:type="spellEnd"/>
      <w:r w:rsidRPr="00A90166">
        <w:rPr>
          <w:rFonts w:ascii="Arial" w:hAnsi="Arial" w:cs="Arial"/>
          <w:sz w:val="22"/>
          <w:szCs w:val="22"/>
        </w:rPr>
        <w:t xml:space="preserve">, J. (2022). Balancing </w:t>
      </w:r>
      <w:proofErr w:type="spellStart"/>
      <w:r w:rsidRPr="00A90166">
        <w:rPr>
          <w:rFonts w:ascii="Arial" w:hAnsi="Arial" w:cs="Arial"/>
          <w:sz w:val="22"/>
          <w:szCs w:val="22"/>
        </w:rPr>
        <w:t>standardisation</w:t>
      </w:r>
      <w:proofErr w:type="spellEnd"/>
      <w:r w:rsidRPr="00A90166">
        <w:rPr>
          <w:rFonts w:ascii="Arial" w:hAnsi="Arial" w:cs="Arial"/>
          <w:sz w:val="22"/>
          <w:szCs w:val="22"/>
        </w:rPr>
        <w:t xml:space="preserve"> and </w:t>
      </w:r>
      <w:proofErr w:type="spellStart"/>
      <w:r w:rsidRPr="00A90166">
        <w:rPr>
          <w:rFonts w:ascii="Arial" w:hAnsi="Arial" w:cs="Arial"/>
          <w:sz w:val="22"/>
          <w:szCs w:val="22"/>
        </w:rPr>
        <w:t>individualisation</w:t>
      </w:r>
      <w:proofErr w:type="spellEnd"/>
      <w:r w:rsidRPr="00A90166">
        <w:rPr>
          <w:rFonts w:ascii="Arial" w:hAnsi="Arial" w:cs="Arial"/>
          <w:sz w:val="22"/>
          <w:szCs w:val="22"/>
        </w:rPr>
        <w:t xml:space="preserve"> in transitional care pathways: a meta-ethnography of the perspectives of older patients, informal caregivers and healthcare professionals. </w:t>
      </w:r>
      <w:r w:rsidRPr="00A90166">
        <w:rPr>
          <w:rFonts w:ascii="Arial" w:hAnsi="Arial" w:cs="Arial"/>
          <w:i/>
          <w:iCs/>
          <w:sz w:val="22"/>
          <w:szCs w:val="22"/>
        </w:rPr>
        <w:t>BMC health services research</w:t>
      </w:r>
      <w:r w:rsidRPr="00A90166">
        <w:rPr>
          <w:rFonts w:ascii="Arial" w:hAnsi="Arial" w:cs="Arial"/>
          <w:sz w:val="22"/>
          <w:szCs w:val="22"/>
        </w:rPr>
        <w:t>, </w:t>
      </w:r>
      <w:r w:rsidRPr="00A90166">
        <w:rPr>
          <w:rFonts w:ascii="Arial" w:hAnsi="Arial" w:cs="Arial"/>
          <w:i/>
          <w:iCs/>
          <w:sz w:val="22"/>
          <w:szCs w:val="22"/>
        </w:rPr>
        <w:t>22</w:t>
      </w:r>
      <w:r w:rsidRPr="00A90166">
        <w:rPr>
          <w:rFonts w:ascii="Arial" w:hAnsi="Arial" w:cs="Arial"/>
          <w:sz w:val="22"/>
          <w:szCs w:val="22"/>
        </w:rPr>
        <w:t>(1), p.430.</w:t>
      </w:r>
    </w:p>
    <w:p w14:paraId="4414E941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A90166">
        <w:rPr>
          <w:rFonts w:ascii="Arial" w:hAnsi="Arial" w:cs="Arial"/>
          <w:sz w:val="22"/>
          <w:szCs w:val="22"/>
        </w:rPr>
        <w:t>Liang, M., Xie, X., Pan, Y., Cheng, A.S. and Ye, Z. (2023). A qualitative meta-synthesis of patient dignity from the perspective of caregivers. </w:t>
      </w:r>
      <w:r w:rsidRPr="00A90166">
        <w:rPr>
          <w:rFonts w:ascii="Arial" w:hAnsi="Arial" w:cs="Arial"/>
          <w:i/>
          <w:iCs/>
          <w:sz w:val="22"/>
          <w:szCs w:val="22"/>
        </w:rPr>
        <w:t>BMC geriatrics</w:t>
      </w:r>
      <w:r w:rsidRPr="00A90166">
        <w:rPr>
          <w:rFonts w:ascii="Arial" w:hAnsi="Arial" w:cs="Arial"/>
          <w:sz w:val="22"/>
          <w:szCs w:val="22"/>
        </w:rPr>
        <w:t>, </w:t>
      </w:r>
      <w:r w:rsidRPr="00A90166">
        <w:rPr>
          <w:rFonts w:ascii="Arial" w:hAnsi="Arial" w:cs="Arial"/>
          <w:i/>
          <w:iCs/>
          <w:sz w:val="22"/>
          <w:szCs w:val="22"/>
        </w:rPr>
        <w:t>23</w:t>
      </w:r>
      <w:r w:rsidRPr="00A90166">
        <w:rPr>
          <w:rFonts w:ascii="Arial" w:hAnsi="Arial" w:cs="Arial"/>
          <w:sz w:val="22"/>
          <w:szCs w:val="22"/>
        </w:rPr>
        <w:t>(1), p.351.</w:t>
      </w:r>
    </w:p>
    <w:p w14:paraId="7145382E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A90166">
        <w:rPr>
          <w:rFonts w:ascii="Arial" w:hAnsi="Arial" w:cs="Arial"/>
          <w:sz w:val="22"/>
          <w:szCs w:val="22"/>
        </w:rPr>
        <w:t>Manderscheid, R.W. and Ward, A. (2024). Looking toward the future of integrated care: History, developments, and opportunities. </w:t>
      </w:r>
      <w:r w:rsidRPr="00A90166">
        <w:rPr>
          <w:rFonts w:ascii="Arial" w:hAnsi="Arial" w:cs="Arial"/>
          <w:i/>
          <w:iCs/>
          <w:sz w:val="22"/>
          <w:szCs w:val="22"/>
        </w:rPr>
        <w:t>The Journal of Behavioral Health Services &amp; Research</w:t>
      </w:r>
      <w:r w:rsidRPr="00A90166">
        <w:rPr>
          <w:rFonts w:ascii="Arial" w:hAnsi="Arial" w:cs="Arial"/>
          <w:sz w:val="22"/>
          <w:szCs w:val="22"/>
        </w:rPr>
        <w:t>, </w:t>
      </w:r>
      <w:r w:rsidRPr="00A90166">
        <w:rPr>
          <w:rFonts w:ascii="Arial" w:hAnsi="Arial" w:cs="Arial"/>
          <w:i/>
          <w:iCs/>
          <w:sz w:val="22"/>
          <w:szCs w:val="22"/>
        </w:rPr>
        <w:t>51</w:t>
      </w:r>
      <w:r w:rsidRPr="00A90166">
        <w:rPr>
          <w:rFonts w:ascii="Arial" w:hAnsi="Arial" w:cs="Arial"/>
          <w:sz w:val="22"/>
          <w:szCs w:val="22"/>
        </w:rPr>
        <w:t>(4), p.609.</w:t>
      </w:r>
    </w:p>
    <w:p w14:paraId="07892730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A90166">
        <w:rPr>
          <w:rFonts w:ascii="Arial" w:hAnsi="Arial" w:cs="Arial"/>
          <w:sz w:val="22"/>
          <w:szCs w:val="22"/>
        </w:rPr>
        <w:t xml:space="preserve">Sharifi, F., </w:t>
      </w:r>
      <w:proofErr w:type="spellStart"/>
      <w:r w:rsidRPr="00A90166">
        <w:rPr>
          <w:rFonts w:ascii="Arial" w:hAnsi="Arial" w:cs="Arial"/>
          <w:sz w:val="22"/>
          <w:szCs w:val="22"/>
        </w:rPr>
        <w:t>Ghandali</w:t>
      </w:r>
      <w:proofErr w:type="spellEnd"/>
      <w:r w:rsidRPr="00A90166">
        <w:rPr>
          <w:rFonts w:ascii="Arial" w:hAnsi="Arial" w:cs="Arial"/>
          <w:sz w:val="22"/>
          <w:szCs w:val="22"/>
        </w:rPr>
        <w:t xml:space="preserve">, R., Alimohammadi, M. and </w:t>
      </w:r>
      <w:proofErr w:type="spellStart"/>
      <w:r w:rsidRPr="00A90166">
        <w:rPr>
          <w:rFonts w:ascii="Arial" w:hAnsi="Arial" w:cs="Arial"/>
          <w:sz w:val="22"/>
          <w:szCs w:val="22"/>
        </w:rPr>
        <w:t>Ahmadipour</w:t>
      </w:r>
      <w:proofErr w:type="spellEnd"/>
      <w:r w:rsidRPr="00A90166">
        <w:rPr>
          <w:rFonts w:ascii="Arial" w:hAnsi="Arial" w:cs="Arial"/>
          <w:sz w:val="22"/>
          <w:szCs w:val="22"/>
        </w:rPr>
        <w:t>, P. (2024). Symptoms and diagnosis of dementia. In </w:t>
      </w:r>
      <w:r w:rsidRPr="00A90166">
        <w:rPr>
          <w:rFonts w:ascii="Arial" w:hAnsi="Arial" w:cs="Arial"/>
          <w:i/>
          <w:iCs/>
          <w:sz w:val="22"/>
          <w:szCs w:val="22"/>
        </w:rPr>
        <w:t>Nutrition in Brain Aging and Dementia</w:t>
      </w:r>
      <w:r w:rsidRPr="00A90166">
        <w:rPr>
          <w:rFonts w:ascii="Arial" w:hAnsi="Arial" w:cs="Arial"/>
          <w:sz w:val="22"/>
          <w:szCs w:val="22"/>
        </w:rPr>
        <w:t> (pp. 59-91). Singapore: Springer Nature Singapore.</w:t>
      </w:r>
    </w:p>
    <w:p w14:paraId="33B11443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A90166">
        <w:rPr>
          <w:rFonts w:ascii="Arial" w:hAnsi="Arial" w:cs="Arial"/>
          <w:sz w:val="22"/>
          <w:szCs w:val="22"/>
        </w:rPr>
        <w:t>Snowden, V. (2026). From individualised to collective action: the role of community social work in supporting Carers. </w:t>
      </w:r>
      <w:r w:rsidRPr="00A90166">
        <w:rPr>
          <w:rFonts w:ascii="Arial" w:hAnsi="Arial" w:cs="Arial"/>
          <w:i/>
          <w:iCs/>
          <w:sz w:val="22"/>
          <w:szCs w:val="22"/>
        </w:rPr>
        <w:t>Social Work Education</w:t>
      </w:r>
      <w:r w:rsidRPr="00A90166">
        <w:rPr>
          <w:rFonts w:ascii="Arial" w:hAnsi="Arial" w:cs="Arial"/>
          <w:sz w:val="22"/>
          <w:szCs w:val="22"/>
        </w:rPr>
        <w:t>, </w:t>
      </w:r>
      <w:r w:rsidRPr="00A90166">
        <w:rPr>
          <w:rFonts w:ascii="Arial" w:hAnsi="Arial" w:cs="Arial"/>
          <w:i/>
          <w:iCs/>
          <w:sz w:val="22"/>
          <w:szCs w:val="22"/>
        </w:rPr>
        <w:t>45</w:t>
      </w:r>
      <w:r w:rsidRPr="00A90166">
        <w:rPr>
          <w:rFonts w:ascii="Arial" w:hAnsi="Arial" w:cs="Arial"/>
          <w:sz w:val="22"/>
          <w:szCs w:val="22"/>
        </w:rPr>
        <w:t>(1), pp.199-216.</w:t>
      </w:r>
    </w:p>
    <w:p w14:paraId="2B630E2E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A90166">
        <w:rPr>
          <w:rFonts w:ascii="Arial" w:hAnsi="Arial" w:cs="Arial"/>
          <w:sz w:val="22"/>
          <w:szCs w:val="22"/>
        </w:rPr>
        <w:t>Walker, S. and McMillan, J. (2025). Memory, Identity, and Dementia. In </w:t>
      </w:r>
      <w:r w:rsidRPr="00A90166">
        <w:rPr>
          <w:rFonts w:ascii="Arial" w:hAnsi="Arial" w:cs="Arial"/>
          <w:i/>
          <w:iCs/>
          <w:sz w:val="22"/>
          <w:szCs w:val="22"/>
        </w:rPr>
        <w:t>Handbook of the Philosophy of Medicine</w:t>
      </w:r>
      <w:r w:rsidRPr="00A90166">
        <w:rPr>
          <w:rFonts w:ascii="Arial" w:hAnsi="Arial" w:cs="Arial"/>
          <w:sz w:val="22"/>
          <w:szCs w:val="22"/>
        </w:rPr>
        <w:t> (pp. 421-433). Dordrecht: Springer Netherlands.</w:t>
      </w:r>
    </w:p>
    <w:p w14:paraId="1223CB43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A90166">
        <w:rPr>
          <w:rFonts w:ascii="Arial" w:hAnsi="Arial" w:cs="Arial"/>
          <w:sz w:val="22"/>
          <w:szCs w:val="22"/>
        </w:rPr>
        <w:t xml:space="preserve">Warren, J., Collinge, J., Fox, N., Mead, S., Mummery, C., Rohrer, J., </w:t>
      </w:r>
      <w:proofErr w:type="spellStart"/>
      <w:r w:rsidRPr="00A90166">
        <w:rPr>
          <w:rFonts w:ascii="Arial" w:hAnsi="Arial" w:cs="Arial"/>
          <w:sz w:val="22"/>
          <w:szCs w:val="22"/>
        </w:rPr>
        <w:t>Rossor</w:t>
      </w:r>
      <w:proofErr w:type="spellEnd"/>
      <w:r w:rsidRPr="00A90166">
        <w:rPr>
          <w:rFonts w:ascii="Arial" w:hAnsi="Arial" w:cs="Arial"/>
          <w:sz w:val="22"/>
          <w:szCs w:val="22"/>
        </w:rPr>
        <w:t>, M., Schott, J. and Weil, R. (2024). Cognitive impairment and dementia. </w:t>
      </w:r>
      <w:r w:rsidRPr="00A90166">
        <w:rPr>
          <w:rFonts w:ascii="Arial" w:hAnsi="Arial" w:cs="Arial"/>
          <w:i/>
          <w:iCs/>
          <w:sz w:val="22"/>
          <w:szCs w:val="22"/>
        </w:rPr>
        <w:t>Neurology: A queen square textbook</w:t>
      </w:r>
      <w:r w:rsidRPr="00A90166">
        <w:rPr>
          <w:rFonts w:ascii="Arial" w:hAnsi="Arial" w:cs="Arial"/>
          <w:sz w:val="22"/>
          <w:szCs w:val="22"/>
        </w:rPr>
        <w:t>, pp.319-367.</w:t>
      </w:r>
    </w:p>
    <w:p w14:paraId="023986EF" w14:textId="77777777" w:rsidR="00581594" w:rsidRPr="00A90166" w:rsidRDefault="00581594" w:rsidP="00581594">
      <w:pPr>
        <w:spacing w:line="360" w:lineRule="auto"/>
        <w:ind w:left="720" w:hanging="720"/>
        <w:jc w:val="both"/>
        <w:rPr>
          <w:rFonts w:ascii="Arial" w:hAnsi="Arial" w:cs="Arial"/>
          <w:sz w:val="22"/>
          <w:szCs w:val="22"/>
        </w:rPr>
      </w:pPr>
      <w:r w:rsidRPr="00A90166">
        <w:rPr>
          <w:rFonts w:ascii="Arial" w:hAnsi="Arial" w:cs="Arial"/>
          <w:sz w:val="22"/>
          <w:szCs w:val="22"/>
        </w:rPr>
        <w:t xml:space="preserve">WHO. (2025). Available at: </w:t>
      </w:r>
      <w:hyperlink r:id="rId8" w:history="1">
        <w:r w:rsidRPr="00A90166">
          <w:rPr>
            <w:rStyle w:val="Hyperlink"/>
            <w:rFonts w:ascii="Arial" w:hAnsi="Arial" w:cs="Arial"/>
            <w:sz w:val="22"/>
            <w:szCs w:val="22"/>
          </w:rPr>
          <w:t>https://www.who.int/news-room/fact-sheets/detail/dementia</w:t>
        </w:r>
      </w:hyperlink>
      <w:r w:rsidRPr="00A90166">
        <w:rPr>
          <w:rFonts w:ascii="Arial" w:hAnsi="Arial" w:cs="Arial"/>
          <w:sz w:val="22"/>
          <w:szCs w:val="22"/>
        </w:rPr>
        <w:t xml:space="preserve"> Accessed Date: 12/March/2026.</w:t>
      </w:r>
    </w:p>
    <w:p w14:paraId="685BEFE1" w14:textId="77777777" w:rsidR="00581594" w:rsidRPr="00581594" w:rsidRDefault="00581594" w:rsidP="0058159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sectPr w:rsidR="00581594" w:rsidRPr="00581594"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60FE12" w14:textId="77777777" w:rsidR="0008571C" w:rsidRDefault="0008571C" w:rsidP="007E5D17">
      <w:pPr>
        <w:spacing w:after="0" w:line="240" w:lineRule="auto"/>
      </w:pPr>
      <w:r>
        <w:separator/>
      </w:r>
    </w:p>
  </w:endnote>
  <w:endnote w:type="continuationSeparator" w:id="0">
    <w:p w14:paraId="320F6BC8" w14:textId="77777777" w:rsidR="0008571C" w:rsidRDefault="0008571C" w:rsidP="007E5D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61558867"/>
      <w:docPartObj>
        <w:docPartGallery w:val="Page Numbers (Bottom of Page)"/>
        <w:docPartUnique/>
      </w:docPartObj>
    </w:sdtPr>
    <w:sdtContent>
      <w:p w14:paraId="21F86018" w14:textId="11CFFE99" w:rsidR="00281668" w:rsidRDefault="00281668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550D373B" w14:textId="77777777" w:rsidR="00281668" w:rsidRDefault="002816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4F4477" w14:textId="77777777" w:rsidR="0008571C" w:rsidRDefault="0008571C" w:rsidP="007E5D17">
      <w:pPr>
        <w:spacing w:after="0" w:line="240" w:lineRule="auto"/>
      </w:pPr>
      <w:r>
        <w:separator/>
      </w:r>
    </w:p>
  </w:footnote>
  <w:footnote w:type="continuationSeparator" w:id="0">
    <w:p w14:paraId="7897E0A8" w14:textId="77777777" w:rsidR="0008571C" w:rsidRDefault="0008571C" w:rsidP="007E5D1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F160D1"/>
    <w:multiLevelType w:val="hybridMultilevel"/>
    <w:tmpl w:val="E3E4461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FF0BCC"/>
    <w:multiLevelType w:val="hybridMultilevel"/>
    <w:tmpl w:val="7206ABA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6C63214"/>
    <w:multiLevelType w:val="hybridMultilevel"/>
    <w:tmpl w:val="C0900BB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1587699">
    <w:abstractNumId w:val="2"/>
  </w:num>
  <w:num w:numId="2" w16cid:durableId="2043020255">
    <w:abstractNumId w:val="0"/>
  </w:num>
  <w:num w:numId="3" w16cid:durableId="141100403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1958"/>
    <w:rsid w:val="00006A1D"/>
    <w:rsid w:val="00012A08"/>
    <w:rsid w:val="00033901"/>
    <w:rsid w:val="0008571C"/>
    <w:rsid w:val="000B7366"/>
    <w:rsid w:val="001A7D3C"/>
    <w:rsid w:val="00281668"/>
    <w:rsid w:val="002B68F2"/>
    <w:rsid w:val="002C55E6"/>
    <w:rsid w:val="00322AC9"/>
    <w:rsid w:val="0038285B"/>
    <w:rsid w:val="004405A5"/>
    <w:rsid w:val="00453C1C"/>
    <w:rsid w:val="00466216"/>
    <w:rsid w:val="00472732"/>
    <w:rsid w:val="004C1958"/>
    <w:rsid w:val="0053397A"/>
    <w:rsid w:val="00550578"/>
    <w:rsid w:val="00562911"/>
    <w:rsid w:val="00567179"/>
    <w:rsid w:val="00567ACB"/>
    <w:rsid w:val="005751D0"/>
    <w:rsid w:val="00581594"/>
    <w:rsid w:val="005D6C01"/>
    <w:rsid w:val="005E56E6"/>
    <w:rsid w:val="006831E3"/>
    <w:rsid w:val="0079417B"/>
    <w:rsid w:val="007E5D17"/>
    <w:rsid w:val="008359C0"/>
    <w:rsid w:val="00857616"/>
    <w:rsid w:val="008821B4"/>
    <w:rsid w:val="009A328D"/>
    <w:rsid w:val="009E1638"/>
    <w:rsid w:val="00AD1CBE"/>
    <w:rsid w:val="00BB5D8C"/>
    <w:rsid w:val="00C344FC"/>
    <w:rsid w:val="00CB709D"/>
    <w:rsid w:val="00D8019F"/>
    <w:rsid w:val="00D806ED"/>
    <w:rsid w:val="00D80884"/>
    <w:rsid w:val="00E44A21"/>
    <w:rsid w:val="00E772D1"/>
    <w:rsid w:val="00E91037"/>
    <w:rsid w:val="00EE48DD"/>
    <w:rsid w:val="00EF5682"/>
    <w:rsid w:val="00F00FB0"/>
    <w:rsid w:val="00F01EC2"/>
    <w:rsid w:val="00F519CB"/>
    <w:rsid w:val="00F73385"/>
    <w:rsid w:val="00F83283"/>
    <w:rsid w:val="00FF13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050730"/>
  <w15:chartTrackingRefBased/>
  <w15:docId w15:val="{EA5C443F-8BE7-4BAC-A332-81FC27281B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19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19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195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19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195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19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19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19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19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195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195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195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195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195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19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19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19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19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19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19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19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C19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19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C19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19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195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195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195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1958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F00FB0"/>
    <w:rPr>
      <w:rFonts w:ascii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7E5D1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5D17"/>
  </w:style>
  <w:style w:type="paragraph" w:styleId="Footer">
    <w:name w:val="footer"/>
    <w:basedOn w:val="Normal"/>
    <w:link w:val="FooterChar"/>
    <w:uiPriority w:val="99"/>
    <w:unhideWhenUsed/>
    <w:rsid w:val="007E5D1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5D17"/>
  </w:style>
  <w:style w:type="character" w:styleId="Hyperlink">
    <w:name w:val="Hyperlink"/>
    <w:basedOn w:val="DefaultParagraphFont"/>
    <w:uiPriority w:val="99"/>
    <w:unhideWhenUsed/>
    <w:rsid w:val="00581594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D806ED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806E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ho.int/news-room/fact-sheets/detail/dementia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70D7C7E-0F56-485E-92D2-C290BA6B0A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623</Words>
  <Characters>3512</Characters>
  <Application>Microsoft Office Word</Application>
  <DocSecurity>0</DocSecurity>
  <Lines>61</Lines>
  <Paragraphs>18</Paragraphs>
  <ScaleCrop>false</ScaleCrop>
  <Company/>
  <LinksUpToDate>false</LinksUpToDate>
  <CharactersWithSpaces>4117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Florentina Manolache</cp:lastModifiedBy>
  <cp:revision>9</cp:revision>
  <dcterms:created xsi:type="dcterms:W3CDTF">2026-03-12T12:55:00Z</dcterms:created>
  <dcterms:modified xsi:type="dcterms:W3CDTF">2026-03-14T20:24:00Z</dcterms:modified>
</cp:coreProperties>
</file>