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a="http://schemas.openxmlformats.org/drawingml/2006/main" xmlns:pic="http://schemas.openxmlformats.org/drawingml/2006/picture" xmlns:a14="http://schemas.microsoft.com/office/drawing/2010/main" mc:Ignorable="w14 wp14">
  <w:body>
    <w:p xmlns:wp14="http://schemas.microsoft.com/office/word/2010/wordml" w14:paraId="698E3256" wp14:textId="326718FC">
      <w:pPr>
        <w:pStyle w:val="Normal"/>
        <w:spacing w:before="0" w:after="200"/>
        <w:jc w:val="center"/>
      </w:pPr>
      <w:r w:rsidR="329D7930">
        <w:drawing>
          <wp:inline xmlns:wp14="http://schemas.microsoft.com/office/word/2010/wordprocessingDrawing" wp14:editId="768B187D" wp14:anchorId="2587D06A">
            <wp:extent cx="3381375" cy="1352550"/>
            <wp:effectExtent l="0" t="0" r="0" b="0"/>
            <wp:docPr id="19636038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3603863" name="Picture 1963603863"/>
                    <pic:cNvPicPr/>
                  </pic:nvPicPr>
                  <pic:blipFill>
                    <a:blip xmlns:r="http://schemas.openxmlformats.org/officeDocument/2006/relationships" r:embed="rId630613016">
                      <a:extLst>
                        <a:ext uri="{28A0092B-C50C-407E-A947-70E740481C1C}">
                          <a14:useLocalDpi xmlns:a14="http://schemas.microsoft.com/office/drawing/2010/main"/>
                        </a:ext>
                      </a:extLst>
                    </a:blip>
                    <a:stretch>
                      <a:fillRect/>
                    </a:stretch>
                  </pic:blipFill>
                  <pic:spPr>
                    <a:xfrm>
                      <a:off x="0" y="0"/>
                      <a:ext cx="3381375" cy="1352550"/>
                    </a:xfrm>
                    <a:prstGeom prst="rect">
                      <a:avLst/>
                    </a:prstGeom>
                  </pic:spPr>
                </pic:pic>
              </a:graphicData>
            </a:graphic>
          </wp:inline>
        </w:drawing>
      </w:r>
    </w:p>
    <w:p xmlns:wp14="http://schemas.microsoft.com/office/word/2010/wordml" w:rsidP="71EAE5B8" w14:paraId="1ACC94D0" wp14:textId="51CABD88">
      <w:pPr>
        <w:pStyle w:val="Normal"/>
        <w:spacing w:before="0" w:after="200"/>
        <w:jc w:val="both"/>
        <w:rPr>
          <w:b w:val="1"/>
          <w:bCs w:val="1"/>
          <w:sz w:val="30"/>
          <w:szCs w:val="30"/>
        </w:rPr>
      </w:pPr>
    </w:p>
    <w:p xmlns:wp14="http://schemas.microsoft.com/office/word/2010/wordml" w:rsidP="71EAE5B8" w14:paraId="49CDF240" wp14:textId="70D6B288">
      <w:pPr>
        <w:pStyle w:val="Normal"/>
        <w:spacing w:before="0" w:after="200"/>
        <w:jc w:val="both"/>
      </w:pPr>
      <w:r w:rsidRPr="71EAE5B8" w:rsidR="71EAE5B8">
        <w:rPr>
          <w:b w:val="1"/>
          <w:bCs w:val="1"/>
          <w:sz w:val="30"/>
          <w:szCs w:val="30"/>
        </w:rPr>
        <w:t>UNIVERSITY OF WALES TRINITY SAINT DAVID</w:t>
      </w:r>
    </w:p>
    <w:p xmlns:wp14="http://schemas.microsoft.com/office/word/2010/wordml" w:rsidP="71EAE5B8" w14:paraId="33821473" wp14:textId="77777777">
      <w:pPr>
        <w:pStyle w:val="Normal"/>
        <w:jc w:val="both"/>
      </w:pPr>
      <w:r w:rsidRPr="71EAE5B8" w:rsidR="71EAE5B8">
        <w:rPr>
          <w:sz w:val="24"/>
          <w:szCs w:val="24"/>
        </w:rPr>
        <w:t>London Campus</w:t>
      </w:r>
    </w:p>
    <w:p xmlns:wp14="http://schemas.microsoft.com/office/word/2010/wordml" w:rsidP="71EAE5B8" w14:paraId="45AAC5BC" wp14:textId="05FE23AC">
      <w:pPr>
        <w:pStyle w:val="Heading1"/>
        <w:jc w:val="both"/>
      </w:pPr>
      <w:r w:rsidRPr="71EAE5B8" w:rsidR="54B3967F">
        <w:rPr>
          <w:b w:val="1"/>
          <w:bCs w:val="1"/>
          <w:sz w:val="28"/>
          <w:szCs w:val="28"/>
        </w:rPr>
        <w:t xml:space="preserve">                                  </w:t>
      </w:r>
      <w:r w:rsidRPr="71EAE5B8" w:rsidR="33630FD2">
        <w:rPr>
          <w:b w:val="1"/>
          <w:bCs w:val="1"/>
          <w:sz w:val="28"/>
          <w:szCs w:val="28"/>
        </w:rPr>
        <w:t>LCMB7035</w:t>
      </w:r>
      <w:r w:rsidRPr="71EAE5B8" w:rsidR="7C13770C">
        <w:rPr>
          <w:b w:val="1"/>
          <w:bCs w:val="1"/>
          <w:sz w:val="28"/>
          <w:szCs w:val="28"/>
        </w:rPr>
        <w:t>– A Written Research Proposal</w:t>
      </w:r>
    </w:p>
    <w:p xmlns:wp14="http://schemas.microsoft.com/office/word/2010/wordml" w:rsidP="71EAE5B8" w14:paraId="1A96290B" wp14:textId="77777777">
      <w:pPr>
        <w:pStyle w:val="Normal"/>
        <w:spacing w:before="560" w:after="200"/>
        <w:jc w:val="both"/>
      </w:pPr>
      <w:r w:rsidRPr="71EAE5B8" w:rsidR="71EAE5B8">
        <w:rPr>
          <w:b w:val="1"/>
          <w:bCs w:val="1"/>
          <w:sz w:val="36"/>
          <w:szCs w:val="36"/>
        </w:rPr>
        <w:t>Celebrity versus Social Media Influencer Endorsements and Consumer Trust in Fast Fashion</w:t>
      </w:r>
    </w:p>
    <w:p xmlns:wp14="http://schemas.microsoft.com/office/word/2010/wordml" w:rsidP="71EAE5B8" w14:paraId="5BFB4E01" wp14:textId="77777777">
      <w:pPr>
        <w:pStyle w:val="Normal"/>
        <w:jc w:val="both"/>
      </w:pPr>
      <w:r w:rsidRPr="71EAE5B8" w:rsidR="71EAE5B8">
        <w:rPr>
          <w:b w:val="1"/>
          <w:bCs w:val="1"/>
          <w:sz w:val="30"/>
          <w:szCs w:val="30"/>
        </w:rPr>
        <w:t>A Comparative Secondary Study of Zara and H&amp;M</w:t>
      </w:r>
    </w:p>
    <w:p xmlns:wp14="http://schemas.microsoft.com/office/word/2010/wordml" w:rsidP="71EAE5B8" w14:paraId="5A39BBE3" wp14:textId="63A57C6C">
      <w:pPr>
        <w:pStyle w:val="Normal"/>
        <w:jc w:val="both"/>
      </w:pPr>
    </w:p>
    <w:tbl>
      <w:tblPr>
        <w:tblW w:w="7653" w:type="dxa"/>
        <w:jc w:val="center"/>
        <w:tblInd w:w="0" w:type="dxa"/>
        <w:tblCellMar>
          <w:top w:w="90" w:type="dxa"/>
          <w:left w:w="100" w:type="dxa"/>
          <w:bottom w:w="90" w:type="dxa"/>
          <w:right w:w="100" w:type="dxa"/>
        </w:tblCellMar>
        <w:tblLook w:val="04a0" w:firstRow="1" w:lastRow="0" w:firstColumn="1" w:lastColumn="0" w:noHBand="0" w:noVBand="1"/>
      </w:tblPr>
      <w:tblGrid>
        <w:gridCol w:w="2550"/>
        <w:gridCol w:w="5102"/>
      </w:tblGrid>
      <w:tr xmlns:wp14="http://schemas.microsoft.com/office/word/2010/wordml" w:rsidTr="71EAE5B8" w14:paraId="38A17ED8" wp14:textId="77777777">
        <w:trPr/>
        <w:tc>
          <w:tcPr>
            <w:tcW w:w="2550" w:type="dxa"/>
            <w:tcBorders/>
            <w:shd w:val="clear" w:color="auto" w:fill="auto"/>
            <w:tcMar/>
            <w:vAlign w:val="center"/>
          </w:tcPr>
          <w:p w:rsidP="71EAE5B8" w14:paraId="336FCF81" wp14:textId="77777777">
            <w:pPr>
              <w:pStyle w:val="Normal"/>
              <w:spacing w:before="0" w:after="0" w:line="240" w:lineRule="auto"/>
              <w:rPr>
                <w:b w:val="1"/>
                <w:bCs w:val="1"/>
                <w:sz w:val="28"/>
                <w:szCs w:val="28"/>
              </w:rPr>
            </w:pPr>
            <w:r w:rsidRPr="71EAE5B8" w:rsidR="71EAE5B8">
              <w:rPr>
                <w:b w:val="1"/>
                <w:bCs w:val="1"/>
                <w:sz w:val="28"/>
                <w:szCs w:val="28"/>
              </w:rPr>
              <w:t>Student name</w:t>
            </w:r>
          </w:p>
        </w:tc>
        <w:tc>
          <w:tcPr>
            <w:tcW w:w="5102" w:type="dxa"/>
            <w:tcBorders/>
            <w:shd w:val="clear" w:color="auto" w:fill="auto"/>
            <w:tcMar/>
            <w:vAlign w:val="center"/>
          </w:tcPr>
          <w:p w:rsidP="71EAE5B8" w14:paraId="0558045B" wp14:textId="77777777">
            <w:pPr>
              <w:pStyle w:val="Normal"/>
              <w:spacing w:before="0" w:after="0" w:line="240" w:lineRule="auto"/>
              <w:rPr>
                <w:sz w:val="28"/>
                <w:szCs w:val="28"/>
              </w:rPr>
            </w:pPr>
            <w:r w:rsidRPr="71EAE5B8" w:rsidR="71EAE5B8">
              <w:rPr>
                <w:sz w:val="28"/>
                <w:szCs w:val="28"/>
              </w:rPr>
              <w:t>Gerardi Luca</w:t>
            </w:r>
          </w:p>
        </w:tc>
      </w:tr>
      <w:tr xmlns:wp14="http://schemas.microsoft.com/office/word/2010/wordml" w:rsidTr="71EAE5B8" w14:paraId="0F0AB77C" wp14:textId="77777777">
        <w:trPr/>
        <w:tc>
          <w:tcPr>
            <w:tcW w:w="2550" w:type="dxa"/>
            <w:tcBorders/>
            <w:shd w:val="clear" w:color="auto" w:fill="auto"/>
            <w:tcMar/>
            <w:vAlign w:val="center"/>
          </w:tcPr>
          <w:p w:rsidP="71EAE5B8" w14:paraId="1A96C81D" wp14:textId="77777777">
            <w:pPr>
              <w:pStyle w:val="Normal"/>
              <w:spacing w:before="0" w:after="0" w:line="240" w:lineRule="auto"/>
              <w:rPr>
                <w:b w:val="1"/>
                <w:bCs w:val="1"/>
                <w:sz w:val="28"/>
                <w:szCs w:val="28"/>
              </w:rPr>
            </w:pPr>
            <w:r w:rsidRPr="71EAE5B8" w:rsidR="71EAE5B8">
              <w:rPr>
                <w:b w:val="1"/>
                <w:bCs w:val="1"/>
                <w:sz w:val="28"/>
                <w:szCs w:val="28"/>
              </w:rPr>
              <w:t>Student ID</w:t>
            </w:r>
          </w:p>
        </w:tc>
        <w:tc>
          <w:tcPr>
            <w:tcW w:w="5102" w:type="dxa"/>
            <w:tcBorders/>
            <w:shd w:val="clear" w:color="auto" w:fill="auto"/>
            <w:tcMar/>
            <w:vAlign w:val="center"/>
          </w:tcPr>
          <w:p w:rsidP="71EAE5B8" w14:paraId="7D30620D" wp14:textId="77777777">
            <w:pPr>
              <w:pStyle w:val="Normal"/>
              <w:spacing w:before="0" w:after="0" w:line="240" w:lineRule="auto"/>
              <w:rPr>
                <w:sz w:val="28"/>
                <w:szCs w:val="28"/>
              </w:rPr>
            </w:pPr>
            <w:r w:rsidRPr="71EAE5B8" w:rsidR="71EAE5B8">
              <w:rPr>
                <w:sz w:val="28"/>
                <w:szCs w:val="28"/>
              </w:rPr>
              <w:t>2219573</w:t>
            </w:r>
          </w:p>
        </w:tc>
      </w:tr>
      <w:tr xmlns:wp14="http://schemas.microsoft.com/office/word/2010/wordml" w:rsidTr="71EAE5B8" w14:paraId="67A1EF1E" wp14:textId="77777777">
        <w:trPr/>
        <w:tc>
          <w:tcPr>
            <w:tcW w:w="2550" w:type="dxa"/>
            <w:tcBorders/>
            <w:shd w:val="clear" w:color="auto" w:fill="auto"/>
            <w:tcMar/>
            <w:vAlign w:val="center"/>
          </w:tcPr>
          <w:p w:rsidP="71EAE5B8" w14:paraId="5B4CB95D" wp14:textId="77777777">
            <w:pPr>
              <w:pStyle w:val="Normal"/>
              <w:spacing w:before="0" w:after="0" w:line="240" w:lineRule="auto"/>
              <w:rPr>
                <w:b w:val="1"/>
                <w:bCs w:val="1"/>
                <w:sz w:val="28"/>
                <w:szCs w:val="28"/>
              </w:rPr>
            </w:pPr>
            <w:r w:rsidRPr="71EAE5B8" w:rsidR="71EAE5B8">
              <w:rPr>
                <w:b w:val="1"/>
                <w:bCs w:val="1"/>
                <w:sz w:val="28"/>
                <w:szCs w:val="28"/>
              </w:rPr>
              <w:t>Research approach</w:t>
            </w:r>
          </w:p>
        </w:tc>
        <w:tc>
          <w:tcPr>
            <w:tcW w:w="5102" w:type="dxa"/>
            <w:tcBorders/>
            <w:shd w:val="clear" w:color="auto" w:fill="auto"/>
            <w:tcMar/>
            <w:vAlign w:val="center"/>
          </w:tcPr>
          <w:p w:rsidP="71EAE5B8" w14:paraId="17DAFC2B" wp14:textId="77777777">
            <w:pPr>
              <w:pStyle w:val="Normal"/>
              <w:spacing w:before="0" w:after="0" w:line="240" w:lineRule="auto"/>
              <w:rPr>
                <w:sz w:val="28"/>
                <w:szCs w:val="28"/>
              </w:rPr>
            </w:pPr>
            <w:r w:rsidRPr="71EAE5B8" w:rsidR="71EAE5B8">
              <w:rPr>
                <w:sz w:val="28"/>
                <w:szCs w:val="28"/>
              </w:rPr>
              <w:t>Secondary qualitative research</w:t>
            </w:r>
          </w:p>
        </w:tc>
      </w:tr>
      <w:tr xmlns:wp14="http://schemas.microsoft.com/office/word/2010/wordml" w:rsidTr="71EAE5B8" w14:paraId="34273DCF" wp14:textId="77777777">
        <w:trPr/>
        <w:tc>
          <w:tcPr>
            <w:tcW w:w="2550" w:type="dxa"/>
            <w:tcBorders/>
            <w:shd w:val="clear" w:color="auto" w:fill="auto"/>
            <w:tcMar/>
            <w:vAlign w:val="center"/>
          </w:tcPr>
          <w:p w:rsidP="71EAE5B8" w14:paraId="28BB5D3F" wp14:textId="77777777">
            <w:pPr>
              <w:pStyle w:val="Normal"/>
              <w:spacing w:before="0" w:after="0" w:line="240" w:lineRule="auto"/>
              <w:rPr>
                <w:b w:val="1"/>
                <w:bCs w:val="1"/>
                <w:sz w:val="28"/>
                <w:szCs w:val="28"/>
              </w:rPr>
            </w:pPr>
            <w:r w:rsidRPr="71EAE5B8" w:rsidR="71EAE5B8">
              <w:rPr>
                <w:b w:val="1"/>
                <w:bCs w:val="1"/>
                <w:sz w:val="28"/>
                <w:szCs w:val="28"/>
              </w:rPr>
              <w:t>Proposed cases</w:t>
            </w:r>
          </w:p>
        </w:tc>
        <w:tc>
          <w:tcPr>
            <w:tcW w:w="5102" w:type="dxa"/>
            <w:tcBorders/>
            <w:shd w:val="clear" w:color="auto" w:fill="auto"/>
            <w:tcMar/>
            <w:vAlign w:val="center"/>
          </w:tcPr>
          <w:p w:rsidP="71EAE5B8" w14:paraId="581C900A" wp14:textId="14C90EE1">
            <w:pPr>
              <w:pStyle w:val="Normal"/>
              <w:spacing w:before="0" w:after="0" w:line="240" w:lineRule="auto"/>
              <w:rPr>
                <w:sz w:val="28"/>
                <w:szCs w:val="28"/>
              </w:rPr>
            </w:pPr>
            <w:r w:rsidRPr="71EAE5B8" w:rsidR="71EAE5B8">
              <w:rPr>
                <w:sz w:val="28"/>
                <w:szCs w:val="28"/>
              </w:rPr>
              <w:t>Zara and H&amp;M</w:t>
            </w:r>
          </w:p>
        </w:tc>
      </w:tr>
      <w:tr xmlns:wp14="http://schemas.microsoft.com/office/word/2010/wordml" w:rsidTr="71EAE5B8" w14:paraId="202EAA0C" wp14:textId="77777777">
        <w:trPr/>
        <w:tc>
          <w:tcPr>
            <w:tcW w:w="2550" w:type="dxa"/>
            <w:tcBorders/>
            <w:shd w:val="clear" w:color="auto" w:fill="auto"/>
            <w:tcMar/>
            <w:vAlign w:val="center"/>
          </w:tcPr>
          <w:p w:rsidP="71EAE5B8" w14:paraId="1C2A3DCC" wp14:textId="77777777">
            <w:pPr>
              <w:pStyle w:val="Normal"/>
              <w:spacing w:before="0" w:after="0" w:line="240" w:lineRule="auto"/>
              <w:rPr>
                <w:b w:val="1"/>
                <w:bCs w:val="1"/>
                <w:sz w:val="28"/>
                <w:szCs w:val="28"/>
              </w:rPr>
            </w:pPr>
            <w:r w:rsidRPr="71EAE5B8" w:rsidR="71EAE5B8">
              <w:rPr>
                <w:b w:val="1"/>
                <w:bCs w:val="1"/>
                <w:sz w:val="28"/>
                <w:szCs w:val="28"/>
              </w:rPr>
              <w:t>Submission date</w:t>
            </w:r>
          </w:p>
        </w:tc>
        <w:tc>
          <w:tcPr>
            <w:tcW w:w="5102" w:type="dxa"/>
            <w:tcBorders/>
            <w:shd w:val="clear" w:color="auto" w:fill="auto"/>
            <w:tcMar/>
            <w:vAlign w:val="center"/>
          </w:tcPr>
          <w:p w:rsidP="71EAE5B8" w14:paraId="6EE3DC18" wp14:textId="77777777">
            <w:pPr>
              <w:pStyle w:val="Normal"/>
              <w:spacing w:before="0" w:after="0" w:line="240" w:lineRule="auto"/>
              <w:rPr>
                <w:sz w:val="28"/>
                <w:szCs w:val="28"/>
              </w:rPr>
            </w:pPr>
            <w:r w:rsidRPr="71EAE5B8" w:rsidR="71EAE5B8">
              <w:rPr>
                <w:sz w:val="28"/>
                <w:szCs w:val="28"/>
              </w:rPr>
              <w:t>July 2026</w:t>
            </w:r>
          </w:p>
        </w:tc>
      </w:tr>
      <w:tr xmlns:wp14="http://schemas.microsoft.com/office/word/2010/wordml" w:rsidTr="71EAE5B8" w14:paraId="67722706" wp14:textId="77777777">
        <w:trPr/>
        <w:tc>
          <w:tcPr>
            <w:tcW w:w="2550" w:type="dxa"/>
            <w:tcBorders/>
            <w:shd w:val="clear" w:color="auto" w:fill="auto"/>
            <w:tcMar/>
            <w:vAlign w:val="center"/>
          </w:tcPr>
          <w:p w:rsidP="71EAE5B8" w14:paraId="0FEFB602" wp14:textId="4CB270EF">
            <w:pPr>
              <w:pStyle w:val="Normal"/>
              <w:spacing w:before="0" w:after="0" w:line="240" w:lineRule="auto"/>
              <w:rPr>
                <w:b w:val="1"/>
                <w:bCs w:val="1"/>
                <w:sz w:val="22"/>
                <w:szCs w:val="22"/>
              </w:rPr>
            </w:pPr>
          </w:p>
        </w:tc>
        <w:tc>
          <w:tcPr>
            <w:tcW w:w="5102" w:type="dxa"/>
            <w:tcBorders/>
            <w:shd w:val="clear" w:color="auto" w:fill="auto"/>
            <w:tcMar/>
            <w:vAlign w:val="center"/>
          </w:tcPr>
          <w:p w:rsidP="71EAE5B8" w14:paraId="6492BB38" wp14:textId="2CF1AAA2">
            <w:pPr>
              <w:pStyle w:val="Normal"/>
              <w:spacing w:before="0" w:after="0" w:line="240" w:lineRule="auto"/>
              <w:rPr>
                <w:sz w:val="22"/>
                <w:szCs w:val="22"/>
              </w:rPr>
            </w:pPr>
          </w:p>
        </w:tc>
      </w:tr>
    </w:tbl>
    <w:p xmlns:wp14="http://schemas.microsoft.com/office/word/2010/wordml" w14:paraId="41C8F396" wp14:textId="77777777">
      <w:pPr>
        <w:pStyle w:val="Normal"/>
        <w:rPr/>
      </w:pPr>
      <w:r>
        <w:rPr/>
      </w:r>
      <w:r>
        <w:br w:type="page"/>
      </w:r>
    </w:p>
    <w:p xmlns:wp14="http://schemas.microsoft.com/office/word/2010/wordml" w14:paraId="32A36C38" wp14:textId="77777777">
      <w:pPr>
        <w:pStyle w:val="Heading1"/>
        <w:rPr/>
      </w:pPr>
      <w:r>
        <w:rPr/>
        <w:t>1. Introduction</w:t>
      </w:r>
    </w:p>
    <w:p xmlns:wp14="http://schemas.microsoft.com/office/word/2010/wordml" w14:paraId="60619F1B" wp14:textId="77777777">
      <w:pPr>
        <w:pStyle w:val="Heading2"/>
        <w:rPr/>
      </w:pPr>
      <w:r>
        <w:rPr/>
        <w:t>1.1 Topic overview and background</w:t>
      </w:r>
    </w:p>
    <w:p xmlns:wp14="http://schemas.microsoft.com/office/word/2010/wordml" w14:paraId="44DE9F21" wp14:textId="152686B2">
      <w:pPr>
        <w:pStyle w:val="TextBody"/>
        <w:spacing w:before="0" w:after="120" w:line="360" w:lineRule="auto"/>
        <w:ind w:firstLine="425"/>
        <w:jc w:val="both"/>
      </w:pPr>
      <w:r w:rsidR="2B3A6DBE">
        <w:rPr/>
        <w:t>A well-known marketing strategy is endorsement, which allows a company to take on the prominence, significance, and perceived attributes of a popular figure. Conventional celebrity endorsements typically depend on actors, artists, athletes, or other well-known figures whose notoriety was primarily built outside of social media. Influencer endorsement, on the other hand, is integrated into platform-based content and frequently relies on an influencer's perceived accessibility, specific knowledge, and ongoing interaction with followers. Both strategies can raise brand exposure and attention, but they don't always have a beneficial impact on customer trust. When an endorser seems trustworthy, genuine, and well-suited to a brand, trust may increase; yet, when the relationship seems solely commercial, poorly revealed, or at odds with the endorser's established identity, trust may decrease.</w:t>
      </w:r>
      <w:r w:rsidR="71EAE5B8">
        <w:rPr/>
        <w:t xml:space="preserve"> (Ohanian, 1990; Lou and Yuan, 2019; Schouten, Janssen and </w:t>
      </w:r>
      <w:r w:rsidR="71EAE5B8">
        <w:rPr/>
        <w:t>Verspaget</w:t>
      </w:r>
      <w:r w:rsidR="71EAE5B8">
        <w:rPr/>
        <w:t>, 2020).</w:t>
      </w:r>
    </w:p>
    <w:p w:rsidR="0654C7F1" w:rsidP="71EAE5B8" w:rsidRDefault="0654C7F1" w14:paraId="7DF5CE76" w14:textId="4C2C8F90">
      <w:pPr>
        <w:pStyle w:val="TextBody"/>
        <w:spacing w:before="0" w:after="120" w:line="360" w:lineRule="auto"/>
        <w:ind w:firstLine="425"/>
        <w:jc w:val="both"/>
      </w:pPr>
      <w:r w:rsidR="0654C7F1">
        <w:rPr/>
        <w:t>Using Zara and H&amp;M as comparative organisational cases, the proposed dissertation will investigate these problems in fast-fashion retail. While H&amp;M is the biggest brand in the H&amp;M Group and Zara is the main brand under Inditex, both companies have global operations and release a wealth of corporate and sustainability data that may be used to support a desk-based comparison (Inditex, 2026; H&amp;M Group, 2026). Fast fashion is a particularly pertinent context since consumer choices are heavily influenced by visuals, trends, and social media, and the industry is frequently criticised for its negative effects on the environment and society (Bick, Halsey, and Ekenga, 2018). In this context, an endorser may affect consumers' perceptions of a brand's broader promises and ideals as well as the desirability of the product.</w:t>
      </w:r>
    </w:p>
    <w:p xmlns:wp14="http://schemas.microsoft.com/office/word/2010/wordml" w14:paraId="6DABC61C" wp14:textId="77777777">
      <w:pPr>
        <w:pStyle w:val="Heading2"/>
        <w:rPr/>
      </w:pPr>
      <w:r w:rsidR="71EAE5B8">
        <w:rPr/>
        <w:t>1.2 Rationale and significance</w:t>
      </w:r>
    </w:p>
    <w:p w:rsidR="1CBA21F4" w:rsidP="71EAE5B8" w:rsidRDefault="1CBA21F4" w14:paraId="74770B83" w14:textId="05A8B3F4">
      <w:pPr>
        <w:pStyle w:val="TextBody"/>
        <w:spacing w:before="0" w:after="120" w:line="360" w:lineRule="auto"/>
        <w:ind w:firstLine="425"/>
        <w:jc w:val="both"/>
      </w:pPr>
      <w:r w:rsidR="1CBA21F4">
        <w:rPr/>
        <w:t>Three factors make the study noteworthy. First, rather than being a temporary communication result, customer trust is a strategic marketing asset. According to Delgado-Ballester and Munuera-Alemán (2001), brand trust is directly linked to loyalty and the readiness to take on risk in a purchasing relationship because it involves consumers' confident expectations that a brand would be dependable and act in their best interests. Second, the climate surrounding endorsements is evolving. While influencers can offer identity, conversational intimacy, and perceived product competence, celebrities can offer widespread recognition and symbolic value. Therefore, managers have to determine whether these options foster different kinds of trust and whether one strategy is more suited for certain audiences or messages.</w:t>
      </w:r>
    </w:p>
    <w:p w:rsidR="71EAE5B8" w:rsidP="71EAE5B8" w:rsidRDefault="71EAE5B8" w14:paraId="572F0FD1" w14:textId="1DF360FB">
      <w:pPr>
        <w:pStyle w:val="TextBody"/>
        <w:spacing w:before="0" w:after="120" w:line="360" w:lineRule="auto"/>
        <w:ind w:firstLine="425"/>
        <w:jc w:val="both"/>
      </w:pPr>
    </w:p>
    <w:p w:rsidR="1CBA21F4" w:rsidP="71EAE5B8" w:rsidRDefault="1CBA21F4" w14:paraId="40CC171D" w14:textId="50A9B37F">
      <w:pPr>
        <w:pStyle w:val="TextBody"/>
        <w:spacing w:before="0" w:after="120" w:line="360" w:lineRule="auto"/>
        <w:ind w:firstLine="425"/>
        <w:jc w:val="both"/>
      </w:pPr>
      <w:r w:rsidR="1CBA21F4">
        <w:rPr/>
        <w:t>Third, there may be a conflict between compelling visibility and trustworthiness in the fast-fashion setting. Alongside public discussions about excessive consumption, working conditions, and environmental effects, consumers could come across endorsements. This makes it crucial to look at whether confidence is strengthened by an endorser's perceived authenticity and fit or if it is undermined by consumerism and cynicism. While still being feasible through secondary research, a targeted comparison of Zara and H&amp;M can convert generic endorsement theory into sector-specific managerial implications. The study will not try to demonstrate that a certain business is more trusted by all. Rather, it will critically synthesise what is known regarding endorsement type, credibility, and brand trust.</w:t>
      </w:r>
    </w:p>
    <w:p xmlns:wp14="http://schemas.microsoft.com/office/word/2010/wordml" w14:paraId="63F39385" wp14:textId="77777777">
      <w:pPr>
        <w:pStyle w:val="Heading2"/>
        <w:rPr/>
      </w:pPr>
      <w:r>
        <w:rPr/>
        <w:t>1.3 Research aim, objectives and questions</w:t>
      </w:r>
    </w:p>
    <w:p xmlns:wp14="http://schemas.microsoft.com/office/word/2010/wordml" w14:paraId="72AA43B1" wp14:textId="77777777">
      <w:pPr>
        <w:pStyle w:val="Normal"/>
        <w:spacing w:before="0" w:after="100"/>
        <w:rPr/>
      </w:pPr>
      <w:r w:rsidRPr="71EAE5B8" w:rsidR="71EAE5B8">
        <w:rPr>
          <w:b w:val="1"/>
          <w:bCs w:val="1"/>
        </w:rPr>
        <w:t>Research aim</w:t>
      </w:r>
    </w:p>
    <w:p w:rsidR="4429893D" w:rsidP="71EAE5B8" w:rsidRDefault="4429893D" w14:paraId="2571BBB9" w14:textId="035518D8">
      <w:pPr>
        <w:pStyle w:val="TextBody"/>
        <w:spacing w:before="0" w:after="120" w:line="360" w:lineRule="auto"/>
        <w:jc w:val="both"/>
      </w:pPr>
      <w:r w:rsidR="4429893D">
        <w:rPr/>
        <w:t>To critically examine, utilising secondary data and current academic research, the effects of traditional celebrity endorsements and social media influencer endorsements on customer trust in fast-fashion retail firms, using Zara and H&amp;M as comparative business examples.</w:t>
      </w:r>
    </w:p>
    <w:p xmlns:wp14="http://schemas.microsoft.com/office/word/2010/wordml" w14:paraId="3C627DF9" wp14:textId="77777777">
      <w:pPr>
        <w:pStyle w:val="Normal"/>
        <w:rPr/>
      </w:pPr>
      <w:r>
        <w:rPr>
          <w:b/>
        </w:rPr>
        <w:t>Main research question</w:t>
      </w:r>
    </w:p>
    <w:p xmlns:wp14="http://schemas.microsoft.com/office/word/2010/wordml" w14:paraId="4077F6EB" wp14:textId="77777777">
      <w:pPr>
        <w:pStyle w:val="TextBody"/>
        <w:spacing w:before="0" w:after="120" w:line="360" w:lineRule="auto"/>
        <w:jc w:val="both"/>
        <w:rPr/>
      </w:pPr>
      <w:r>
        <w:rPr/>
        <w:t>How do traditional celebrity endorsements and social media influencer endorsements affect consumer trust in Zara and H&amp;M within the fast-fashion retail sector?</w:t>
      </w:r>
    </w:p>
    <w:p xmlns:wp14="http://schemas.microsoft.com/office/word/2010/wordml" w14:paraId="772A0648" wp14:textId="77777777">
      <w:pPr>
        <w:pStyle w:val="Normal"/>
        <w:rPr/>
      </w:pPr>
      <w:r>
        <w:rPr>
          <w:b/>
        </w:rPr>
        <w:t>Supporting questions</w:t>
      </w:r>
    </w:p>
    <w:p xmlns:wp14="http://schemas.microsoft.com/office/word/2010/wordml" w14:paraId="4E5A1298" wp14:textId="77777777">
      <w:pPr>
        <w:pStyle w:val="ListBullet"/>
        <w:numPr>
          <w:ilvl w:val="0"/>
          <w:numId w:val="1"/>
        </w:numPr>
        <w:spacing w:before="0" w:after="40" w:line="252" w:lineRule="auto"/>
        <w:ind w:left="425" w:hanging="198"/>
        <w:contextualSpacing/>
        <w:rPr/>
      </w:pPr>
      <w:r>
        <w:rPr>
          <w:sz w:val="21"/>
        </w:rPr>
        <w:t>Which endorser attributes are most consistently associated with consumer trust?</w:t>
      </w:r>
    </w:p>
    <w:p xmlns:wp14="http://schemas.microsoft.com/office/word/2010/wordml" w14:paraId="1A0EB0A9" wp14:textId="77777777">
      <w:pPr>
        <w:pStyle w:val="ListBullet"/>
        <w:numPr>
          <w:ilvl w:val="0"/>
          <w:numId w:val="1"/>
        </w:numPr>
        <w:spacing w:before="0" w:after="40" w:line="252" w:lineRule="auto"/>
        <w:ind w:left="425" w:hanging="198"/>
        <w:contextualSpacing/>
        <w:rPr/>
      </w:pPr>
      <w:r>
        <w:rPr>
          <w:sz w:val="21"/>
        </w:rPr>
        <w:t>How do identification, parasocial interaction, endorser-brand fit and advertising disclosure shape the relationship between endorsement type and trust?</w:t>
      </w:r>
    </w:p>
    <w:p xmlns:wp14="http://schemas.microsoft.com/office/word/2010/wordml" w14:paraId="78A3E2F8" wp14:textId="77777777">
      <w:pPr>
        <w:pStyle w:val="ListBullet"/>
        <w:numPr>
          <w:ilvl w:val="0"/>
          <w:numId w:val="1"/>
        </w:numPr>
        <w:spacing w:before="0" w:after="40" w:line="252" w:lineRule="auto"/>
        <w:ind w:left="425" w:hanging="198"/>
        <w:contextualSpacing/>
        <w:rPr/>
      </w:pPr>
      <w:r>
        <w:rPr>
          <w:sz w:val="21"/>
        </w:rPr>
        <w:t>What similarities and differences emerge from the available secondary evidence concerning Zara and H&amp;M?</w:t>
      </w:r>
    </w:p>
    <w:p w:rsidR="5AAD919A" w:rsidP="71EAE5B8" w:rsidRDefault="5AAD919A" w14:paraId="599672CB" w14:textId="6DC88547">
      <w:pPr>
        <w:pStyle w:val="ListBullet"/>
        <w:numPr>
          <w:ilvl w:val="0"/>
          <w:numId w:val="1"/>
        </w:numPr>
        <w:spacing w:before="0" w:after="40" w:line="252" w:lineRule="auto"/>
        <w:ind w:left="425" w:hanging="198"/>
        <w:contextualSpacing w:val="1"/>
        <w:rPr>
          <w:sz w:val="21"/>
          <w:szCs w:val="21"/>
        </w:rPr>
      </w:pPr>
      <w:r w:rsidRPr="71EAE5B8" w:rsidR="71EAE5B8">
        <w:rPr>
          <w:sz w:val="21"/>
          <w:szCs w:val="21"/>
        </w:rPr>
        <w:t>What practical implications follow for endorsement strategy in fast-fashion retail?</w:t>
      </w:r>
    </w:p>
    <w:p w:rsidR="71EAE5B8" w:rsidP="71EAE5B8" w:rsidRDefault="71EAE5B8" w14:paraId="2E067BE8" w14:textId="173A5C27">
      <w:pPr>
        <w:pStyle w:val="ListBullet"/>
        <w:spacing w:before="0" w:after="40" w:line="252" w:lineRule="auto"/>
        <w:contextualSpacing w:val="1"/>
        <w:rPr>
          <w:sz w:val="21"/>
          <w:szCs w:val="21"/>
        </w:rPr>
      </w:pPr>
    </w:p>
    <w:p w:rsidR="71EAE5B8" w:rsidP="71EAE5B8" w:rsidRDefault="71EAE5B8" w14:paraId="6F265699" w14:textId="30BAE09F">
      <w:pPr>
        <w:pStyle w:val="ListBullet"/>
        <w:spacing w:before="0" w:after="40" w:line="252" w:lineRule="auto"/>
        <w:contextualSpacing w:val="1"/>
        <w:rPr>
          <w:sz w:val="21"/>
          <w:szCs w:val="21"/>
        </w:rPr>
      </w:pPr>
    </w:p>
    <w:p w:rsidR="71EAE5B8" w:rsidP="71EAE5B8" w:rsidRDefault="71EAE5B8" w14:paraId="4F9F3EF7" w14:textId="38953B38">
      <w:pPr>
        <w:pStyle w:val="ListBullet"/>
        <w:spacing w:before="0" w:after="40" w:line="252" w:lineRule="auto"/>
        <w:contextualSpacing w:val="1"/>
        <w:rPr>
          <w:sz w:val="21"/>
          <w:szCs w:val="21"/>
        </w:rPr>
      </w:pPr>
    </w:p>
    <w:p w:rsidR="71EAE5B8" w:rsidP="71EAE5B8" w:rsidRDefault="71EAE5B8" w14:paraId="1B925FA3" w14:textId="128257E9">
      <w:pPr>
        <w:pStyle w:val="ListBullet"/>
        <w:spacing w:before="0" w:after="40" w:line="252" w:lineRule="auto"/>
        <w:contextualSpacing w:val="1"/>
        <w:rPr>
          <w:sz w:val="21"/>
          <w:szCs w:val="21"/>
        </w:rPr>
      </w:pPr>
    </w:p>
    <w:p w:rsidR="71EAE5B8" w:rsidP="71EAE5B8" w:rsidRDefault="71EAE5B8" w14:paraId="4A59F140" w14:textId="225F0CE1">
      <w:pPr>
        <w:pStyle w:val="ListBullet"/>
        <w:spacing w:before="0" w:after="40" w:line="252" w:lineRule="auto"/>
        <w:contextualSpacing w:val="1"/>
        <w:rPr>
          <w:sz w:val="21"/>
          <w:szCs w:val="21"/>
        </w:rPr>
      </w:pPr>
    </w:p>
    <w:p w:rsidR="71EAE5B8" w:rsidP="71EAE5B8" w:rsidRDefault="71EAE5B8" w14:paraId="4DAAEA77" w14:textId="0C6AA2CF">
      <w:pPr>
        <w:pStyle w:val="ListBullet"/>
        <w:spacing w:before="0" w:after="40" w:line="252" w:lineRule="auto"/>
        <w:contextualSpacing w:val="1"/>
        <w:rPr>
          <w:sz w:val="21"/>
          <w:szCs w:val="21"/>
        </w:rPr>
      </w:pPr>
    </w:p>
    <w:p w:rsidR="71EAE5B8" w:rsidP="71EAE5B8" w:rsidRDefault="71EAE5B8" w14:paraId="616FD4D3" w14:textId="1FF4413F">
      <w:pPr>
        <w:pStyle w:val="ListBullet"/>
        <w:spacing w:before="0" w:after="40" w:line="252" w:lineRule="auto"/>
        <w:contextualSpacing w:val="1"/>
        <w:rPr>
          <w:sz w:val="21"/>
          <w:szCs w:val="21"/>
        </w:rPr>
      </w:pPr>
    </w:p>
    <w:p w:rsidR="71EAE5B8" w:rsidP="71EAE5B8" w:rsidRDefault="71EAE5B8" w14:paraId="52C1C365" w14:textId="19FDCB1A">
      <w:pPr>
        <w:pStyle w:val="ListBullet"/>
        <w:spacing w:before="0" w:after="40" w:line="252" w:lineRule="auto"/>
        <w:contextualSpacing w:val="1"/>
        <w:rPr>
          <w:sz w:val="21"/>
          <w:szCs w:val="21"/>
        </w:rPr>
      </w:pPr>
    </w:p>
    <w:p w:rsidR="71EAE5B8" w:rsidP="71EAE5B8" w:rsidRDefault="71EAE5B8" w14:paraId="546536F1" w14:textId="56EEA66C">
      <w:pPr>
        <w:pStyle w:val="ListBullet"/>
        <w:spacing w:before="0" w:after="40" w:line="252" w:lineRule="auto"/>
        <w:contextualSpacing w:val="1"/>
        <w:rPr>
          <w:sz w:val="21"/>
          <w:szCs w:val="21"/>
        </w:rPr>
      </w:pPr>
    </w:p>
    <w:p w:rsidR="71EAE5B8" w:rsidP="71EAE5B8" w:rsidRDefault="71EAE5B8" w14:paraId="4021C124" w14:textId="617F9699">
      <w:pPr>
        <w:pStyle w:val="ListBullet"/>
        <w:spacing w:before="0" w:after="40" w:line="252" w:lineRule="auto"/>
        <w:contextualSpacing w:val="1"/>
        <w:rPr>
          <w:sz w:val="21"/>
          <w:szCs w:val="21"/>
        </w:rPr>
      </w:pPr>
    </w:p>
    <w:p w:rsidR="71EAE5B8" w:rsidP="71EAE5B8" w:rsidRDefault="71EAE5B8" w14:paraId="0FAB5298" w14:textId="7CAEB531">
      <w:pPr>
        <w:pStyle w:val="ListBullet"/>
        <w:spacing w:before="0" w:after="40" w:line="252" w:lineRule="auto"/>
        <w:contextualSpacing w:val="1"/>
        <w:rPr>
          <w:sz w:val="21"/>
          <w:szCs w:val="21"/>
        </w:rPr>
      </w:pPr>
    </w:p>
    <w:p w:rsidR="71EAE5B8" w:rsidP="71EAE5B8" w:rsidRDefault="71EAE5B8" w14:paraId="33416A33" w14:textId="178AB306">
      <w:pPr>
        <w:pStyle w:val="ListBullet"/>
        <w:spacing w:before="0" w:after="40" w:line="252" w:lineRule="auto"/>
        <w:contextualSpacing w:val="1"/>
        <w:rPr>
          <w:sz w:val="21"/>
          <w:szCs w:val="21"/>
        </w:rPr>
      </w:pPr>
    </w:p>
    <w:p w:rsidR="71EAE5B8" w:rsidP="71EAE5B8" w:rsidRDefault="71EAE5B8" w14:paraId="50D1B7E6" w14:textId="716D879F">
      <w:pPr>
        <w:pStyle w:val="ListBullet"/>
        <w:spacing w:before="0" w:after="40" w:line="252" w:lineRule="auto"/>
        <w:contextualSpacing w:val="1"/>
        <w:rPr>
          <w:sz w:val="21"/>
          <w:szCs w:val="21"/>
        </w:rPr>
      </w:pPr>
    </w:p>
    <w:p w:rsidR="71EAE5B8" w:rsidP="71EAE5B8" w:rsidRDefault="71EAE5B8" w14:paraId="532AEF0E" w14:textId="007842BA">
      <w:pPr>
        <w:pStyle w:val="ListBullet"/>
        <w:spacing w:before="0" w:after="40" w:line="252" w:lineRule="auto"/>
        <w:contextualSpacing w:val="1"/>
        <w:rPr>
          <w:sz w:val="21"/>
          <w:szCs w:val="21"/>
        </w:rPr>
      </w:pPr>
    </w:p>
    <w:p w:rsidR="71EAE5B8" w:rsidP="71EAE5B8" w:rsidRDefault="71EAE5B8" w14:paraId="4CDF6F8A" w14:textId="35B4480A">
      <w:pPr>
        <w:pStyle w:val="ListBullet"/>
        <w:spacing w:before="0" w:after="40" w:line="252" w:lineRule="auto"/>
        <w:contextualSpacing w:val="1"/>
        <w:rPr>
          <w:sz w:val="21"/>
          <w:szCs w:val="21"/>
        </w:rPr>
      </w:pPr>
    </w:p>
    <w:p w:rsidR="71EAE5B8" w:rsidP="71EAE5B8" w:rsidRDefault="71EAE5B8" w14:paraId="7D0D427C" w14:textId="32F010D1">
      <w:pPr>
        <w:pStyle w:val="ListBullet"/>
        <w:spacing w:before="0" w:after="40" w:line="252" w:lineRule="auto"/>
        <w:contextualSpacing w:val="1"/>
        <w:rPr>
          <w:sz w:val="21"/>
          <w:szCs w:val="21"/>
        </w:rPr>
      </w:pPr>
    </w:p>
    <w:p w:rsidR="71EAE5B8" w:rsidP="71EAE5B8" w:rsidRDefault="71EAE5B8" w14:paraId="7F645FEF" w14:textId="60A66585">
      <w:pPr>
        <w:pStyle w:val="ListBullet"/>
        <w:spacing w:before="0" w:after="40" w:line="252" w:lineRule="auto"/>
        <w:contextualSpacing w:val="1"/>
        <w:rPr>
          <w:sz w:val="21"/>
          <w:szCs w:val="21"/>
        </w:rPr>
      </w:pPr>
    </w:p>
    <w:p w:rsidR="71EAE5B8" w:rsidP="71EAE5B8" w:rsidRDefault="71EAE5B8" w14:paraId="7BB5E7A7" w14:textId="2B80F32E">
      <w:pPr>
        <w:pStyle w:val="ListBullet"/>
        <w:spacing w:before="0" w:after="40" w:line="252" w:lineRule="auto"/>
        <w:contextualSpacing w:val="1"/>
        <w:rPr>
          <w:sz w:val="21"/>
          <w:szCs w:val="21"/>
        </w:rPr>
      </w:pPr>
    </w:p>
    <w:p w:rsidR="71EAE5B8" w:rsidP="71EAE5B8" w:rsidRDefault="71EAE5B8" w14:paraId="4AB05763" w14:textId="7D3E1B71">
      <w:pPr>
        <w:pStyle w:val="ListBullet"/>
        <w:spacing w:before="0" w:after="40" w:line="252" w:lineRule="auto"/>
        <w:contextualSpacing w:val="1"/>
        <w:rPr>
          <w:sz w:val="21"/>
          <w:szCs w:val="21"/>
        </w:rPr>
      </w:pPr>
    </w:p>
    <w:p w:rsidR="71EAE5B8" w:rsidP="71EAE5B8" w:rsidRDefault="71EAE5B8" w14:paraId="3ECAF7ED" w14:textId="34F7332C">
      <w:pPr>
        <w:pStyle w:val="ListBullet"/>
        <w:spacing w:before="0" w:after="40" w:line="252" w:lineRule="auto"/>
        <w:contextualSpacing w:val="1"/>
        <w:rPr>
          <w:sz w:val="21"/>
          <w:szCs w:val="21"/>
        </w:rPr>
      </w:pPr>
    </w:p>
    <w:p w:rsidR="6CF557F9" w:rsidP="07DBD3B3" w:rsidRDefault="6CF557F9" w14:paraId="3D2FF706" w14:textId="1323F0E7">
      <w:pPr>
        <w:spacing w:before="240" w:beforeAutospacing="off" w:after="119" w:afterAutospacing="off" w:line="240" w:lineRule="auto"/>
      </w:pPr>
      <w:r w:rsidRPr="07DBD3B3" w:rsidR="6CF557F9">
        <w:rPr>
          <w:rFonts w:ascii="Calibri" w:hAnsi="Calibri" w:eastAsia="Calibri" w:cs="Calibri"/>
          <w:b w:val="1"/>
          <w:bCs w:val="1"/>
          <w:noProof w:val="0"/>
          <w:sz w:val="24"/>
          <w:szCs w:val="24"/>
          <w:lang w:val="en-US"/>
        </w:rPr>
        <w:t>Objectives:</w:t>
      </w:r>
    </w:p>
    <w:p w:rsidR="6CF557F9" w:rsidP="07DBD3B3" w:rsidRDefault="6CF557F9" w14:paraId="6CE351EB" w14:textId="72F96727">
      <w:pPr>
        <w:spacing w:before="240" w:beforeAutospacing="off" w:after="240" w:afterAutospacing="off"/>
      </w:pPr>
    </w:p>
    <w:p w:rsidR="5C5004DE" w:rsidP="71EAE5B8" w:rsidRDefault="5C5004DE" w14:paraId="587A7705" w14:textId="4D797974">
      <w:pPr>
        <w:pStyle w:val="ListParagraph"/>
        <w:numPr>
          <w:ilvl w:val="0"/>
          <w:numId w:val="3"/>
        </w:numPr>
        <w:spacing w:before="240" w:beforeAutospacing="off" w:after="240" w:afterAutospacing="off" w:line="240" w:lineRule="auto"/>
        <w:rPr/>
      </w:pPr>
      <w:r w:rsidRPr="71EAE5B8" w:rsidR="5C5004DE">
        <w:rPr>
          <w:noProof w:val="0"/>
          <w:lang w:val="en-US"/>
        </w:rPr>
        <w:t>To critically review academic literature on celebrity endorsement and social media influencer marketing, focusing on their effects on consumer trust.</w:t>
      </w:r>
    </w:p>
    <w:p w:rsidR="6CF557F9" w:rsidP="07DBD3B3" w:rsidRDefault="6CF557F9" w14:paraId="23E4AD6B" w14:textId="18EFC304">
      <w:pPr>
        <w:spacing w:before="0" w:beforeAutospacing="off" w:after="0" w:afterAutospacing="off"/>
      </w:pPr>
    </w:p>
    <w:p w:rsidR="5C5004DE" w:rsidP="71EAE5B8" w:rsidRDefault="5C5004DE" w14:paraId="29DCB661" w14:textId="641C9E59">
      <w:pPr>
        <w:pStyle w:val="ListParagraph"/>
        <w:numPr>
          <w:ilvl w:val="0"/>
          <w:numId w:val="3"/>
        </w:numPr>
        <w:spacing w:before="240" w:beforeAutospacing="off" w:after="240" w:afterAutospacing="off" w:line="240" w:lineRule="auto"/>
        <w:rPr/>
      </w:pPr>
      <w:r w:rsidRPr="71EAE5B8" w:rsidR="5C5004DE">
        <w:rPr>
          <w:noProof w:val="0"/>
          <w:lang w:val="en-US"/>
        </w:rPr>
        <w:t>To examine H&amp;M’s use of celebrity and influencer collaborations and compare it with Zara’s more limited use of paid endorsement.</w:t>
      </w:r>
    </w:p>
    <w:p w:rsidR="6CF557F9" w:rsidP="07DBD3B3" w:rsidRDefault="6CF557F9" w14:paraId="54342681" w14:textId="261B93E6">
      <w:pPr>
        <w:spacing w:before="0" w:beforeAutospacing="off" w:after="0" w:afterAutospacing="off"/>
      </w:pPr>
    </w:p>
    <w:p w:rsidR="5C5004DE" w:rsidP="71EAE5B8" w:rsidRDefault="5C5004DE" w14:paraId="5F8FB358" w14:textId="7D275166">
      <w:pPr>
        <w:pStyle w:val="ListParagraph"/>
        <w:numPr>
          <w:ilvl w:val="0"/>
          <w:numId w:val="3"/>
        </w:numPr>
        <w:spacing w:before="240" w:beforeAutospacing="off" w:after="240" w:afterAutospacing="off" w:line="240" w:lineRule="auto"/>
        <w:rPr/>
      </w:pPr>
      <w:r w:rsidRPr="71EAE5B8" w:rsidR="5C5004DE">
        <w:rPr>
          <w:noProof w:val="0"/>
          <w:lang w:val="en-US"/>
        </w:rPr>
        <w:t xml:space="preserve">To </w:t>
      </w:r>
      <w:r w:rsidRPr="71EAE5B8" w:rsidR="5C5004DE">
        <w:rPr>
          <w:noProof w:val="0"/>
          <w:lang w:val="en-US"/>
        </w:rPr>
        <w:t>compare</w:t>
      </w:r>
      <w:r w:rsidRPr="71EAE5B8" w:rsidR="5C5004DE">
        <w:rPr>
          <w:noProof w:val="0"/>
          <w:lang w:val="en-US"/>
        </w:rPr>
        <w:t xml:space="preserve"> the effectiveness of celebrity endorsement, influencer </w:t>
      </w:r>
      <w:r w:rsidRPr="71EAE5B8" w:rsidR="5C5004DE">
        <w:rPr>
          <w:noProof w:val="0"/>
          <w:lang w:val="en-US"/>
        </w:rPr>
        <w:t>endorsement</w:t>
      </w:r>
      <w:r w:rsidRPr="71EAE5B8" w:rsidR="5C5004DE">
        <w:rPr>
          <w:noProof w:val="0"/>
          <w:lang w:val="en-US"/>
        </w:rPr>
        <w:t xml:space="preserve"> and an endorsement-light strategy in building or undermining consumer trust in H&amp;M and Zara.</w:t>
      </w:r>
    </w:p>
    <w:p w:rsidR="6CF557F9" w:rsidP="07DBD3B3" w:rsidRDefault="6CF557F9" w14:paraId="3ECD9704" w14:textId="3A535D13">
      <w:pPr>
        <w:spacing w:before="0" w:beforeAutospacing="off" w:after="0" w:afterAutospacing="off"/>
      </w:pPr>
    </w:p>
    <w:p w:rsidR="6CF557F9" w:rsidP="07DBD3B3" w:rsidRDefault="6CF557F9" w14:paraId="5119634D" w14:textId="2158AAF2">
      <w:pPr>
        <w:pStyle w:val="ListParagraph"/>
        <w:numPr>
          <w:ilvl w:val="0"/>
          <w:numId w:val="3"/>
        </w:numPr>
        <w:spacing w:before="240" w:beforeAutospacing="off" w:after="240" w:afterAutospacing="off" w:line="240" w:lineRule="auto"/>
        <w:rPr>
          <w:rFonts w:ascii="Calibri" w:hAnsi="Calibri" w:eastAsia="Calibri" w:cs="Calibri"/>
          <w:noProof w:val="0"/>
          <w:sz w:val="24"/>
          <w:szCs w:val="24"/>
          <w:lang w:val="en-US"/>
        </w:rPr>
      </w:pPr>
      <w:r w:rsidRPr="71EAE5B8" w:rsidR="5C5004DE">
        <w:rPr>
          <w:noProof w:val="0"/>
          <w:lang w:val="en-US"/>
        </w:rPr>
        <w:t>To identify the contextual factors that influence the relationship between endorsement strategy and consumer trust, including brand reputation, endorser credibility, authenticity, disclosure practices and social media platform.</w:t>
      </w:r>
      <w:r w:rsidRPr="71EAE5B8" w:rsidR="19AFADF5">
        <w:rPr>
          <w:rFonts w:ascii="Calibri" w:hAnsi="Calibri" w:eastAsia="Calibri" w:cs="Calibri"/>
          <w:noProof w:val="0"/>
          <w:sz w:val="24"/>
          <w:szCs w:val="24"/>
          <w:lang w:val="en-US"/>
        </w:rPr>
        <w:t>.</w:t>
      </w:r>
    </w:p>
    <w:p w:rsidR="6CF557F9" w:rsidP="07DBD3B3" w:rsidRDefault="6CF557F9" w14:paraId="3935D25B" w14:textId="56639094">
      <w:pPr>
        <w:spacing w:before="0" w:beforeAutospacing="off" w:after="0" w:afterAutospacing="off"/>
      </w:pPr>
    </w:p>
    <w:p w:rsidR="7762A157" w:rsidP="71EAE5B8" w:rsidRDefault="7762A157" w14:paraId="4A9F68B4" w14:textId="317A45E5">
      <w:pPr>
        <w:pStyle w:val="ListParagraph"/>
        <w:numPr>
          <w:ilvl w:val="0"/>
          <w:numId w:val="3"/>
        </w:numPr>
        <w:spacing w:before="240" w:beforeAutospacing="off" w:after="240" w:afterAutospacing="off" w:line="240" w:lineRule="auto"/>
        <w:rPr/>
      </w:pPr>
      <w:r w:rsidRPr="71EAE5B8" w:rsidR="7762A157">
        <w:rPr>
          <w:noProof w:val="0"/>
          <w:lang w:val="en-US"/>
        </w:rPr>
        <w:t>To develop evidence-based recommendations for fast-fashion brands concerning the strategic and ethical use of celebrity and influencer endorsements.</w:t>
      </w:r>
    </w:p>
    <w:p w:rsidR="71EAE5B8" w:rsidP="71EAE5B8" w:rsidRDefault="71EAE5B8" w14:paraId="6F4ACDFA" w14:textId="3AD353E8">
      <w:pPr>
        <w:spacing w:before="198" w:beforeAutospacing="off" w:after="119" w:afterAutospacing="off" w:line="240" w:lineRule="auto"/>
        <w:rPr>
          <w:rFonts w:ascii="Calibri" w:hAnsi="Calibri" w:eastAsia="Calibri" w:cs="Calibri"/>
          <w:b w:val="1"/>
          <w:bCs w:val="1"/>
          <w:noProof w:val="0"/>
          <w:sz w:val="24"/>
          <w:szCs w:val="24"/>
          <w:lang w:val="en-US"/>
        </w:rPr>
      </w:pPr>
    </w:p>
    <w:p w:rsidR="71EAE5B8" w:rsidP="71EAE5B8" w:rsidRDefault="71EAE5B8" w14:paraId="15C5EC77" w14:textId="4A154AB9">
      <w:pPr>
        <w:spacing w:before="198" w:beforeAutospacing="off" w:after="119" w:afterAutospacing="off" w:line="240" w:lineRule="auto"/>
        <w:rPr>
          <w:rFonts w:ascii="Calibri" w:hAnsi="Calibri" w:eastAsia="Calibri" w:cs="Calibri"/>
          <w:b w:val="1"/>
          <w:bCs w:val="1"/>
          <w:noProof w:val="0"/>
          <w:sz w:val="24"/>
          <w:szCs w:val="24"/>
          <w:lang w:val="en-US"/>
        </w:rPr>
      </w:pPr>
    </w:p>
    <w:p w:rsidR="71EAE5B8" w:rsidP="71EAE5B8" w:rsidRDefault="71EAE5B8" w14:paraId="1C917205" w14:textId="10FA7A57">
      <w:pPr>
        <w:spacing w:before="198" w:beforeAutospacing="off" w:after="119" w:afterAutospacing="off" w:line="240" w:lineRule="auto"/>
        <w:rPr>
          <w:rFonts w:ascii="Calibri" w:hAnsi="Calibri" w:eastAsia="Calibri" w:cs="Calibri"/>
          <w:b w:val="1"/>
          <w:bCs w:val="1"/>
          <w:noProof w:val="0"/>
          <w:sz w:val="24"/>
          <w:szCs w:val="24"/>
          <w:lang w:val="en-US"/>
        </w:rPr>
      </w:pPr>
    </w:p>
    <w:p w:rsidR="71EAE5B8" w:rsidP="71EAE5B8" w:rsidRDefault="71EAE5B8" w14:paraId="73F8017C" w14:textId="5CE9B13C">
      <w:pPr>
        <w:spacing w:before="198" w:beforeAutospacing="off" w:after="119" w:afterAutospacing="off" w:line="240" w:lineRule="auto"/>
        <w:rPr>
          <w:rFonts w:ascii="Calibri" w:hAnsi="Calibri" w:eastAsia="Calibri" w:cs="Calibri"/>
          <w:b w:val="1"/>
          <w:bCs w:val="1"/>
          <w:noProof w:val="0"/>
          <w:sz w:val="24"/>
          <w:szCs w:val="24"/>
          <w:lang w:val="en-US"/>
        </w:rPr>
      </w:pPr>
    </w:p>
    <w:p w:rsidR="71EAE5B8" w:rsidP="71EAE5B8" w:rsidRDefault="71EAE5B8" w14:paraId="472122DF" w14:textId="7921CA34">
      <w:pPr>
        <w:spacing w:before="198" w:beforeAutospacing="off" w:after="119" w:afterAutospacing="off" w:line="240" w:lineRule="auto"/>
        <w:rPr>
          <w:rFonts w:ascii="Calibri" w:hAnsi="Calibri" w:eastAsia="Calibri" w:cs="Calibri"/>
          <w:b w:val="1"/>
          <w:bCs w:val="1"/>
          <w:noProof w:val="0"/>
          <w:sz w:val="24"/>
          <w:szCs w:val="24"/>
          <w:lang w:val="en-US"/>
        </w:rPr>
      </w:pPr>
    </w:p>
    <w:p w:rsidR="6CF557F9" w:rsidP="07DBD3B3" w:rsidRDefault="6CF557F9" w14:paraId="35C11BE7" w14:textId="531C816A">
      <w:pPr>
        <w:spacing w:before="198" w:beforeAutospacing="off" w:after="119" w:afterAutospacing="off" w:line="240" w:lineRule="auto"/>
      </w:pPr>
      <w:r w:rsidRPr="07DBD3B3" w:rsidR="6CF557F9">
        <w:rPr>
          <w:rFonts w:ascii="Calibri" w:hAnsi="Calibri" w:eastAsia="Calibri" w:cs="Calibri"/>
          <w:b w:val="1"/>
          <w:bCs w:val="1"/>
          <w:noProof w:val="0"/>
          <w:sz w:val="24"/>
          <w:szCs w:val="24"/>
          <w:lang w:val="en-US"/>
        </w:rPr>
        <w:t>Research Questions:</w:t>
      </w:r>
    </w:p>
    <w:p w:rsidR="6CF557F9" w:rsidP="07DBD3B3" w:rsidRDefault="6CF557F9" w14:paraId="476D91B4" w14:textId="5EC93869">
      <w:pPr>
        <w:spacing w:before="240" w:beforeAutospacing="off" w:after="240" w:afterAutospacing="off"/>
      </w:pPr>
    </w:p>
    <w:p w:rsidR="41521A68" w:rsidP="71EAE5B8" w:rsidRDefault="41521A68" w14:paraId="7D617654" w14:textId="0219101C">
      <w:pPr>
        <w:pStyle w:val="ListParagraph"/>
        <w:numPr>
          <w:ilvl w:val="0"/>
          <w:numId w:val="4"/>
        </w:numPr>
        <w:spacing w:before="240" w:beforeAutospacing="off" w:after="240" w:afterAutospacing="off" w:line="240" w:lineRule="auto"/>
        <w:rPr/>
      </w:pPr>
      <w:r w:rsidRPr="71EAE5B8" w:rsidR="41521A68">
        <w:rPr>
          <w:noProof w:val="0"/>
          <w:lang w:val="en-US"/>
        </w:rPr>
        <w:t>How do celebrity and social media influencer endorsements affect consumer trust, according to existing academic literature?</w:t>
      </w:r>
    </w:p>
    <w:p w:rsidR="6CF557F9" w:rsidP="07DBD3B3" w:rsidRDefault="6CF557F9" w14:paraId="3E843D01" w14:textId="1D766C21">
      <w:pPr>
        <w:spacing w:before="0" w:beforeAutospacing="off" w:after="0" w:afterAutospacing="off"/>
      </w:pPr>
    </w:p>
    <w:p w:rsidR="41521A68" w:rsidP="71EAE5B8" w:rsidRDefault="41521A68" w14:paraId="39B09EE4" w14:textId="24181985">
      <w:pPr>
        <w:pStyle w:val="ListParagraph"/>
        <w:numPr>
          <w:ilvl w:val="0"/>
          <w:numId w:val="4"/>
        </w:numPr>
        <w:spacing w:before="240" w:beforeAutospacing="off" w:after="240" w:afterAutospacing="off" w:line="240" w:lineRule="auto"/>
        <w:rPr/>
      </w:pPr>
      <w:r w:rsidRPr="71EAE5B8" w:rsidR="41521A68">
        <w:rPr>
          <w:noProof w:val="0"/>
          <w:lang w:val="en-US"/>
        </w:rPr>
        <w:t>How does H&amp;M’s use of celebrity and influencer collaborations influence consumer trust compared with Zara’s more endorsement-light approach?</w:t>
      </w:r>
    </w:p>
    <w:p w:rsidR="6CF557F9" w:rsidP="07DBD3B3" w:rsidRDefault="6CF557F9" w14:paraId="5288DA66" w14:textId="0F5B45DC">
      <w:pPr>
        <w:spacing w:before="0" w:beforeAutospacing="off" w:after="0" w:afterAutospacing="off"/>
      </w:pPr>
    </w:p>
    <w:p w:rsidR="41521A68" w:rsidP="71EAE5B8" w:rsidRDefault="41521A68" w14:paraId="57E8DEB2" w14:textId="5B7D9812">
      <w:pPr>
        <w:pStyle w:val="ListParagraph"/>
        <w:numPr>
          <w:ilvl w:val="0"/>
          <w:numId w:val="4"/>
        </w:numPr>
        <w:spacing w:before="240" w:beforeAutospacing="off" w:after="240" w:afterAutospacing="off" w:line="240" w:lineRule="auto"/>
        <w:rPr/>
      </w:pPr>
      <w:r w:rsidRPr="71EAE5B8" w:rsidR="41521A68">
        <w:rPr>
          <w:noProof w:val="0"/>
          <w:lang w:val="en-US"/>
        </w:rPr>
        <w:t>What similarities and differences exist between celebrity endorsement, influencer endorsement and endorsement-light marketing in their effects on consumer trust?</w:t>
      </w:r>
    </w:p>
    <w:p w:rsidR="6CF557F9" w:rsidP="07DBD3B3" w:rsidRDefault="6CF557F9" w14:paraId="1D8A5038" w14:textId="706CA10D">
      <w:pPr>
        <w:spacing w:before="0" w:beforeAutospacing="off" w:after="0" w:afterAutospacing="off"/>
      </w:pPr>
    </w:p>
    <w:p w:rsidR="41521A68" w:rsidP="71EAE5B8" w:rsidRDefault="41521A68" w14:paraId="31F6CF52" w14:textId="180E7112">
      <w:pPr>
        <w:pStyle w:val="ListParagraph"/>
        <w:numPr>
          <w:ilvl w:val="0"/>
          <w:numId w:val="4"/>
        </w:numPr>
        <w:spacing w:before="240" w:beforeAutospacing="off" w:after="240" w:afterAutospacing="off" w:line="240" w:lineRule="auto"/>
        <w:rPr/>
      </w:pPr>
      <w:r w:rsidRPr="71EAE5B8" w:rsidR="41521A68">
        <w:rPr>
          <w:noProof w:val="0"/>
          <w:lang w:val="en-US"/>
        </w:rPr>
        <w:t>What factors moderate or mediate the relationship between endorsement strategy and consumer trust in the cases of H&amp;M and Zara?</w:t>
      </w:r>
    </w:p>
    <w:p w:rsidR="07DBD3B3" w:rsidP="07DBD3B3" w:rsidRDefault="07DBD3B3" w14:paraId="2A816D1C" w14:textId="3DDE0768">
      <w:pPr>
        <w:pStyle w:val="Normal"/>
      </w:pPr>
    </w:p>
    <w:p w:rsidR="71EAE5B8" w:rsidP="71EAE5B8" w:rsidRDefault="71EAE5B8" w14:paraId="6DC1A667" w14:textId="6EC78031">
      <w:pPr>
        <w:pStyle w:val="Normal"/>
      </w:pPr>
    </w:p>
    <w:p w:rsidR="71EAE5B8" w:rsidP="71EAE5B8" w:rsidRDefault="71EAE5B8" w14:paraId="0859E1EC" w14:textId="36B0A5E2">
      <w:pPr>
        <w:pStyle w:val="Normal"/>
      </w:pPr>
    </w:p>
    <w:p w:rsidR="71EAE5B8" w:rsidP="71EAE5B8" w:rsidRDefault="71EAE5B8" w14:paraId="4896A5F7" w14:textId="701D39CF">
      <w:pPr>
        <w:pStyle w:val="Normal"/>
      </w:pPr>
    </w:p>
    <w:p w:rsidR="71EAE5B8" w:rsidP="71EAE5B8" w:rsidRDefault="71EAE5B8" w14:paraId="3B3090D6" w14:textId="3B2EDBFF">
      <w:pPr>
        <w:pStyle w:val="Normal"/>
      </w:pPr>
    </w:p>
    <w:p w:rsidR="71EAE5B8" w:rsidP="71EAE5B8" w:rsidRDefault="71EAE5B8" w14:paraId="508ED67D" w14:textId="1B13B8AD">
      <w:pPr>
        <w:pStyle w:val="Normal"/>
      </w:pPr>
    </w:p>
    <w:p w:rsidR="71EAE5B8" w:rsidP="71EAE5B8" w:rsidRDefault="71EAE5B8" w14:paraId="311508A6" w14:textId="17E377FD">
      <w:pPr>
        <w:pStyle w:val="Normal"/>
      </w:pPr>
    </w:p>
    <w:p w:rsidR="71EAE5B8" w:rsidP="71EAE5B8" w:rsidRDefault="71EAE5B8" w14:paraId="010B6534" w14:textId="61373353">
      <w:pPr>
        <w:pStyle w:val="Normal"/>
      </w:pPr>
    </w:p>
    <w:p w:rsidR="71EAE5B8" w:rsidP="71EAE5B8" w:rsidRDefault="71EAE5B8" w14:paraId="502BE220" w14:textId="6313EA40">
      <w:pPr>
        <w:pStyle w:val="Normal"/>
      </w:pPr>
    </w:p>
    <w:p w:rsidR="71EAE5B8" w:rsidP="71EAE5B8" w:rsidRDefault="71EAE5B8" w14:paraId="44BB17D9" w14:textId="36E63457">
      <w:pPr>
        <w:pStyle w:val="Normal"/>
      </w:pPr>
    </w:p>
    <w:p w:rsidR="71EAE5B8" w:rsidP="71EAE5B8" w:rsidRDefault="71EAE5B8" w14:paraId="61A86149" w14:textId="4980D1D0">
      <w:pPr>
        <w:pStyle w:val="Normal"/>
      </w:pPr>
    </w:p>
    <w:p w:rsidR="71EAE5B8" w:rsidP="71EAE5B8" w:rsidRDefault="71EAE5B8" w14:paraId="5629B87D" w14:textId="647B38CF">
      <w:pPr>
        <w:pStyle w:val="Normal"/>
      </w:pPr>
    </w:p>
    <w:p w:rsidR="22978C34" w:rsidP="07DBD3B3" w:rsidRDefault="22978C34" w14:paraId="692E8228" w14:textId="7196F10B">
      <w:pPr>
        <w:pStyle w:val="Heading1"/>
        <w:spacing w:before="363" w:beforeAutospacing="off" w:after="198" w:afterAutospacing="off"/>
        <w:rPr>
          <w:rFonts w:ascii="Calibri" w:hAnsi="Calibri" w:eastAsia="Calibri" w:cs="Calibri"/>
          <w:b w:val="1"/>
          <w:bCs w:val="1"/>
          <w:noProof w:val="0"/>
          <w:color w:val="auto"/>
          <w:sz w:val="32"/>
          <w:szCs w:val="32"/>
          <w:lang w:val="en-US"/>
        </w:rPr>
      </w:pPr>
      <w:r w:rsidRPr="07DBD3B3" w:rsidR="22978C34">
        <w:rPr>
          <w:rFonts w:ascii="Calibri" w:hAnsi="Calibri" w:eastAsia="Calibri" w:cs="Calibri"/>
          <w:b w:val="1"/>
          <w:bCs w:val="1"/>
          <w:noProof w:val="0"/>
          <w:color w:val="auto"/>
          <w:sz w:val="28"/>
          <w:szCs w:val="28"/>
          <w:lang w:val="en-US"/>
        </w:rPr>
        <w:t>2. Literature Review</w:t>
      </w:r>
    </w:p>
    <w:p w:rsidR="22978C34" w:rsidP="07DBD3B3" w:rsidRDefault="22978C34" w14:paraId="5E1F5C99" w14:textId="44D0EFB9">
      <w:pPr>
        <w:pStyle w:val="Heading2"/>
        <w:spacing w:before="278" w:beforeAutospacing="off" w:after="159" w:afterAutospacing="off"/>
        <w:rPr>
          <w:rFonts w:ascii="Calibri" w:hAnsi="Calibri" w:eastAsia="Calibri" w:cs="Calibri"/>
          <w:b w:val="1"/>
          <w:bCs w:val="1"/>
          <w:noProof w:val="0"/>
          <w:color w:val="auto"/>
          <w:sz w:val="26"/>
          <w:szCs w:val="26"/>
          <w:lang w:val="en-US"/>
        </w:rPr>
      </w:pPr>
      <w:r w:rsidRPr="71EAE5B8" w:rsidR="32B662DC">
        <w:rPr>
          <w:rFonts w:ascii="Calibri" w:hAnsi="Calibri" w:eastAsia="Calibri" w:cs="Calibri"/>
          <w:b w:val="1"/>
          <w:bCs w:val="1"/>
          <w:noProof w:val="0"/>
          <w:color w:val="auto"/>
          <w:sz w:val="26"/>
          <w:szCs w:val="26"/>
          <w:lang w:val="en-US"/>
        </w:rPr>
        <w:t>2.1 Definitions and Key Concepts</w:t>
      </w:r>
    </w:p>
    <w:p w:rsidR="11CF17ED" w:rsidP="71EAE5B8" w:rsidRDefault="11CF17ED" w14:paraId="729CE6C6" w14:textId="35564902">
      <w:pPr>
        <w:spacing w:before="240" w:beforeAutospacing="off" w:after="198" w:afterAutospacing="off"/>
        <w:jc w:val="both"/>
      </w:pPr>
      <w:r w:rsidRPr="71EAE5B8" w:rsidR="11CF17ED">
        <w:rPr>
          <w:rFonts w:ascii="Calibri" w:hAnsi="Calibri" w:eastAsia="Calibri" w:cs="Calibri"/>
          <w:noProof w:val="0"/>
          <w:sz w:val="24"/>
          <w:szCs w:val="24"/>
          <w:lang w:val="en-US"/>
        </w:rPr>
        <w:t>Celebrity endorsement is commonly understood to be the employment of a well-known public figure to promote a product or brand message, using the endorser's status and recognition to give the brand positive meaning (McCracken, 1989). Ohanian (1990) formalised this through the source credibility model, contending that the persuasiveness and credibility of the related message are determined by the endorser's attractiveness, reliability, and skill.</w:t>
      </w:r>
    </w:p>
    <w:p w:rsidR="11CF17ED" w:rsidP="71EAE5B8" w:rsidRDefault="11CF17ED" w14:paraId="07CCA51C" w14:textId="432CCC11">
      <w:pPr>
        <w:spacing w:before="240" w:beforeAutospacing="off" w:after="198" w:afterAutospacing="off"/>
        <w:jc w:val="both"/>
      </w:pPr>
      <w:r w:rsidRPr="71EAE5B8" w:rsidR="11CF17ED">
        <w:rPr>
          <w:rFonts w:ascii="Calibri" w:hAnsi="Calibri" w:eastAsia="Calibri" w:cs="Calibri"/>
          <w:noProof w:val="0"/>
          <w:sz w:val="24"/>
          <w:szCs w:val="24"/>
          <w:lang w:val="en-US"/>
        </w:rPr>
        <w:t>According to Freberg et al. (2011), social media influencer marketing is a type of advertising that makes use of people who have built a social media following and who are seen by their audience as reliable, independent endorsers rather than compensated brand representatives. According to De Veirman, Cauberghe, and Hudders (2017), followers' sense of intimacy and perceived genuineness are more important factors in determining an influencer's trustworthiness than formal competence. The comparative analysis of Zara and H&amp;M in this dissertation will be anchored by the concept of consumer trust, which is typically understood as a consumer's desire to rely on a brand based on assumptions about its reliability and integrity.</w:t>
      </w:r>
    </w:p>
    <w:p w:rsidR="22978C34" w:rsidP="07DBD3B3" w:rsidRDefault="22978C34" w14:paraId="4008A35E" w14:textId="71C53DB8">
      <w:pPr>
        <w:pStyle w:val="Heading2"/>
        <w:spacing w:before="278" w:beforeAutospacing="off" w:after="159" w:afterAutospacing="off"/>
        <w:rPr>
          <w:rFonts w:ascii="Calibri" w:hAnsi="Calibri" w:eastAsia="Calibri" w:cs="Calibri"/>
          <w:b w:val="1"/>
          <w:bCs w:val="1"/>
          <w:noProof w:val="0"/>
          <w:color w:val="auto"/>
          <w:sz w:val="26"/>
          <w:szCs w:val="26"/>
          <w:lang w:val="en-US"/>
        </w:rPr>
      </w:pPr>
      <w:r w:rsidRPr="71EAE5B8" w:rsidR="32B662DC">
        <w:rPr>
          <w:rFonts w:ascii="Calibri" w:hAnsi="Calibri" w:eastAsia="Calibri" w:cs="Calibri"/>
          <w:b w:val="1"/>
          <w:bCs w:val="1"/>
          <w:noProof w:val="0"/>
          <w:color w:val="auto"/>
          <w:sz w:val="26"/>
          <w:szCs w:val="26"/>
          <w:lang w:val="en-US"/>
        </w:rPr>
        <w:t>2.2 Theoretical Models and Application to Zara and H&amp;M</w:t>
      </w:r>
    </w:p>
    <w:p w:rsidR="21D18187" w:rsidP="71EAE5B8" w:rsidRDefault="21D18187" w14:paraId="0CBDCAAB" w14:textId="142FAE8B">
      <w:pPr>
        <w:spacing w:before="240" w:beforeAutospacing="off" w:after="198" w:afterAutospacing="off"/>
        <w:jc w:val="both"/>
      </w:pPr>
      <w:r w:rsidRPr="71EAE5B8" w:rsidR="21D18187">
        <w:rPr>
          <w:rFonts w:ascii="Calibri" w:hAnsi="Calibri" w:eastAsia="Calibri" w:cs="Calibri"/>
          <w:noProof w:val="0"/>
          <w:sz w:val="24"/>
          <w:szCs w:val="24"/>
          <w:lang w:val="en-US"/>
        </w:rPr>
        <w:t>H&amp;M's long-standing designer and celebrity partnerships are directly related to the Source Credibility Model (Ohanian, 1990) and the Meaning Transfer Model (McCracken, 1989), which continue to be the most popular frameworks for celebrity endorsement and explain how symbolic meaning moves from celebrity to product to consumer. In terms of influencer marketing, the development of relatability-based, community-driven relationships between influencers and their followers helps explain why followers form trust-like relationships with influencers (Lou and Yuan, 2019). This is pertinent to the more recent social media activity of both brands, though Zara's relatively small use of paid endorsement falls outside of these traditional models and will be considered a theoretical point of interest in and of itself.</w:t>
      </w:r>
    </w:p>
    <w:p w:rsidR="21D18187" w:rsidP="71EAE5B8" w:rsidRDefault="21D18187" w14:paraId="4F51AA05" w14:textId="3421B8CF">
      <w:pPr>
        <w:spacing w:before="240" w:beforeAutospacing="off" w:after="198" w:afterAutospacing="off"/>
        <w:jc w:val="both"/>
      </w:pPr>
      <w:r w:rsidRPr="71EAE5B8" w:rsidR="21D18187">
        <w:rPr>
          <w:rFonts w:ascii="Calibri" w:hAnsi="Calibri" w:eastAsia="Calibri" w:cs="Calibri"/>
          <w:noProof w:val="0"/>
          <w:sz w:val="24"/>
          <w:szCs w:val="24"/>
          <w:lang w:val="en-US"/>
        </w:rPr>
        <w:t>The Source Credibility and Meaning Transfer models may not adequately represent influencer-specific dynamics like follower community identification because they were created before social media became participatory and algorithm-driven. In order to provide a comparison framework appropriate for both companies, given the situation of relatively low endorsement spend, this dissertation will build upon these traditional models and incorporate influencer-specific material.</w:t>
      </w:r>
    </w:p>
    <w:p w:rsidR="22978C34" w:rsidP="07DBD3B3" w:rsidRDefault="22978C34" w14:paraId="0F4CFDD9" w14:textId="1C6A69B8">
      <w:pPr>
        <w:pStyle w:val="Heading2"/>
        <w:spacing w:before="278" w:beforeAutospacing="off" w:after="159" w:afterAutospacing="off"/>
        <w:rPr>
          <w:rFonts w:ascii="Calibri" w:hAnsi="Calibri" w:eastAsia="Calibri" w:cs="Calibri"/>
          <w:b w:val="1"/>
          <w:bCs w:val="1"/>
          <w:noProof w:val="0"/>
          <w:color w:val="auto"/>
          <w:sz w:val="26"/>
          <w:szCs w:val="26"/>
          <w:lang w:val="en-US"/>
        </w:rPr>
      </w:pPr>
      <w:r w:rsidRPr="71EAE5B8" w:rsidR="32B662DC">
        <w:rPr>
          <w:rFonts w:ascii="Calibri" w:hAnsi="Calibri" w:eastAsia="Calibri" w:cs="Calibri"/>
          <w:b w:val="1"/>
          <w:bCs w:val="1"/>
          <w:noProof w:val="0"/>
          <w:color w:val="auto"/>
          <w:sz w:val="26"/>
          <w:szCs w:val="26"/>
          <w:lang w:val="en-US"/>
        </w:rPr>
        <w:t>2.3 Celebrity versus Influencer Endorsement: Comparing Zara and H&amp;M</w:t>
      </w:r>
    </w:p>
    <w:p w:rsidR="22978C34" w:rsidP="07DBD3B3" w:rsidRDefault="22978C34" w14:paraId="09A4EE90" w14:textId="7F970B6B">
      <w:pPr>
        <w:spacing w:before="240" w:beforeAutospacing="off" w:after="198" w:afterAutospacing="off"/>
        <w:jc w:val="both"/>
      </w:pPr>
      <w:r w:rsidRPr="71EAE5B8" w:rsidR="55B06C13">
        <w:rPr>
          <w:rFonts w:ascii="Calibri" w:hAnsi="Calibri" w:eastAsia="Calibri" w:cs="Calibri"/>
          <w:noProof w:val="0"/>
          <w:sz w:val="24"/>
          <w:szCs w:val="24"/>
          <w:lang w:val="en-US"/>
        </w:rPr>
        <w:t xml:space="preserve">Through partnerships with celebrities and high-end designers, H&amp;M has established decades of brand awareness, providing a broad audience and an association with aspirational, high-end status at affordable prices (Erdogan, 1999; H&amp;M Group, 2024). Although celebrity endorsements can seem commercially remote and endorser scandals can erode brand confidence by association, this approach gives significant recognisability. </w:t>
      </w:r>
    </w:p>
    <w:p w:rsidR="22978C34" w:rsidP="71EAE5B8" w:rsidRDefault="22978C34" w14:paraId="0065EE01" w14:textId="6B518240">
      <w:pPr>
        <w:pStyle w:val="Normal"/>
        <w:spacing w:before="240" w:beforeAutospacing="off" w:after="198" w:afterAutospacing="off"/>
        <w:jc w:val="both"/>
      </w:pPr>
      <w:r w:rsidRPr="71EAE5B8" w:rsidR="55B06C13">
        <w:rPr>
          <w:rFonts w:ascii="Calibri" w:hAnsi="Calibri" w:eastAsia="Calibri" w:cs="Calibri"/>
          <w:noProof w:val="0"/>
          <w:sz w:val="24"/>
          <w:szCs w:val="24"/>
          <w:lang w:val="en-US"/>
        </w:rPr>
        <w:t xml:space="preserve"> </w:t>
      </w:r>
    </w:p>
    <w:p w:rsidR="22978C34" w:rsidP="71EAE5B8" w:rsidRDefault="22978C34" w14:paraId="05560997" w14:textId="34732C1F">
      <w:pPr>
        <w:pStyle w:val="Normal"/>
        <w:spacing w:before="240" w:beforeAutospacing="off" w:after="198" w:afterAutospacing="off"/>
        <w:jc w:val="both"/>
      </w:pPr>
      <w:r w:rsidRPr="71EAE5B8" w:rsidR="55B06C13">
        <w:rPr>
          <w:rFonts w:ascii="Calibri" w:hAnsi="Calibri" w:eastAsia="Calibri" w:cs="Calibri"/>
          <w:noProof w:val="0"/>
          <w:sz w:val="24"/>
          <w:szCs w:val="24"/>
          <w:lang w:val="en-US"/>
        </w:rPr>
        <w:t xml:space="preserve">Zara takes </w:t>
      </w:r>
      <w:r w:rsidRPr="71EAE5B8" w:rsidR="55B06C13">
        <w:rPr>
          <w:rFonts w:ascii="Calibri" w:hAnsi="Calibri" w:eastAsia="Calibri" w:cs="Calibri"/>
          <w:noProof w:val="0"/>
          <w:sz w:val="24"/>
          <w:szCs w:val="24"/>
          <w:lang w:val="en-US"/>
        </w:rPr>
        <w:t>a very different</w:t>
      </w:r>
      <w:r w:rsidRPr="71EAE5B8" w:rsidR="55B06C13">
        <w:rPr>
          <w:rFonts w:ascii="Calibri" w:hAnsi="Calibri" w:eastAsia="Calibri" w:cs="Calibri"/>
          <w:noProof w:val="0"/>
          <w:sz w:val="24"/>
          <w:szCs w:val="24"/>
          <w:lang w:val="en-US"/>
        </w:rPr>
        <w:t xml:space="preserve"> approach, </w:t>
      </w:r>
      <w:r w:rsidRPr="71EAE5B8" w:rsidR="55B06C13">
        <w:rPr>
          <w:rFonts w:ascii="Calibri" w:hAnsi="Calibri" w:eastAsia="Calibri" w:cs="Calibri"/>
          <w:noProof w:val="0"/>
          <w:sz w:val="24"/>
          <w:szCs w:val="24"/>
          <w:lang w:val="en-US"/>
        </w:rPr>
        <w:t>prioritising</w:t>
      </w:r>
      <w:r w:rsidRPr="71EAE5B8" w:rsidR="55B06C13">
        <w:rPr>
          <w:rFonts w:ascii="Calibri" w:hAnsi="Calibri" w:eastAsia="Calibri" w:cs="Calibri"/>
          <w:noProof w:val="0"/>
          <w:sz w:val="24"/>
          <w:szCs w:val="24"/>
          <w:lang w:val="en-US"/>
        </w:rPr>
        <w:t xml:space="preserve"> store experience, product turnover speed, and organic word-of-mouth over paid celebrity or heavy influencer marketing. The company's parent company, Inditex, reports that its marketing expenditures are consistently low in relation to its size (Inditex, 2024</w:t>
      </w:r>
      <w:r w:rsidRPr="71EAE5B8" w:rsidR="55B06C13">
        <w:rPr>
          <w:rFonts w:ascii="Calibri" w:hAnsi="Calibri" w:eastAsia="Calibri" w:cs="Calibri"/>
          <w:noProof w:val="0"/>
          <w:sz w:val="24"/>
          <w:szCs w:val="24"/>
          <w:lang w:val="en-US"/>
        </w:rPr>
        <w:t>).</w:t>
      </w:r>
      <w:r w:rsidRPr="71EAE5B8" w:rsidR="32B662DC">
        <w:rPr>
          <w:rFonts w:ascii="Calibri" w:hAnsi="Calibri" w:eastAsia="Calibri" w:cs="Calibri"/>
          <w:noProof w:val="0"/>
          <w:sz w:val="24"/>
          <w:szCs w:val="24"/>
          <w:lang w:val="en-US"/>
        </w:rPr>
        <w:t xml:space="preserve"> Where Zara has engaged influencers, this has tended toward smaller-scale, more understated partnerships than the more highly </w:t>
      </w:r>
      <w:r w:rsidRPr="71EAE5B8" w:rsidR="32B662DC">
        <w:rPr>
          <w:rFonts w:ascii="Calibri" w:hAnsi="Calibri" w:eastAsia="Calibri" w:cs="Calibri"/>
          <w:noProof w:val="0"/>
          <w:sz w:val="24"/>
          <w:szCs w:val="24"/>
          <w:lang w:val="en-US"/>
        </w:rPr>
        <w:t>publicised</w:t>
      </w:r>
      <w:r w:rsidRPr="71EAE5B8" w:rsidR="32B662DC">
        <w:rPr>
          <w:rFonts w:ascii="Calibri" w:hAnsi="Calibri" w:eastAsia="Calibri" w:cs="Calibri"/>
          <w:noProof w:val="0"/>
          <w:sz w:val="24"/>
          <w:szCs w:val="24"/>
          <w:lang w:val="en-US"/>
        </w:rPr>
        <w:t xml:space="preserve"> campaigns typical elsewhere in fast fashion, </w:t>
      </w:r>
      <w:r w:rsidRPr="71EAE5B8" w:rsidR="32B662DC">
        <w:rPr>
          <w:rFonts w:ascii="Calibri" w:hAnsi="Calibri" w:eastAsia="Calibri" w:cs="Calibri"/>
          <w:noProof w:val="0"/>
          <w:sz w:val="24"/>
          <w:szCs w:val="24"/>
          <w:lang w:val="en-US"/>
        </w:rPr>
        <w:t>and than</w:t>
      </w:r>
      <w:r w:rsidRPr="71EAE5B8" w:rsidR="32B662DC">
        <w:rPr>
          <w:rFonts w:ascii="Calibri" w:hAnsi="Calibri" w:eastAsia="Calibri" w:cs="Calibri"/>
          <w:noProof w:val="0"/>
          <w:sz w:val="24"/>
          <w:szCs w:val="24"/>
          <w:lang w:val="en-US"/>
        </w:rPr>
        <w:t xml:space="preserve"> H&amp;M’s own celebrity collaborations. This raises an interesting question: whether an endorsement-light strategy can build comparable, or even stronger, consumer trust than a more heavily promoted approach, since perceived authenticity has been linked to reduced reliance on visible paid promotion (Schouten, Janssen and </w:t>
      </w:r>
      <w:r w:rsidRPr="71EAE5B8" w:rsidR="32B662DC">
        <w:rPr>
          <w:rFonts w:ascii="Calibri" w:hAnsi="Calibri" w:eastAsia="Calibri" w:cs="Calibri"/>
          <w:noProof w:val="0"/>
          <w:sz w:val="24"/>
          <w:szCs w:val="24"/>
          <w:lang w:val="en-US"/>
        </w:rPr>
        <w:t>Verspaget</w:t>
      </w:r>
      <w:r w:rsidRPr="71EAE5B8" w:rsidR="32B662DC">
        <w:rPr>
          <w:rFonts w:ascii="Calibri" w:hAnsi="Calibri" w:eastAsia="Calibri" w:cs="Calibri"/>
          <w:noProof w:val="0"/>
          <w:sz w:val="24"/>
          <w:szCs w:val="24"/>
          <w:lang w:val="en-US"/>
        </w:rPr>
        <w:t xml:space="preserve">, 2020). For both brands, growing consumer awareness of paid partnerships has raised </w:t>
      </w:r>
      <w:r w:rsidRPr="71EAE5B8" w:rsidR="32B662DC">
        <w:rPr>
          <w:rFonts w:ascii="Calibri" w:hAnsi="Calibri" w:eastAsia="Calibri" w:cs="Calibri"/>
          <w:noProof w:val="0"/>
          <w:sz w:val="24"/>
          <w:szCs w:val="24"/>
          <w:lang w:val="en-US"/>
        </w:rPr>
        <w:t>scepticism</w:t>
      </w:r>
      <w:r w:rsidRPr="71EAE5B8" w:rsidR="32B662DC">
        <w:rPr>
          <w:rFonts w:ascii="Calibri" w:hAnsi="Calibri" w:eastAsia="Calibri" w:cs="Calibri"/>
          <w:noProof w:val="0"/>
          <w:sz w:val="24"/>
          <w:szCs w:val="24"/>
          <w:lang w:val="en-US"/>
        </w:rPr>
        <w:t xml:space="preserve">, and non-disclosure has been shown to reduce trust once discovered (De Veirman, </w:t>
      </w:r>
      <w:r w:rsidRPr="71EAE5B8" w:rsidR="32B662DC">
        <w:rPr>
          <w:rFonts w:ascii="Calibri" w:hAnsi="Calibri" w:eastAsia="Calibri" w:cs="Calibri"/>
          <w:noProof w:val="0"/>
          <w:sz w:val="24"/>
          <w:szCs w:val="24"/>
          <w:lang w:val="en-US"/>
        </w:rPr>
        <w:t>Cauberghe</w:t>
      </w:r>
      <w:r w:rsidRPr="71EAE5B8" w:rsidR="32B662DC">
        <w:rPr>
          <w:rFonts w:ascii="Calibri" w:hAnsi="Calibri" w:eastAsia="Calibri" w:cs="Calibri"/>
          <w:noProof w:val="0"/>
          <w:sz w:val="24"/>
          <w:szCs w:val="24"/>
          <w:lang w:val="en-US"/>
        </w:rPr>
        <w:t xml:space="preserve"> and </w:t>
      </w:r>
      <w:r w:rsidRPr="71EAE5B8" w:rsidR="32B662DC">
        <w:rPr>
          <w:rFonts w:ascii="Calibri" w:hAnsi="Calibri" w:eastAsia="Calibri" w:cs="Calibri"/>
          <w:noProof w:val="0"/>
          <w:sz w:val="24"/>
          <w:szCs w:val="24"/>
          <w:lang w:val="en-US"/>
        </w:rPr>
        <w:t>Hudders</w:t>
      </w:r>
      <w:r w:rsidRPr="71EAE5B8" w:rsidR="32B662DC">
        <w:rPr>
          <w:rFonts w:ascii="Calibri" w:hAnsi="Calibri" w:eastAsia="Calibri" w:cs="Calibri"/>
          <w:noProof w:val="0"/>
          <w:sz w:val="24"/>
          <w:szCs w:val="24"/>
          <w:lang w:val="en-US"/>
        </w:rPr>
        <w:t>, 2017).</w:t>
      </w:r>
    </w:p>
    <w:p w:rsidR="22978C34" w:rsidP="07DBD3B3" w:rsidRDefault="22978C34" w14:paraId="069772C5" w14:textId="4B0E647F">
      <w:pPr>
        <w:pStyle w:val="Heading2"/>
        <w:spacing w:before="278" w:beforeAutospacing="off" w:after="159" w:afterAutospacing="off"/>
        <w:rPr>
          <w:rFonts w:ascii="Calibri" w:hAnsi="Calibri" w:eastAsia="Calibri" w:cs="Calibri"/>
          <w:b w:val="1"/>
          <w:bCs w:val="1"/>
          <w:noProof w:val="0"/>
          <w:color w:val="auto"/>
          <w:sz w:val="26"/>
          <w:szCs w:val="26"/>
          <w:lang w:val="en-US"/>
        </w:rPr>
      </w:pPr>
      <w:r w:rsidRPr="71EAE5B8" w:rsidR="32B662DC">
        <w:rPr>
          <w:rFonts w:ascii="Calibri" w:hAnsi="Calibri" w:eastAsia="Calibri" w:cs="Calibri"/>
          <w:b w:val="1"/>
          <w:bCs w:val="1"/>
          <w:noProof w:val="0"/>
          <w:color w:val="auto"/>
          <w:sz w:val="26"/>
          <w:szCs w:val="26"/>
          <w:lang w:val="en-US"/>
        </w:rPr>
        <w:t>2.4 Challenges Specific to Zara and H&amp;M</w:t>
      </w:r>
    </w:p>
    <w:p w:rsidR="6C7C2F7B" w:rsidP="71EAE5B8" w:rsidRDefault="6C7C2F7B" w14:paraId="6ACF0374" w14:textId="4E745B8C">
      <w:pPr>
        <w:spacing w:before="240" w:beforeAutospacing="off" w:after="198" w:afterAutospacing="off"/>
        <w:jc w:val="both"/>
      </w:pPr>
      <w:r w:rsidRPr="71EAE5B8" w:rsidR="6C7C2F7B">
        <w:rPr>
          <w:rFonts w:ascii="Calibri" w:hAnsi="Calibri" w:eastAsia="Calibri" w:cs="Calibri"/>
          <w:noProof w:val="0"/>
          <w:sz w:val="24"/>
          <w:szCs w:val="24"/>
          <w:lang w:val="en-US"/>
        </w:rPr>
        <w:t>The obstacles that both companies must overcome make it more difficult for their tactics to foster trust. Regardless of endorsement strategy, both have been under constant examination about labour abuses, supply chain transparency, and the veracity of sustainability promises, all of which can erode consumer trust (McKinsey &amp; Company, 2024). While Zara's minimal-endorsement strategy may be perceived as more genuine, it provides less direct academic literature to draw from because most endorsement research assumes at least some visible endorsement activity, whereas H&amp;M's greater reliance on celebrity and influencer marketing exposes it to more scepticism regarding commercial motive and disclosure. Instead of being viewed as a gap to be disregarded, this asymmetry itself will be considered as a restriction and subject of interest in the analysis.</w:t>
      </w:r>
    </w:p>
    <w:p w:rsidR="07DBD3B3" w:rsidP="07DBD3B3" w:rsidRDefault="07DBD3B3" w14:paraId="50F3172D" w14:textId="701E8449">
      <w:pPr>
        <w:pStyle w:val="TextBody"/>
        <w:spacing w:before="0" w:after="120" w:line="360" w:lineRule="auto"/>
        <w:ind w:firstLine="425"/>
        <w:jc w:val="both"/>
      </w:pPr>
    </w:p>
    <w:p w:rsidR="07DBD3B3" w:rsidP="07DBD3B3" w:rsidRDefault="07DBD3B3" w14:paraId="27E3274C" w14:textId="0422C1B4">
      <w:pPr>
        <w:pStyle w:val="TextBody"/>
        <w:spacing w:before="0" w:after="120" w:line="360" w:lineRule="auto"/>
        <w:ind w:firstLine="425"/>
        <w:jc w:val="both"/>
      </w:pPr>
    </w:p>
    <w:p xmlns:wp14="http://schemas.microsoft.com/office/word/2010/wordml" w14:paraId="10B58CBA" wp14:textId="77777777">
      <w:pPr>
        <w:pStyle w:val="Heading1"/>
        <w:rPr/>
      </w:pPr>
      <w:r>
        <w:rPr/>
        <w:t>3. Research methods and methodology</w:t>
      </w:r>
    </w:p>
    <w:p xmlns:wp14="http://schemas.microsoft.com/office/word/2010/wordml" w14:paraId="4B1E55D8" wp14:textId="77777777">
      <w:pPr>
        <w:pStyle w:val="Heading2"/>
        <w:rPr/>
      </w:pPr>
      <w:r w:rsidR="71EAE5B8">
        <w:rPr/>
        <w:t>3.1 Research design, philosophy and approach</w:t>
      </w:r>
    </w:p>
    <w:p w:rsidR="5B0FA5B7" w:rsidP="71EAE5B8" w:rsidRDefault="5B0FA5B7" w14:paraId="208F209E" w14:textId="6798ED8B">
      <w:pPr>
        <w:pStyle w:val="TextBody"/>
        <w:spacing w:before="0" w:after="120" w:line="360" w:lineRule="auto"/>
        <w:ind w:firstLine="425"/>
        <w:jc w:val="both"/>
      </w:pPr>
      <w:r w:rsidR="5B0FA5B7">
        <w:rPr/>
        <w:t>The dissertation will be structured as a comparative desk-based case study of Zara and H&amp;M using a qualitative, secondary research design. There won't be any trials, polls, or interviews. The primary body of evidence will come from a structured literature review, which will be augmented by documented analysis of business reports, official campaign or press materials, reliable industry reports, and regulatory guidelines. When the search, selection, and synthesis process is visible and methodical instead of being carried out as an informal summary, literature reviews can serve as a research methodology (Snyder, 2019).</w:t>
      </w:r>
    </w:p>
    <w:p w:rsidR="5B0FA5B7" w:rsidP="71EAE5B8" w:rsidRDefault="5B0FA5B7" w14:paraId="665FF857" w14:textId="3CD2B7BF">
      <w:pPr>
        <w:pStyle w:val="TextBody"/>
        <w:spacing w:before="0" w:after="120" w:line="360" w:lineRule="auto"/>
        <w:ind w:firstLine="425"/>
        <w:jc w:val="both"/>
      </w:pPr>
      <w:r w:rsidR="5B0FA5B7">
        <w:rPr/>
        <w:t>Because trust, authenticity, and identification are socially understood notions whose meaning relies on context, an interpretivist attitude is acceptable. In order to address the research issues, the study will also incorporate a pragmatic component by taking into account quantitative results from previous surveys and trials. The reasoning process will be abductive: first coding will be guided by established concepts like source credibility, meaning transfer, parasocial interaction, and brand trust; further themes will be developed when the documents show recurring explanations that the initial framework did not fully capture.</w:t>
      </w:r>
    </w:p>
    <w:p xmlns:wp14="http://schemas.microsoft.com/office/word/2010/wordml" w14:paraId="25C1C973" wp14:textId="77777777">
      <w:pPr>
        <w:pStyle w:val="Heading2"/>
        <w:rPr/>
      </w:pPr>
      <w:r w:rsidR="71EAE5B8">
        <w:rPr/>
        <w:t>3.2 Data sources and search strategy</w:t>
      </w:r>
    </w:p>
    <w:p w:rsidR="4DA2E916" w:rsidP="71EAE5B8" w:rsidRDefault="4DA2E916" w14:paraId="108F6AF0" w14:textId="614C8657">
      <w:pPr>
        <w:pStyle w:val="TextBody"/>
        <w:spacing w:before="0" w:after="120" w:line="360" w:lineRule="auto"/>
        <w:ind w:firstLine="425"/>
        <w:jc w:val="both"/>
      </w:pPr>
      <w:r w:rsidR="4DA2E916">
        <w:rPr/>
        <w:t>Academic literature will be recognised using the UWTSD online library and databases such as Business Source Complete, ScienceDirect, Emerald Insight and Taylor &amp; Francis Online, subject to institutional access. Google Scholar will assist citation monitoring, while GlobalData and comparable industry datasets will be used for market and corporate context. Company material will comprise Inditex and H&amp;M Group annual and sustainability reports, investor communications and related official campaign materials. The most current 2025 corporate reports will be evaluated alongside earlier records when applicable to trace advancements (Inditex, 2026; H&amp;M Group, 2026). ASA/CAP guidelines on identified influencer advertising will be included in regulatory materials.</w:t>
      </w:r>
    </w:p>
    <w:p w:rsidR="4DA2E916" w:rsidP="71EAE5B8" w:rsidRDefault="4DA2E916" w14:paraId="77F3753F" w14:textId="0875C868">
      <w:pPr>
        <w:pStyle w:val="TextBody"/>
        <w:spacing w:before="0" w:after="120" w:line="360" w:lineRule="auto"/>
        <w:ind w:firstLine="425"/>
        <w:jc w:val="both"/>
      </w:pPr>
      <w:r w:rsidR="4DA2E916">
        <w:rPr/>
        <w:t>Indicative search strings will mix endorsement phrases with trust and sector terms, for example: (“celebrity endorsement” OR “social media influencer” OR “influencer marketing”) AND (“consumer trust” OR credibility OR authenticity) AND (“fast fashion” OR clothes OR Zara OR H&amp;M). In order to capture platform-based influencer marketing, the primary time frame will be 2010–2026. However, important prior research that established important hypotheses or metrics will be kept. Reference-list searching and forward citation monitoring will be utilised to find influential studies missed by database keywords.</w:t>
      </w:r>
    </w:p>
    <w:p xmlns:wp14="http://schemas.microsoft.com/office/word/2010/wordml" w14:paraId="5F3C9E02" wp14:textId="77777777">
      <w:pPr>
        <w:pStyle w:val="Heading2"/>
        <w:rPr/>
      </w:pPr>
      <w:r w:rsidR="71EAE5B8">
        <w:rPr/>
        <w:t>3.3 Selection and quality assessment</w:t>
      </w:r>
    </w:p>
    <w:p w:rsidR="3DCCDC8F" w:rsidP="71EAE5B8" w:rsidRDefault="3DCCDC8F" w14:paraId="377666E8" w14:textId="1AAE6645">
      <w:pPr>
        <w:pStyle w:val="TextBody"/>
        <w:spacing w:before="0" w:after="120" w:line="360" w:lineRule="auto"/>
        <w:ind w:firstLine="425"/>
        <w:jc w:val="both"/>
      </w:pPr>
      <w:r w:rsidR="3DCCDC8F">
        <w:rPr/>
        <w:t>Sources will be included when they are written in English, directly relevant to endorsement credibility or consumer trust, and published as peer-reviewed research or by an identified and respectable organisation. Sector-specific data will be emphasised, but research from other consumer industries may be kept where it tests a relevant premise. Sources will be excluded when their techniques are unclear, their claims cannot be attributed to proof, they duplicate another record, or they are promotional opinion articles with no analytical value. A screening log will record search date, database, search string, inclusion decision and reason for exclusion.</w:t>
      </w:r>
    </w:p>
    <w:p w:rsidR="3DCCDC8F" w:rsidP="71EAE5B8" w:rsidRDefault="3DCCDC8F" w14:paraId="3A43105E" w14:textId="699A6029">
      <w:pPr>
        <w:pStyle w:val="TextBody"/>
        <w:spacing w:before="0" w:after="120" w:line="360" w:lineRule="auto"/>
        <w:ind w:firstLine="425"/>
        <w:jc w:val="both"/>
      </w:pPr>
      <w:r w:rsidR="3DCCDC8F">
        <w:rPr/>
        <w:t>Each included source will be reviewed for authority, methodological transparency, sample and context, assessment of trust, currency, relevance and potential bias. Peer review will not be considered as a guarantee of quality, and corporate reports will be recognised as self-representations that may accentuate beneficial information. Company statements will therefore be triangulated with independent academic, industrial or regulatory sources where possible. This technique will limit the risk of presenting marketing material as objective evidence.</w:t>
      </w:r>
    </w:p>
    <w:p xmlns:wp14="http://schemas.microsoft.com/office/word/2010/wordml" w14:paraId="27C3FE01" wp14:textId="77777777">
      <w:pPr>
        <w:pStyle w:val="Heading2"/>
        <w:rPr/>
      </w:pPr>
      <w:r w:rsidR="71EAE5B8">
        <w:rPr/>
        <w:t>3.4 Data extraction and analysis</w:t>
      </w:r>
    </w:p>
    <w:p w:rsidR="0387183E" w:rsidP="71EAE5B8" w:rsidRDefault="0387183E" w14:paraId="3B681F4F" w14:textId="05435CDA">
      <w:pPr>
        <w:pStyle w:val="TextBody"/>
        <w:spacing w:before="0" w:after="120" w:line="360" w:lineRule="auto"/>
        <w:ind w:firstLine="425"/>
        <w:jc w:val="both"/>
      </w:pPr>
      <w:r w:rsidR="0387183E">
        <w:rPr/>
        <w:t>A data-extraction matrix will record the source, study environment, endorser type, platform, method, sample, theoretical framework, trust-related variables, key findings and constraints. The materials will next be evaluated through a transparent thematic approach influenced by Braun and Clarke (2006): familiarisation, first coding, topic development, theme review, definition and reporting. Initial deductive codes will comprise expertise, trustworthiness, attractiveness, identity, parasocial interaction, fit, disclosure, authenticity and brand trust. Inductive codes will be added when recurring contextual elements emerge, such as perceived overcommercialisation, sustainability inconsistency or audience variances.</w:t>
      </w:r>
    </w:p>
    <w:p xmlns:wp14="http://schemas.microsoft.com/office/word/2010/wordml" w14:paraId="3AEF267B" wp14:textId="37AA6312">
      <w:pPr>
        <w:pStyle w:val="TextBody"/>
        <w:spacing w:before="0" w:after="120" w:line="360" w:lineRule="auto"/>
        <w:ind w:firstLine="425"/>
        <w:jc w:val="both"/>
      </w:pPr>
      <w:r w:rsidR="0387183E">
        <w:rPr/>
        <w:t>The analysis will compare evidence in three steps. First, it will synthesise findings for celebrity endorsement and influencer endorsement separately. Second, it will compare the mechanisms via which each shape appears to increase or weaken confidence. Third, it will map the themes against the existing Zara and H&amp;M documents to detect similarities, differences and gaps. Contradictory studies will not be averaged away; instead, variances in platform, sample, product type and measurement will be addressed as possible explanations.</w:t>
      </w:r>
    </w:p>
    <w:p xmlns:wp14="http://schemas.microsoft.com/office/word/2010/wordml" w14:paraId="48BCF9DE" wp14:textId="77777777">
      <w:pPr>
        <w:pStyle w:val="Heading2"/>
        <w:rPr/>
      </w:pPr>
      <w:r w:rsidR="71EAE5B8">
        <w:rPr/>
        <w:t>3.5 Credibility, ethics and limitations</w:t>
      </w:r>
    </w:p>
    <w:p w:rsidR="007585CF" w:rsidP="71EAE5B8" w:rsidRDefault="007585CF" w14:paraId="01A7A4C8" w14:textId="514B2582">
      <w:pPr>
        <w:pStyle w:val="TextBody"/>
        <w:spacing w:before="0" w:after="120" w:line="360" w:lineRule="auto"/>
        <w:ind w:firstLine="425"/>
        <w:jc w:val="both"/>
      </w:pPr>
      <w:r w:rsidR="007585CF">
        <w:rPr/>
        <w:t>Credibility will be provided through a defined search protocol, a recorded audit trail, consistent extraction categories and repeated comparison between coded themes and original sources. Reflexive notes will document how the researcher’s preconceptions may influence interpretation. The final dissertation will distinguish clearly between evidence, business assertions and the researcher’s judgements. These practices align with Saunders, Lewis, and Thornhill's (2019) emphasis on transparent study design and methodological coherence.</w:t>
      </w:r>
    </w:p>
    <w:p w:rsidR="007585CF" w:rsidP="71EAE5B8" w:rsidRDefault="007585CF" w14:paraId="6A72833A" w14:textId="4FD576D5">
      <w:pPr>
        <w:pStyle w:val="TextBody"/>
        <w:spacing w:before="0" w:after="120" w:line="360" w:lineRule="auto"/>
        <w:ind w:firstLine="425"/>
        <w:jc w:val="both"/>
      </w:pPr>
      <w:r w:rsidR="007585CF">
        <w:rPr/>
        <w:t>Because the study uses existing public or institutionally licensed documents and does not recruit human participants, the major ethical risk is low. Nevertheless, copyright and database conditions will be observed; quotations will be limited and accurately referenced; findings will not be misrepresented; and public social-media content will be utilised exclusively as campaign documentation rather than to profile private individuals. All data and notes will be retained securely and used strictly for academic purposes.</w:t>
      </w:r>
    </w:p>
    <w:p w:rsidR="007585CF" w:rsidP="71EAE5B8" w:rsidRDefault="007585CF" w14:paraId="04C32B54" w14:textId="373F0873">
      <w:pPr>
        <w:pStyle w:val="TextBody"/>
        <w:spacing w:before="0" w:after="120" w:line="360" w:lineRule="auto"/>
        <w:ind w:firstLine="425"/>
        <w:jc w:val="both"/>
      </w:pPr>
      <w:r w:rsidR="007585CF">
        <w:rPr/>
        <w:t>The design also has drawbacks. Secondary evidence cannot indicate how present Zara or H&amp;M customers would respond to a given future campaign. Studies may operationalise trust differently, social-media platforms evolve frequently, and relevant GlobalData or journal data may be blocked by subscription. Corporate reports may omit failing efforts, while the two firms may disclose varying levels of detail. These constraints will be disclosed publicly and used to qualify conclusions rather than concealed.</w:t>
      </w:r>
    </w:p>
    <w:p xmlns:wp14="http://schemas.microsoft.com/office/word/2010/wordml" w14:paraId="185EBC09" wp14:textId="77777777">
      <w:pPr>
        <w:pStyle w:val="Heading1"/>
        <w:rPr/>
      </w:pPr>
      <w:r w:rsidR="71EAE5B8">
        <w:rPr/>
        <w:t>4. Expected contribution and provisional chapter structure</w:t>
      </w:r>
    </w:p>
    <w:p w:rsidR="38CDC716" w:rsidP="71EAE5B8" w:rsidRDefault="38CDC716" w14:paraId="66E86894" w14:textId="11F33915">
      <w:pPr>
        <w:pStyle w:val="TextBody"/>
        <w:spacing w:before="0" w:after="120" w:line="360" w:lineRule="auto"/>
        <w:ind w:firstLine="425"/>
        <w:jc w:val="both"/>
      </w:pPr>
      <w:r w:rsidR="38CDC716">
        <w:rPr/>
        <w:t xml:space="preserve">In a field where trust is both commercially significant and morally debatable, the study is anticipated to offer a theoretically structured comparison of celebrity and influencer endorsement. It should assist managers distinguish between reach and credibility, identify scenarios under which each endorsement type is suitable, and detect when disclosure, poor fit or reputation risk may undercut the desired effect. Academically, it will link source-credibility, meaning-transfer, parasocial-interaction and brand-trust viewpoints inside one comparative framework.  </w:t>
      </w:r>
    </w:p>
    <w:p xmlns:wp14="http://schemas.microsoft.com/office/word/2010/wordml" w14:paraId="6CC3AE36" wp14:textId="77777777">
      <w:pPr>
        <w:pStyle w:val="Normal"/>
        <w:rPr/>
      </w:pPr>
      <w:r>
        <w:rPr>
          <w:b/>
        </w:rPr>
        <w:t>Provisional dissertation chapters</w:t>
      </w:r>
    </w:p>
    <w:p xmlns:wp14="http://schemas.microsoft.com/office/word/2010/wordml" w14:paraId="40FE4AE5" wp14:textId="77777777">
      <w:pPr>
        <w:pStyle w:val="ListBullet"/>
        <w:numPr>
          <w:ilvl w:val="0"/>
          <w:numId w:val="1"/>
        </w:numPr>
        <w:spacing w:before="0" w:after="40" w:line="252" w:lineRule="auto"/>
        <w:ind w:left="425" w:hanging="198"/>
        <w:contextualSpacing/>
        <w:rPr/>
      </w:pPr>
      <w:r>
        <w:rPr>
          <w:sz w:val="21"/>
        </w:rPr>
        <w:t>Chapter 1 – Introduction: background, rationale, aim, objectives and research questions.</w:t>
      </w:r>
    </w:p>
    <w:p xmlns:wp14="http://schemas.microsoft.com/office/word/2010/wordml" w14:paraId="26706150" wp14:textId="77777777">
      <w:pPr>
        <w:pStyle w:val="ListBullet"/>
        <w:numPr>
          <w:ilvl w:val="0"/>
          <w:numId w:val="1"/>
        </w:numPr>
        <w:spacing w:before="0" w:after="40" w:line="252" w:lineRule="auto"/>
        <w:ind w:left="425" w:hanging="198"/>
        <w:contextualSpacing/>
        <w:rPr/>
      </w:pPr>
      <w:r>
        <w:rPr>
          <w:sz w:val="21"/>
        </w:rPr>
        <w:t>Chapter 2 – Literature review: trust, source credibility, celebrity endorsement, influencer marketing and fast-fashion context.</w:t>
      </w:r>
    </w:p>
    <w:p xmlns:wp14="http://schemas.microsoft.com/office/word/2010/wordml" w14:paraId="41C62586" wp14:textId="77777777">
      <w:pPr>
        <w:pStyle w:val="ListBullet"/>
        <w:numPr>
          <w:ilvl w:val="0"/>
          <w:numId w:val="1"/>
        </w:numPr>
        <w:spacing w:before="0" w:after="40" w:line="252" w:lineRule="auto"/>
        <w:ind w:left="425" w:hanging="198"/>
        <w:contextualSpacing/>
        <w:rPr/>
      </w:pPr>
      <w:r>
        <w:rPr>
          <w:sz w:val="21"/>
        </w:rPr>
        <w:t>Chapter 3 – Methodology: research design, search protocol, quality assessment, ethics and analytical process.</w:t>
      </w:r>
    </w:p>
    <w:p xmlns:wp14="http://schemas.microsoft.com/office/word/2010/wordml" w14:paraId="6F8AD537" wp14:textId="77777777">
      <w:pPr>
        <w:pStyle w:val="ListBullet"/>
        <w:numPr>
          <w:ilvl w:val="0"/>
          <w:numId w:val="1"/>
        </w:numPr>
        <w:spacing w:before="0" w:after="40" w:line="252" w:lineRule="auto"/>
        <w:ind w:left="425" w:hanging="198"/>
        <w:contextualSpacing/>
        <w:rPr/>
      </w:pPr>
      <w:r>
        <w:rPr>
          <w:sz w:val="21"/>
        </w:rPr>
        <w:t>Chapter 4 – Findings and comparative analysis: thematic synthesis and Zara-H&amp;M comparison.</w:t>
      </w:r>
    </w:p>
    <w:p xmlns:wp14="http://schemas.microsoft.com/office/word/2010/wordml" w:rsidP="71EAE5B8" w14:paraId="35FB9210" wp14:textId="0ED441A0">
      <w:pPr>
        <w:pStyle w:val="ListBullet"/>
        <w:numPr>
          <w:ilvl w:val="0"/>
          <w:numId w:val="1"/>
        </w:numPr>
        <w:spacing w:before="0" w:after="40" w:line="252" w:lineRule="auto"/>
        <w:ind w:left="425" w:hanging="198"/>
        <w:contextualSpacing w:val="1"/>
        <w:rPr/>
      </w:pPr>
      <w:r w:rsidRPr="71EAE5B8" w:rsidR="71EAE5B8">
        <w:rPr>
          <w:sz w:val="21"/>
          <w:szCs w:val="21"/>
        </w:rPr>
        <w:t xml:space="preserve">Chapter 5 – Discussion, </w:t>
      </w:r>
      <w:r w:rsidRPr="71EAE5B8" w:rsidR="71EAE5B8">
        <w:rPr>
          <w:sz w:val="21"/>
          <w:szCs w:val="21"/>
        </w:rPr>
        <w:t>conclusions</w:t>
      </w:r>
      <w:r w:rsidRPr="71EAE5B8" w:rsidR="71EAE5B8">
        <w:rPr>
          <w:sz w:val="21"/>
          <w:szCs w:val="21"/>
        </w:rPr>
        <w:t xml:space="preserve"> and recommendations: interpretation, limitations and implications for practice and research. </w:t>
      </w:r>
    </w:p>
    <w:p w:rsidR="71EAE5B8" w:rsidP="71EAE5B8" w:rsidRDefault="71EAE5B8" w14:paraId="464178B4" w14:textId="63E3859C">
      <w:pPr>
        <w:pStyle w:val="Heading1"/>
      </w:pPr>
    </w:p>
    <w:p w:rsidR="71EAE5B8" w:rsidP="71EAE5B8" w:rsidRDefault="71EAE5B8" w14:paraId="6654D540" w14:textId="23E437BE">
      <w:pPr>
        <w:pStyle w:val="Normal"/>
      </w:pPr>
    </w:p>
    <w:p w:rsidR="71EAE5B8" w:rsidP="71EAE5B8" w:rsidRDefault="71EAE5B8" w14:paraId="049CAD9D" w14:textId="00D1E8E9">
      <w:pPr>
        <w:pStyle w:val="Normal"/>
      </w:pPr>
    </w:p>
    <w:p w:rsidR="71EAE5B8" w:rsidP="71EAE5B8" w:rsidRDefault="71EAE5B8" w14:paraId="5BF86A91" w14:textId="629E0A78">
      <w:pPr>
        <w:pStyle w:val="Normal"/>
      </w:pPr>
    </w:p>
    <w:p w:rsidR="71EAE5B8" w:rsidP="71EAE5B8" w:rsidRDefault="71EAE5B8" w14:paraId="3F8EA52D" w14:textId="69FC5723">
      <w:pPr>
        <w:pStyle w:val="Normal"/>
      </w:pPr>
    </w:p>
    <w:p w:rsidR="71EAE5B8" w:rsidP="71EAE5B8" w:rsidRDefault="71EAE5B8" w14:paraId="6B46BC21" w14:textId="0BF77113">
      <w:pPr>
        <w:pStyle w:val="Normal"/>
      </w:pPr>
    </w:p>
    <w:p w:rsidR="71EAE5B8" w:rsidP="71EAE5B8" w:rsidRDefault="71EAE5B8" w14:paraId="5D1C245B" w14:textId="4F246A6B">
      <w:pPr>
        <w:pStyle w:val="Normal"/>
      </w:pPr>
    </w:p>
    <w:p w:rsidR="71EAE5B8" w:rsidP="71EAE5B8" w:rsidRDefault="71EAE5B8" w14:paraId="25F601FC" w14:textId="380DBA7C">
      <w:pPr>
        <w:pStyle w:val="Normal"/>
      </w:pPr>
    </w:p>
    <w:p xmlns:wp14="http://schemas.microsoft.com/office/word/2010/wordml" w14:paraId="71DC1A33" wp14:textId="77777777">
      <w:pPr>
        <w:pStyle w:val="Heading1"/>
        <w:rPr/>
      </w:pPr>
      <w:r w:rsidR="71EAE5B8">
        <w:rPr/>
        <w:t>5. Resources and project plan</w:t>
      </w:r>
    </w:p>
    <w:p w:rsidR="5D080F66" w:rsidP="71EAE5B8" w:rsidRDefault="5D080F66" w14:paraId="222D32DF" w14:textId="1D2A1992">
      <w:pPr>
        <w:pStyle w:val="TextBody"/>
        <w:spacing w:before="0" w:after="120" w:line="360" w:lineRule="auto"/>
        <w:ind w:firstLine="425"/>
        <w:jc w:val="both"/>
      </w:pPr>
      <w:r w:rsidR="5D080F66">
        <w:rPr/>
        <w:t>In a field where trust is both commercially significant and morally debatable, the study is anticipated to offer a theoretically structured comparison of celebrity and influencer endorsement. The ten-week schedule that follows is an example and can be modified to fit the dissertation schedule.</w:t>
      </w:r>
    </w:p>
    <w:p xmlns:wp14="http://schemas.microsoft.com/office/word/2010/wordml" w14:paraId="72A3D3EC" wp14:textId="77777777">
      <w:pPr>
        <w:pStyle w:val="Normal"/>
        <w:jc w:val="center"/>
        <w:rPr/>
      </w:pPr>
      <w:r w:rsidR="71EAE5B8">
        <w:drawing>
          <wp:inline xmlns:wp14="http://schemas.microsoft.com/office/word/2010/wordprocessingDrawing" wp14:editId="0B90A40A" wp14:anchorId="060407CE">
            <wp:extent cx="5328285" cy="3044825"/>
            <wp:effectExtent l="0" t="0" r="0" b="0"/>
            <wp:docPr id="1" name="Picture 1" desc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 name="Picture 1" descr=""/>
                    <pic:cNvPicPr>
                      <a:picLocks noChangeAspect="1" noChangeArrowheads="1"/>
                    </pic:cNvPicPr>
                  </pic:nvPicPr>
                  <pic:blipFill>
                    <a:blip xmlns:r="http://schemas.openxmlformats.org/officeDocument/2006/relationships" r:embed="rId2"/>
                    <a:stretch>
                      <a:fillRect/>
                    </a:stretch>
                  </pic:blipFill>
                  <pic:spPr bwMode="auto">
                    <a:xfrm>
                      <a:off x="0" y="0"/>
                      <a:ext cx="5328285" cy="3044825"/>
                    </a:xfrm>
                    <a:prstGeom prst="rect">
                      <a:avLst/>
                    </a:prstGeom>
                  </pic:spPr>
                </pic:pic>
              </a:graphicData>
            </a:graphic>
          </wp:inline>
        </w:drawing>
      </w:r>
    </w:p>
    <w:p xmlns:wp14="http://schemas.microsoft.com/office/word/2010/wordml" w14:paraId="3D7FD570" wp14:textId="35BF288B">
      <w:pPr>
        <w:pStyle w:val="Normal"/>
        <w:spacing w:before="0" w:after="0"/>
        <w:jc w:val="center"/>
      </w:pPr>
      <w:r w:rsidRPr="71EAE5B8" w:rsidR="71EAE5B8">
        <w:rPr>
          <w:i w:val="1"/>
          <w:iCs w:val="1"/>
          <w:sz w:val="18"/>
          <w:szCs w:val="18"/>
        </w:rPr>
        <w:t xml:space="preserve">Figure 1. </w:t>
      </w:r>
      <w:r w:rsidRPr="71EAE5B8" w:rsidR="71EAE5B8">
        <w:rPr>
          <w:i w:val="1"/>
          <w:iCs w:val="1"/>
          <w:sz w:val="18"/>
          <w:szCs w:val="18"/>
        </w:rPr>
        <w:t>Indicative</w:t>
      </w:r>
      <w:r w:rsidRPr="71EAE5B8" w:rsidR="71EAE5B8">
        <w:rPr>
          <w:i w:val="1"/>
          <w:iCs w:val="1"/>
          <w:sz w:val="18"/>
          <w:szCs w:val="18"/>
        </w:rPr>
        <w:t xml:space="preserve"> ten-week project plan.</w:t>
      </w:r>
    </w:p>
    <w:p w:rsidR="71EAE5B8" w:rsidP="71EAE5B8" w:rsidRDefault="71EAE5B8" w14:paraId="4B317DCD" w14:textId="5525EE4A">
      <w:pPr>
        <w:pStyle w:val="Heading1"/>
      </w:pPr>
    </w:p>
    <w:p w:rsidR="71EAE5B8" w:rsidP="71EAE5B8" w:rsidRDefault="71EAE5B8" w14:paraId="02F8A24C" w14:textId="1A46F2D3">
      <w:pPr>
        <w:pStyle w:val="Heading1"/>
      </w:pPr>
    </w:p>
    <w:p w:rsidR="71EAE5B8" w:rsidP="71EAE5B8" w:rsidRDefault="71EAE5B8" w14:paraId="7FDDC749" w14:textId="62CE337E">
      <w:pPr>
        <w:pStyle w:val="Heading1"/>
      </w:pPr>
    </w:p>
    <w:p w:rsidR="71EAE5B8" w:rsidP="71EAE5B8" w:rsidRDefault="71EAE5B8" w14:paraId="22208E15" w14:textId="39E83597">
      <w:pPr>
        <w:pStyle w:val="Heading1"/>
      </w:pPr>
    </w:p>
    <w:p w:rsidR="71EAE5B8" w:rsidP="71EAE5B8" w:rsidRDefault="71EAE5B8" w14:paraId="21D683ED" w14:textId="629497F4">
      <w:pPr>
        <w:pStyle w:val="Heading1"/>
      </w:pPr>
    </w:p>
    <w:p w:rsidR="71EAE5B8" w:rsidP="71EAE5B8" w:rsidRDefault="71EAE5B8" w14:paraId="6467CE37" w14:textId="2E4018EF">
      <w:pPr>
        <w:pStyle w:val="Heading1"/>
      </w:pPr>
    </w:p>
    <w:p xmlns:wp14="http://schemas.microsoft.com/office/word/2010/wordml" w14:paraId="3BBFC3B7" wp14:textId="77777777">
      <w:pPr>
        <w:pStyle w:val="Heading1"/>
        <w:rPr/>
      </w:pPr>
      <w:r w:rsidR="71EAE5B8">
        <w:rPr/>
        <w:t>6. Conclusion</w:t>
      </w:r>
    </w:p>
    <w:p w:rsidR="7A6D801D" w:rsidP="71EAE5B8" w:rsidRDefault="7A6D801D" w14:paraId="3EA19F95" w14:textId="33F94D35">
      <w:pPr>
        <w:pStyle w:val="TextBody"/>
        <w:spacing w:before="0" w:after="120" w:line="360" w:lineRule="auto"/>
        <w:ind w:firstLine="425"/>
        <w:jc w:val="both"/>
      </w:pPr>
      <w:r w:rsidR="7A6D801D">
        <w:rPr/>
        <w:t>This proposal lays out a workable secondary study of how consumer trust in fast fashion is impacted by celebrity and social media influencer endorsements. By integrating established endorsement theory with a methodical examination and comparative documentary analysis of Zara and H&amp;M, the dissertation will transcend beyond simple claims that one endorser type is superior. It will highlight the conditions under which credibility, identity, fit and disclosure promote or weaken trust, while acknowledging the limitations of the available evidence. The final analysis should give a credible scholarly contribution and practical direction for acceptable endorsement strategy.</w:t>
      </w:r>
    </w:p>
    <w:p xmlns:wp14="http://schemas.microsoft.com/office/word/2010/wordml" w:rsidP="07DBD3B3" w14:paraId="0C75E0A1" wp14:textId="0C688606">
      <w:pPr>
        <w:pStyle w:val="Normal"/>
        <w:jc w:val="right"/>
        <w:rPr>
          <w:i w:val="1"/>
          <w:iCs w:val="1"/>
          <w:sz w:val="18"/>
          <w:szCs w:val="18"/>
        </w:rPr>
      </w:pPr>
    </w:p>
    <w:p w:rsidR="07DBD3B3" w:rsidP="07DBD3B3" w:rsidRDefault="07DBD3B3" w14:paraId="7E876F85" w14:textId="0AC28157">
      <w:pPr>
        <w:pStyle w:val="Normal"/>
        <w:jc w:val="right"/>
        <w:rPr>
          <w:i w:val="1"/>
          <w:iCs w:val="1"/>
          <w:sz w:val="18"/>
          <w:szCs w:val="18"/>
        </w:rPr>
      </w:pPr>
    </w:p>
    <w:p w:rsidR="07DBD3B3" w:rsidP="07DBD3B3" w:rsidRDefault="07DBD3B3" w14:paraId="17F21B87" w14:textId="1FFA7CBA">
      <w:pPr>
        <w:pStyle w:val="Normal"/>
        <w:jc w:val="right"/>
        <w:rPr>
          <w:i w:val="1"/>
          <w:iCs w:val="1"/>
          <w:sz w:val="18"/>
          <w:szCs w:val="18"/>
        </w:rPr>
      </w:pPr>
    </w:p>
    <w:p w:rsidR="07DBD3B3" w:rsidP="07DBD3B3" w:rsidRDefault="07DBD3B3" w14:paraId="23A57FFE" w14:textId="15A714AE">
      <w:pPr>
        <w:pStyle w:val="Normal"/>
        <w:jc w:val="right"/>
        <w:rPr>
          <w:i w:val="1"/>
          <w:iCs w:val="1"/>
          <w:sz w:val="18"/>
          <w:szCs w:val="18"/>
        </w:rPr>
      </w:pPr>
    </w:p>
    <w:p w:rsidR="07DBD3B3" w:rsidP="07DBD3B3" w:rsidRDefault="07DBD3B3" w14:paraId="76CE8D92" w14:textId="088B8F24">
      <w:pPr>
        <w:pStyle w:val="Normal"/>
        <w:jc w:val="right"/>
        <w:rPr>
          <w:i w:val="1"/>
          <w:iCs w:val="1"/>
          <w:sz w:val="18"/>
          <w:szCs w:val="18"/>
        </w:rPr>
      </w:pPr>
    </w:p>
    <w:p w:rsidR="07DBD3B3" w:rsidP="07DBD3B3" w:rsidRDefault="07DBD3B3" w14:paraId="7A449946" w14:textId="367BA814">
      <w:pPr>
        <w:pStyle w:val="Normal"/>
        <w:jc w:val="right"/>
        <w:rPr>
          <w:i w:val="1"/>
          <w:iCs w:val="1"/>
          <w:sz w:val="18"/>
          <w:szCs w:val="18"/>
        </w:rPr>
      </w:pPr>
    </w:p>
    <w:p w:rsidR="07DBD3B3" w:rsidP="07DBD3B3" w:rsidRDefault="07DBD3B3" w14:paraId="3A3611BD" w14:textId="3A6BDE5F">
      <w:pPr>
        <w:pStyle w:val="Normal"/>
        <w:jc w:val="right"/>
        <w:rPr>
          <w:i w:val="1"/>
          <w:iCs w:val="1"/>
          <w:sz w:val="18"/>
          <w:szCs w:val="18"/>
        </w:rPr>
      </w:pPr>
    </w:p>
    <w:p w:rsidR="07DBD3B3" w:rsidP="07DBD3B3" w:rsidRDefault="07DBD3B3" w14:paraId="11EB53C6" w14:textId="1C8E9ACD">
      <w:pPr>
        <w:pStyle w:val="Normal"/>
        <w:jc w:val="right"/>
        <w:rPr>
          <w:i w:val="1"/>
          <w:iCs w:val="1"/>
          <w:sz w:val="18"/>
          <w:szCs w:val="18"/>
        </w:rPr>
      </w:pPr>
    </w:p>
    <w:p xmlns:wp14="http://schemas.microsoft.com/office/word/2010/wordml" w14:paraId="071E4E01" wp14:textId="77777777">
      <w:pPr>
        <w:pStyle w:val="Heading1"/>
        <w:rPr/>
      </w:pPr>
      <w:r>
        <w:rPr/>
        <w:t>References</w:t>
      </w:r>
    </w:p>
    <w:p xmlns:wp14="http://schemas.microsoft.com/office/word/2010/wordml" w14:paraId="76979DE2" wp14:textId="77777777">
      <w:pPr>
        <w:pStyle w:val="Normal"/>
        <w:spacing w:before="0" w:after="100" w:line="240" w:lineRule="auto"/>
        <w:ind w:left="425" w:hanging="425"/>
        <w:jc w:val="left"/>
        <w:rPr/>
      </w:pPr>
      <w:r>
        <w:rPr>
          <w:sz w:val="20"/>
        </w:rPr>
        <w:t xml:space="preserve">Advertising Standards Authority (2023) Influencers’ guide to making clear that ads are ads. London: ASA/CAP. Available at: </w:t>
      </w:r>
      <w:hyperlink r:id="rId3">
        <w:r>
          <w:rPr>
            <w:rStyle w:val="ListLabel1"/>
            <w:color w:val="0563C1"/>
            <w:sz w:val="22"/>
            <w:u w:val="single"/>
          </w:rPr>
          <w:t>https://www.asa.org.uk/resource/influencers-guide.html</w:t>
        </w:r>
      </w:hyperlink>
      <w:r>
        <w:rPr>
          <w:sz w:val="20"/>
        </w:rPr>
        <w:t xml:space="preserve"> (Accessed: 28 July 2026).</w:t>
      </w:r>
    </w:p>
    <w:p xmlns:wp14="http://schemas.microsoft.com/office/word/2010/wordml" w14:paraId="60BDBC44" wp14:textId="58AA3748">
      <w:pPr>
        <w:pStyle w:val="Normal"/>
        <w:spacing w:before="0" w:after="100" w:line="240" w:lineRule="auto"/>
        <w:ind w:left="425" w:hanging="425"/>
        <w:jc w:val="left"/>
      </w:pPr>
      <w:r w:rsidRPr="71EAE5B8" w:rsidR="71EAE5B8">
        <w:rPr>
          <w:sz w:val="20"/>
          <w:szCs w:val="20"/>
        </w:rPr>
        <w:t xml:space="preserve">Bick, R., Halsey, E. and </w:t>
      </w:r>
      <w:r w:rsidRPr="71EAE5B8" w:rsidR="71EAE5B8">
        <w:rPr>
          <w:sz w:val="20"/>
          <w:szCs w:val="20"/>
        </w:rPr>
        <w:t>Ekenga</w:t>
      </w:r>
      <w:r w:rsidRPr="71EAE5B8" w:rsidR="71EAE5B8">
        <w:rPr>
          <w:sz w:val="20"/>
          <w:szCs w:val="20"/>
        </w:rPr>
        <w:t xml:space="preserve">, C.C. (2018) ‘The global environmental injustice of fast fashion’, Environmental Health, 17, article 92 </w:t>
      </w:r>
      <w:hyperlink r:id="R26d6e9cce9684326">
        <w:r w:rsidRPr="71EAE5B8" w:rsidR="71EAE5B8">
          <w:rPr>
            <w:rStyle w:val="Hyperlink"/>
            <w:sz w:val="20"/>
            <w:szCs w:val="20"/>
          </w:rPr>
          <w:t>https://www.researchgate.net/publication/329938899_The_global_environmental_injustice_of_fast_fashion</w:t>
        </w:r>
      </w:hyperlink>
      <w:r w:rsidRPr="71EAE5B8" w:rsidR="71EAE5B8">
        <w:rPr>
          <w:sz w:val="20"/>
          <w:szCs w:val="20"/>
        </w:rPr>
        <w:t xml:space="preserve"> </w:t>
      </w:r>
      <w:r w:rsidRPr="71EAE5B8" w:rsidR="71EAE5B8">
        <w:rPr>
          <w:sz w:val="20"/>
          <w:szCs w:val="20"/>
        </w:rPr>
        <w:t>(Accessed: 28 July 2026).</w:t>
      </w:r>
    </w:p>
    <w:p xmlns:wp14="http://schemas.microsoft.com/office/word/2010/wordml" w14:paraId="4541D695" wp14:textId="583ADC57">
      <w:pPr>
        <w:pStyle w:val="Normal"/>
        <w:spacing w:before="0" w:after="100" w:line="240" w:lineRule="auto"/>
        <w:ind w:left="425" w:hanging="425"/>
        <w:jc w:val="left"/>
      </w:pPr>
      <w:r w:rsidRPr="71EAE5B8" w:rsidR="71EAE5B8">
        <w:rPr>
          <w:sz w:val="20"/>
          <w:szCs w:val="20"/>
        </w:rPr>
        <w:t xml:space="preserve">Boerman, S.C. (2020) ‘The effects of the standardized Instagram disclosure for micro- and meso-influencers’, Computers in Human Behavior, 103, pp. 199–207. </w:t>
      </w:r>
      <w:hyperlink r:id="Ra42770af715144a8">
        <w:r w:rsidRPr="71EAE5B8" w:rsidR="71EAE5B8">
          <w:rPr>
            <w:rStyle w:val="ListLabel1"/>
            <w:color w:val="0563C1"/>
            <w:sz w:val="22"/>
            <w:szCs w:val="22"/>
            <w:u w:val="single"/>
          </w:rPr>
          <w:t>https://doi.org/10.1016/j.chb.2019.09.015</w:t>
        </w:r>
      </w:hyperlink>
      <w:r w:rsidRPr="71EAE5B8" w:rsidR="71EAE5B8">
        <w:rPr>
          <w:sz w:val="20"/>
          <w:szCs w:val="20"/>
        </w:rPr>
        <w:t xml:space="preserve">. </w:t>
      </w:r>
      <w:r w:rsidRPr="71EAE5B8" w:rsidR="71EAE5B8">
        <w:rPr>
          <w:sz w:val="20"/>
          <w:szCs w:val="20"/>
        </w:rPr>
        <w:t>(Accessed: 28 July 2026).</w:t>
      </w:r>
    </w:p>
    <w:p xmlns:wp14="http://schemas.microsoft.com/office/word/2010/wordml" w14:paraId="49CFCF09" wp14:textId="4C790D1F">
      <w:pPr>
        <w:pStyle w:val="Normal"/>
        <w:spacing w:before="0" w:after="100" w:line="240" w:lineRule="auto"/>
        <w:ind w:left="425" w:hanging="425"/>
        <w:jc w:val="left"/>
      </w:pPr>
      <w:r w:rsidRPr="71EAE5B8" w:rsidR="71EAE5B8">
        <w:rPr>
          <w:sz w:val="20"/>
          <w:szCs w:val="20"/>
        </w:rPr>
        <w:t xml:space="preserve">Braun, </w:t>
      </w:r>
      <w:r w:rsidRPr="71EAE5B8" w:rsidR="71EAE5B8">
        <w:rPr>
          <w:sz w:val="20"/>
          <w:szCs w:val="20"/>
        </w:rPr>
        <w:t>V.</w:t>
      </w:r>
      <w:r w:rsidRPr="71EAE5B8" w:rsidR="71EAE5B8">
        <w:rPr>
          <w:sz w:val="20"/>
          <w:szCs w:val="20"/>
        </w:rPr>
        <w:t xml:space="preserve"> and Clarke, V. (2006) ‘Using thematic analysis in psychology’, Qualitative Research in Psychology, 3(2), pp. 77–101.https://www-tandfonline-com.uwtsd.idm.oclc.org/</w:t>
      </w:r>
      <w:r w:rsidRPr="71EAE5B8" w:rsidR="71EAE5B8">
        <w:rPr>
          <w:sz w:val="20"/>
          <w:szCs w:val="20"/>
        </w:rPr>
        <w:t>doi</w:t>
      </w:r>
      <w:r w:rsidRPr="71EAE5B8" w:rsidR="71EAE5B8">
        <w:rPr>
          <w:sz w:val="20"/>
          <w:szCs w:val="20"/>
        </w:rPr>
        <w:t xml:space="preserve">/abs/10.1191/1478088706qp063oa </w:t>
      </w:r>
      <w:r w:rsidRPr="71EAE5B8" w:rsidR="71EAE5B8">
        <w:rPr>
          <w:sz w:val="20"/>
          <w:szCs w:val="20"/>
        </w:rPr>
        <w:t>(Accessed: 28 July 2026).</w:t>
      </w:r>
    </w:p>
    <w:p xmlns:wp14="http://schemas.microsoft.com/office/word/2010/wordml" w14:paraId="19EAE1F7" wp14:textId="6089DC80">
      <w:pPr>
        <w:pStyle w:val="Normal"/>
        <w:spacing w:before="0" w:after="100" w:line="240" w:lineRule="auto"/>
        <w:ind w:left="425" w:hanging="425"/>
        <w:jc w:val="left"/>
      </w:pPr>
      <w:r w:rsidRPr="71EAE5B8" w:rsidR="71EAE5B8">
        <w:rPr>
          <w:sz w:val="20"/>
          <w:szCs w:val="20"/>
        </w:rPr>
        <w:t xml:space="preserve">Breves, P.L., Liebers, N., Abt, M. and Kunze, A. (2019) ‘The perceived fit between Instagram influencers and the endorsed brand: How influencer-brand fit affects source credibility and persuasive effectiveness’, Journal of Advertising Research, 59(4), pp. 440–454. </w:t>
      </w:r>
      <w:hyperlink r:id="R8d7da4419d9346b3">
        <w:r w:rsidRPr="71EAE5B8" w:rsidR="71EAE5B8">
          <w:rPr>
            <w:rStyle w:val="Hyperlink"/>
            <w:sz w:val="20"/>
            <w:szCs w:val="20"/>
          </w:rPr>
          <w:t>https://www-tandfonline-com.uwtsd.idm.oclc.org/doi/full/10.2501/JAR-2019-030#d1e553</w:t>
        </w:r>
      </w:hyperlink>
      <w:r w:rsidRPr="71EAE5B8" w:rsidR="71EAE5B8">
        <w:rPr>
          <w:sz w:val="20"/>
          <w:szCs w:val="20"/>
        </w:rPr>
        <w:t xml:space="preserve"> </w:t>
      </w:r>
      <w:r w:rsidRPr="71EAE5B8" w:rsidR="71EAE5B8">
        <w:rPr>
          <w:sz w:val="20"/>
          <w:szCs w:val="20"/>
        </w:rPr>
        <w:t>(Accessed: 28 July 2026).</w:t>
      </w:r>
    </w:p>
    <w:p xmlns:wp14="http://schemas.microsoft.com/office/word/2010/wordml" w14:paraId="3E1FC545" wp14:textId="5F6C23BE">
      <w:pPr>
        <w:pStyle w:val="Normal"/>
        <w:spacing w:before="0" w:after="100" w:line="240" w:lineRule="auto"/>
        <w:ind w:left="425" w:hanging="425"/>
        <w:jc w:val="left"/>
      </w:pPr>
      <w:r w:rsidRPr="71EAE5B8" w:rsidR="71EAE5B8">
        <w:rPr>
          <w:sz w:val="20"/>
          <w:szCs w:val="20"/>
        </w:rPr>
        <w:t xml:space="preserve">De </w:t>
      </w:r>
      <w:r w:rsidRPr="71EAE5B8" w:rsidR="71EAE5B8">
        <w:rPr>
          <w:sz w:val="20"/>
          <w:szCs w:val="20"/>
        </w:rPr>
        <w:t>Veirman</w:t>
      </w:r>
      <w:r w:rsidRPr="71EAE5B8" w:rsidR="71EAE5B8">
        <w:rPr>
          <w:sz w:val="20"/>
          <w:szCs w:val="20"/>
        </w:rPr>
        <w:t xml:space="preserve">, M., </w:t>
      </w:r>
      <w:r w:rsidRPr="71EAE5B8" w:rsidR="71EAE5B8">
        <w:rPr>
          <w:sz w:val="20"/>
          <w:szCs w:val="20"/>
        </w:rPr>
        <w:t>Cauberghe</w:t>
      </w:r>
      <w:r w:rsidRPr="71EAE5B8" w:rsidR="71EAE5B8">
        <w:rPr>
          <w:sz w:val="20"/>
          <w:szCs w:val="20"/>
        </w:rPr>
        <w:t xml:space="preserve">, V. and </w:t>
      </w:r>
      <w:r w:rsidRPr="71EAE5B8" w:rsidR="71EAE5B8">
        <w:rPr>
          <w:sz w:val="20"/>
          <w:szCs w:val="20"/>
        </w:rPr>
        <w:t>Hudders</w:t>
      </w:r>
      <w:r w:rsidRPr="71EAE5B8" w:rsidR="71EAE5B8">
        <w:rPr>
          <w:sz w:val="20"/>
          <w:szCs w:val="20"/>
        </w:rPr>
        <w:t xml:space="preserve">, L. (2017) ‘Marketing through Instagram influencers: The impact of number of followers and product divergence on brand </w:t>
      </w:r>
      <w:r w:rsidRPr="71EAE5B8" w:rsidR="71EAE5B8">
        <w:rPr>
          <w:sz w:val="20"/>
          <w:szCs w:val="20"/>
        </w:rPr>
        <w:t>attitude</w:t>
      </w:r>
      <w:r w:rsidRPr="71EAE5B8" w:rsidR="71EAE5B8">
        <w:rPr>
          <w:sz w:val="20"/>
          <w:szCs w:val="20"/>
        </w:rPr>
        <w:t xml:space="preserve">’, International Journal of Advertising, 36(5), pp. 798–828. </w:t>
      </w:r>
      <w:hyperlink r:id="Ra799b3f9b2534a28">
        <w:r w:rsidRPr="71EAE5B8" w:rsidR="71EAE5B8">
          <w:rPr>
            <w:rStyle w:val="Hyperlink"/>
            <w:sz w:val="20"/>
            <w:szCs w:val="20"/>
          </w:rPr>
          <w:t>https://www-tandfonline-com.uwtsd.idm.oclc.org/doi/full/10.1080/02650487.2017.1348035</w:t>
        </w:r>
      </w:hyperlink>
      <w:r w:rsidRPr="71EAE5B8" w:rsidR="71EAE5B8">
        <w:rPr>
          <w:sz w:val="20"/>
          <w:szCs w:val="20"/>
        </w:rPr>
        <w:t xml:space="preserve"> </w:t>
      </w:r>
      <w:r w:rsidRPr="71EAE5B8" w:rsidR="71EAE5B8">
        <w:rPr>
          <w:sz w:val="20"/>
          <w:szCs w:val="20"/>
        </w:rPr>
        <w:t>(Accessed: 28 July 2026).</w:t>
      </w:r>
    </w:p>
    <w:p xmlns:wp14="http://schemas.microsoft.com/office/word/2010/wordml" w14:paraId="2ADBC702" wp14:textId="67BD743B">
      <w:pPr>
        <w:pStyle w:val="Normal"/>
        <w:spacing w:before="0" w:after="100" w:line="240" w:lineRule="auto"/>
        <w:ind w:left="425" w:hanging="425"/>
        <w:jc w:val="left"/>
      </w:pPr>
      <w:r w:rsidRPr="71EAE5B8" w:rsidR="71EAE5B8">
        <w:rPr>
          <w:sz w:val="20"/>
          <w:szCs w:val="20"/>
        </w:rPr>
        <w:t xml:space="preserve">Delgado-Ballester, E. and </w:t>
      </w:r>
      <w:r w:rsidRPr="71EAE5B8" w:rsidR="71EAE5B8">
        <w:rPr>
          <w:sz w:val="20"/>
          <w:szCs w:val="20"/>
        </w:rPr>
        <w:t>Munuera</w:t>
      </w:r>
      <w:r w:rsidRPr="71EAE5B8" w:rsidR="71EAE5B8">
        <w:rPr>
          <w:sz w:val="20"/>
          <w:szCs w:val="20"/>
        </w:rPr>
        <w:t xml:space="preserve">-Alemán, J.L. (2001) ‘Brand trust in the context of consumer loyalty’, European Journal of Marketing, 35(11/12), pp. 1238–1258.https://www.proquest.com/docview/237021507?accountid=130472&amp;parentSessionId=q%2FtSr%2BzphwEkHYbX1L%2Bsej1G5LElmdEusmMj2nz7GwY%3D&amp;pq-origsite=primo&amp;sourcetype=Scholarly%20Journals </w:t>
      </w:r>
      <w:r w:rsidRPr="71EAE5B8" w:rsidR="71EAE5B8">
        <w:rPr>
          <w:sz w:val="20"/>
          <w:szCs w:val="20"/>
        </w:rPr>
        <w:t>(Accessed: 28 July 2026).</w:t>
      </w:r>
    </w:p>
    <w:p xmlns:wp14="http://schemas.microsoft.com/office/word/2010/wordml" w14:paraId="24783E76" wp14:textId="7D497306">
      <w:pPr>
        <w:pStyle w:val="Normal"/>
        <w:spacing w:before="0" w:after="100" w:line="240" w:lineRule="auto"/>
        <w:ind w:left="425" w:hanging="425"/>
        <w:jc w:val="left"/>
      </w:pPr>
      <w:r w:rsidRPr="71EAE5B8" w:rsidR="71EAE5B8">
        <w:rPr>
          <w:sz w:val="20"/>
          <w:szCs w:val="20"/>
        </w:rPr>
        <w:t xml:space="preserve">Erdogan, B.Z. (1999) ‘Celebrity endorsement: A literature review’, Journal of Marketing Management, 15(4), pp. 291–314. </w:t>
      </w:r>
      <w:hyperlink r:id="Re7802e869f3442d6">
        <w:r w:rsidRPr="71EAE5B8" w:rsidR="71EAE5B8">
          <w:rPr>
            <w:rStyle w:val="Hyperlink"/>
            <w:sz w:val="20"/>
            <w:szCs w:val="20"/>
          </w:rPr>
          <w:t>https://www-tandfonline-com.uwtsd.idm.oclc.org/doi/abs/10.1362/026725799784870379</w:t>
        </w:r>
      </w:hyperlink>
      <w:r w:rsidRPr="71EAE5B8" w:rsidR="71EAE5B8">
        <w:rPr>
          <w:sz w:val="20"/>
          <w:szCs w:val="20"/>
        </w:rPr>
        <w:t xml:space="preserve"> </w:t>
      </w:r>
      <w:r w:rsidRPr="71EAE5B8" w:rsidR="71EAE5B8">
        <w:rPr>
          <w:sz w:val="20"/>
          <w:szCs w:val="20"/>
        </w:rPr>
        <w:t>(Accessed: 28 July 2026).</w:t>
      </w:r>
    </w:p>
    <w:p xmlns:wp14="http://schemas.microsoft.com/office/word/2010/wordml" w14:paraId="0E81546D" wp14:textId="592766A5">
      <w:pPr>
        <w:pStyle w:val="Normal"/>
        <w:spacing w:before="0" w:after="100" w:line="240" w:lineRule="auto"/>
        <w:ind w:left="425" w:hanging="425"/>
        <w:jc w:val="left"/>
      </w:pPr>
      <w:r w:rsidRPr="71EAE5B8" w:rsidR="71EAE5B8">
        <w:rPr>
          <w:sz w:val="20"/>
          <w:szCs w:val="20"/>
        </w:rPr>
        <w:t>Evans, N.J., Phua, J., Lim, J. and Jun, H. (2017) ‘Disclosing Instagram influencer advertising: The effects of disclosure language on advertising recognition, attitudes, and behavioral intent’, Journal of Interactive Advertising, 17(2), pp. 138–149.https://www-tandfonline-com.uwtsd.idm.oclc.org/</w:t>
      </w:r>
      <w:r w:rsidRPr="71EAE5B8" w:rsidR="71EAE5B8">
        <w:rPr>
          <w:sz w:val="20"/>
          <w:szCs w:val="20"/>
        </w:rPr>
        <w:t>doi</w:t>
      </w:r>
      <w:r w:rsidRPr="71EAE5B8" w:rsidR="71EAE5B8">
        <w:rPr>
          <w:sz w:val="20"/>
          <w:szCs w:val="20"/>
        </w:rPr>
        <w:t xml:space="preserve">/abs/10.1362/026725799784870379 </w:t>
      </w:r>
      <w:r w:rsidRPr="71EAE5B8" w:rsidR="71EAE5B8">
        <w:rPr>
          <w:sz w:val="20"/>
          <w:szCs w:val="20"/>
        </w:rPr>
        <w:t>(Accessed: 28 July 2026).</w:t>
      </w:r>
    </w:p>
    <w:p xmlns:wp14="http://schemas.microsoft.com/office/word/2010/wordml" w14:paraId="1D76C580" wp14:textId="091F1FD6">
      <w:pPr>
        <w:pStyle w:val="Normal"/>
        <w:spacing w:before="0" w:after="100" w:line="240" w:lineRule="auto"/>
        <w:ind w:left="425" w:hanging="425"/>
        <w:jc w:val="left"/>
      </w:pPr>
      <w:r w:rsidRPr="71EAE5B8" w:rsidR="71EAE5B8">
        <w:rPr>
          <w:sz w:val="20"/>
          <w:szCs w:val="20"/>
        </w:rPr>
        <w:t xml:space="preserve">Freberg, K., Graham, K., McGaughey, K. and Freberg, L.A. (2011) ‘Who are the social media influencers? A study of public </w:t>
      </w:r>
      <w:r w:rsidRPr="71EAE5B8" w:rsidR="71EAE5B8">
        <w:rPr>
          <w:sz w:val="20"/>
          <w:szCs w:val="20"/>
        </w:rPr>
        <w:t>perceptions</w:t>
      </w:r>
      <w:r w:rsidRPr="71EAE5B8" w:rsidR="71EAE5B8">
        <w:rPr>
          <w:sz w:val="20"/>
          <w:szCs w:val="20"/>
        </w:rPr>
        <w:t xml:space="preserve"> of </w:t>
      </w:r>
      <w:r w:rsidRPr="71EAE5B8" w:rsidR="71EAE5B8">
        <w:rPr>
          <w:sz w:val="20"/>
          <w:szCs w:val="20"/>
        </w:rPr>
        <w:t>personality’,</w:t>
      </w:r>
      <w:r w:rsidRPr="71EAE5B8" w:rsidR="71EAE5B8">
        <w:rPr>
          <w:sz w:val="20"/>
          <w:szCs w:val="20"/>
        </w:rPr>
        <w:t xml:space="preserve"> Public Relations Review, 37(1), pp. 90–92. </w:t>
      </w:r>
      <w:hyperlink r:id="R206bfcc1cebd4b1e">
        <w:r w:rsidRPr="71EAE5B8" w:rsidR="71EAE5B8">
          <w:rPr>
            <w:rStyle w:val="Hyperlink"/>
            <w:sz w:val="20"/>
            <w:szCs w:val="20"/>
          </w:rPr>
          <w:t>https://www-sciencedirect-com.uwtsd.idm.oclc.org/science/article/pii/S0363811110001207</w:t>
        </w:r>
      </w:hyperlink>
      <w:r w:rsidRPr="71EAE5B8" w:rsidR="71EAE5B8">
        <w:rPr>
          <w:sz w:val="20"/>
          <w:szCs w:val="20"/>
        </w:rPr>
        <w:t xml:space="preserve"> </w:t>
      </w:r>
      <w:r w:rsidRPr="71EAE5B8" w:rsidR="71EAE5B8">
        <w:rPr>
          <w:sz w:val="20"/>
          <w:szCs w:val="20"/>
        </w:rPr>
        <w:t>(Accessed: 28 July 2026).</w:t>
      </w:r>
    </w:p>
    <w:p xmlns:wp14="http://schemas.microsoft.com/office/word/2010/wordml" w:rsidP="71EAE5B8" w14:paraId="3711C23F" wp14:textId="2198C92F">
      <w:pPr>
        <w:pStyle w:val="Normal"/>
        <w:spacing w:before="0" w:after="100" w:line="240" w:lineRule="auto"/>
        <w:ind/>
      </w:pPr>
      <w:r w:rsidRPr="71EAE5B8" w:rsidR="6B7727F2">
        <w:rPr>
          <w:sz w:val="20"/>
          <w:szCs w:val="20"/>
        </w:rPr>
        <w:t xml:space="preserve">H&amp;M Group (2026) Annual and sustainability report 2025. Stockholm: H &amp; M Hennes &amp; Mauritz AB. Available at: </w:t>
      </w:r>
      <w:hyperlink r:id="R1cfe151e83aa4b6b">
        <w:r w:rsidRPr="71EAE5B8" w:rsidR="71EAE5B8">
          <w:rPr>
            <w:rStyle w:val="ListLabel1"/>
            <w:color w:val="0563C1"/>
            <w:sz w:val="22"/>
            <w:szCs w:val="22"/>
            <w:u w:val="single"/>
          </w:rPr>
          <w:t>https://hmgroup.com/investors/reports/</w:t>
        </w:r>
      </w:hyperlink>
      <w:r w:rsidRPr="71EAE5B8" w:rsidR="7629C1E5">
        <w:rPr>
          <w:rStyle w:val="ListLabel1"/>
          <w:color w:val="0563C1"/>
          <w:sz w:val="22"/>
          <w:szCs w:val="22"/>
          <w:u w:val="single"/>
        </w:rPr>
        <w:t xml:space="preserve"> </w:t>
      </w:r>
      <w:r w:rsidRPr="71EAE5B8" w:rsidR="7629C1E5">
        <w:rPr>
          <w:sz w:val="20"/>
          <w:szCs w:val="20"/>
        </w:rPr>
        <w:t>(Accessed: 28 July 2026).</w:t>
      </w:r>
    </w:p>
    <w:p xmlns:wp14="http://schemas.microsoft.com/office/word/2010/wordml" w14:paraId="1D00271B" wp14:textId="170C62C0">
      <w:pPr>
        <w:pStyle w:val="Normal"/>
        <w:spacing w:before="0" w:after="100" w:line="240" w:lineRule="auto"/>
        <w:ind w:left="425" w:hanging="425"/>
        <w:jc w:val="left"/>
      </w:pPr>
      <w:r w:rsidRPr="71EAE5B8" w:rsidR="71EAE5B8">
        <w:rPr>
          <w:sz w:val="20"/>
          <w:szCs w:val="20"/>
        </w:rPr>
        <w:t xml:space="preserve">Horton, D. and Wohl, R.R. (1956) ‘Mass communication and para-social interaction: Observations on intimacy at a distance’, Psychiatry, 19(3), pp. 215–229. </w:t>
      </w:r>
      <w:hyperlink r:id="R9ef0e35b9e374a94">
        <w:r w:rsidRPr="71EAE5B8" w:rsidR="71EAE5B8">
          <w:rPr>
            <w:rStyle w:val="Hyperlink"/>
            <w:sz w:val="20"/>
            <w:szCs w:val="20"/>
          </w:rPr>
          <w:t>https://www.participations.org/03-01-04-horton.pdf</w:t>
        </w:r>
      </w:hyperlink>
      <w:r w:rsidRPr="71EAE5B8" w:rsidR="71EAE5B8">
        <w:rPr>
          <w:sz w:val="20"/>
          <w:szCs w:val="20"/>
        </w:rPr>
        <w:t xml:space="preserve"> </w:t>
      </w:r>
      <w:r w:rsidRPr="71EAE5B8" w:rsidR="71EAE5B8">
        <w:rPr>
          <w:sz w:val="20"/>
          <w:szCs w:val="20"/>
        </w:rPr>
        <w:t>(Accessed: 28 July 2026).</w:t>
      </w:r>
    </w:p>
    <w:p xmlns:wp14="http://schemas.microsoft.com/office/word/2010/wordml" w14:paraId="75838011" wp14:textId="4B144880">
      <w:pPr>
        <w:pStyle w:val="Normal"/>
        <w:spacing w:before="0" w:after="100" w:line="240" w:lineRule="auto"/>
        <w:ind w:left="425" w:hanging="425"/>
        <w:jc w:val="left"/>
      </w:pPr>
      <w:r w:rsidRPr="71EAE5B8" w:rsidR="71EAE5B8">
        <w:rPr>
          <w:sz w:val="20"/>
          <w:szCs w:val="20"/>
        </w:rPr>
        <w:t xml:space="preserve">Inditex (2026) Inditex Group annual report 2025. </w:t>
      </w:r>
      <w:r w:rsidRPr="71EAE5B8" w:rsidR="71EAE5B8">
        <w:rPr>
          <w:sz w:val="20"/>
          <w:szCs w:val="20"/>
        </w:rPr>
        <w:t>Arteixo</w:t>
      </w:r>
      <w:r w:rsidRPr="71EAE5B8" w:rsidR="71EAE5B8">
        <w:rPr>
          <w:sz w:val="20"/>
          <w:szCs w:val="20"/>
        </w:rPr>
        <w:t xml:space="preserve">: Industria de </w:t>
      </w:r>
      <w:r w:rsidRPr="71EAE5B8" w:rsidR="71EAE5B8">
        <w:rPr>
          <w:sz w:val="20"/>
          <w:szCs w:val="20"/>
        </w:rPr>
        <w:t>Diseño</w:t>
      </w:r>
      <w:r w:rsidRPr="71EAE5B8" w:rsidR="71EAE5B8">
        <w:rPr>
          <w:sz w:val="20"/>
          <w:szCs w:val="20"/>
        </w:rPr>
        <w:t xml:space="preserve"> Textil, S.A. Available at: </w:t>
      </w:r>
      <w:hyperlink r:id="R8e963a62fa1a4129">
        <w:r w:rsidRPr="71EAE5B8" w:rsidR="71EAE5B8">
          <w:rPr>
            <w:rStyle w:val="Hyperlink"/>
            <w:sz w:val="20"/>
            <w:szCs w:val="20"/>
          </w:rPr>
          <w:t>https://www.inditex.com/itxcomweb/api/media/59f58f71-301d-4a50-85a6-0441fb9f37c5/ENGL-CCAAeIGGrupo2025.pdf?t=1783079473647</w:t>
        </w:r>
      </w:hyperlink>
      <w:r w:rsidRPr="71EAE5B8" w:rsidR="71EAE5B8">
        <w:rPr>
          <w:sz w:val="20"/>
          <w:szCs w:val="20"/>
        </w:rPr>
        <w:t xml:space="preserve"> </w:t>
      </w:r>
      <w:r w:rsidRPr="71EAE5B8" w:rsidR="71EAE5B8">
        <w:rPr>
          <w:sz w:val="20"/>
          <w:szCs w:val="20"/>
        </w:rPr>
        <w:t>(Accessed: 28 July 2026).</w:t>
      </w:r>
    </w:p>
    <w:p xmlns:wp14="http://schemas.microsoft.com/office/word/2010/wordml" w14:paraId="74D9B691" wp14:textId="4C3756AC">
      <w:pPr>
        <w:pStyle w:val="Normal"/>
        <w:spacing w:before="0" w:after="100" w:line="240" w:lineRule="auto"/>
        <w:ind w:left="425" w:hanging="425"/>
        <w:jc w:val="left"/>
      </w:pPr>
      <w:r w:rsidRPr="71EAE5B8" w:rsidR="71EAE5B8">
        <w:rPr>
          <w:sz w:val="20"/>
          <w:szCs w:val="20"/>
        </w:rPr>
        <w:t xml:space="preserve">Lou, </w:t>
      </w:r>
      <w:r w:rsidRPr="71EAE5B8" w:rsidR="71EAE5B8">
        <w:rPr>
          <w:sz w:val="20"/>
          <w:szCs w:val="20"/>
        </w:rPr>
        <w:t>C.</w:t>
      </w:r>
      <w:r w:rsidRPr="71EAE5B8" w:rsidR="71EAE5B8">
        <w:rPr>
          <w:sz w:val="20"/>
          <w:szCs w:val="20"/>
        </w:rPr>
        <w:t xml:space="preserve"> and Yuan, S. (2019) ‘Influencer marketing: How message value and credibility affect consumer trust of branded content on social media’, Journal of Interactive Advertising, 19(1), pp. 58–73. </w:t>
      </w:r>
      <w:hyperlink r:id="Rbdd386453f3e4c50">
        <w:r w:rsidRPr="71EAE5B8" w:rsidR="71EAE5B8">
          <w:rPr>
            <w:rStyle w:val="Hyperlink"/>
            <w:sz w:val="20"/>
            <w:szCs w:val="20"/>
          </w:rPr>
          <w:t>https://www-tandfonline-com.uwtsd.idm.oclc.org/doi/full/10.1080/15252019.2018.1533501</w:t>
        </w:r>
      </w:hyperlink>
      <w:r w:rsidRPr="71EAE5B8" w:rsidR="71EAE5B8">
        <w:rPr>
          <w:sz w:val="20"/>
          <w:szCs w:val="20"/>
        </w:rPr>
        <w:t xml:space="preserve"> </w:t>
      </w:r>
      <w:r w:rsidRPr="71EAE5B8" w:rsidR="71EAE5B8">
        <w:rPr>
          <w:sz w:val="20"/>
          <w:szCs w:val="20"/>
        </w:rPr>
        <w:t>(Accessed: 28 July 2026).</w:t>
      </w:r>
    </w:p>
    <w:p xmlns:wp14="http://schemas.microsoft.com/office/word/2010/wordml" w14:paraId="03351A77" wp14:textId="4DB06A4A">
      <w:pPr>
        <w:pStyle w:val="Normal"/>
        <w:spacing w:before="0" w:after="100" w:line="240" w:lineRule="auto"/>
        <w:ind w:left="425" w:hanging="425"/>
        <w:jc w:val="left"/>
      </w:pPr>
      <w:r w:rsidRPr="71EAE5B8" w:rsidR="71EAE5B8">
        <w:rPr>
          <w:sz w:val="20"/>
          <w:szCs w:val="20"/>
        </w:rPr>
        <w:t>McCracken, G. (1989) ‘Who is the celebrity endorser? Cultural foundations of the endorsement process</w:t>
      </w:r>
      <w:r w:rsidRPr="71EAE5B8" w:rsidR="71EAE5B8">
        <w:rPr>
          <w:sz w:val="20"/>
          <w:szCs w:val="20"/>
        </w:rPr>
        <w:t>’,</w:t>
      </w:r>
      <w:r w:rsidRPr="71EAE5B8" w:rsidR="71EAE5B8">
        <w:rPr>
          <w:sz w:val="20"/>
          <w:szCs w:val="20"/>
        </w:rPr>
        <w:t xml:space="preserve"> </w:t>
      </w:r>
      <w:r w:rsidRPr="71EAE5B8" w:rsidR="71EAE5B8">
        <w:rPr>
          <w:sz w:val="20"/>
          <w:szCs w:val="20"/>
        </w:rPr>
        <w:t>Journal</w:t>
      </w:r>
      <w:r w:rsidRPr="71EAE5B8" w:rsidR="71EAE5B8">
        <w:rPr>
          <w:sz w:val="20"/>
          <w:szCs w:val="20"/>
        </w:rPr>
        <w:t xml:space="preserve"> of Consumer Research, 16(3), pp. 310–321. </w:t>
      </w:r>
      <w:hyperlink r:id="R1e71a4e71fed44a5">
        <w:r w:rsidRPr="71EAE5B8" w:rsidR="71EAE5B8">
          <w:rPr>
            <w:rStyle w:val="Hyperlink"/>
            <w:sz w:val="20"/>
            <w:szCs w:val="20"/>
          </w:rPr>
          <w:t>https://www-jstor-org.uwtsd.idm.oclc.org/stable/2489512?sid=primo&amp;seq=1</w:t>
        </w:r>
      </w:hyperlink>
      <w:r w:rsidRPr="71EAE5B8" w:rsidR="71EAE5B8">
        <w:rPr>
          <w:sz w:val="20"/>
          <w:szCs w:val="20"/>
        </w:rPr>
        <w:t xml:space="preserve"> </w:t>
      </w:r>
      <w:r w:rsidRPr="71EAE5B8" w:rsidR="71EAE5B8">
        <w:rPr>
          <w:sz w:val="20"/>
          <w:szCs w:val="20"/>
        </w:rPr>
        <w:t>(Accessed: 28 July 2026).</w:t>
      </w:r>
    </w:p>
    <w:p xmlns:wp14="http://schemas.microsoft.com/office/word/2010/wordml" w14:paraId="4155D837" wp14:textId="2B16710B">
      <w:pPr>
        <w:pStyle w:val="Normal"/>
        <w:spacing w:before="0" w:after="100" w:line="240" w:lineRule="auto"/>
        <w:ind w:left="425" w:hanging="425"/>
        <w:jc w:val="left"/>
      </w:pPr>
      <w:r w:rsidRPr="71EAE5B8" w:rsidR="71EAE5B8">
        <w:rPr>
          <w:sz w:val="20"/>
          <w:szCs w:val="20"/>
        </w:rPr>
        <w:t xml:space="preserve">Ohanian, R. (1990) ‘Construction and validation of a scale to measure celebrity endorsers’ perceived </w:t>
      </w:r>
      <w:r w:rsidRPr="71EAE5B8" w:rsidR="71EAE5B8">
        <w:rPr>
          <w:sz w:val="20"/>
          <w:szCs w:val="20"/>
        </w:rPr>
        <w:t>expertise</w:t>
      </w:r>
      <w:r w:rsidRPr="71EAE5B8" w:rsidR="71EAE5B8">
        <w:rPr>
          <w:sz w:val="20"/>
          <w:szCs w:val="20"/>
        </w:rPr>
        <w:t xml:space="preserve">, trustworthiness, and attractiveness’, Journal of Advertising, 19(3), pp. 39–52. </w:t>
      </w:r>
      <w:hyperlink r:id="Rbb8b65a7307740f7">
        <w:r w:rsidRPr="71EAE5B8" w:rsidR="71EAE5B8">
          <w:rPr>
            <w:rStyle w:val="Hyperlink"/>
            <w:sz w:val="20"/>
            <w:szCs w:val="20"/>
          </w:rPr>
          <w:t>https://research-ebsco-com.uwtsd.idm.oclc.org/c/onvpsy/viewer/pdf/irz2pbetmz?route=details</w:t>
        </w:r>
      </w:hyperlink>
      <w:r w:rsidRPr="71EAE5B8" w:rsidR="71EAE5B8">
        <w:rPr>
          <w:sz w:val="20"/>
          <w:szCs w:val="20"/>
        </w:rPr>
        <w:t xml:space="preserve"> </w:t>
      </w:r>
      <w:r w:rsidRPr="71EAE5B8" w:rsidR="71EAE5B8">
        <w:rPr>
          <w:sz w:val="20"/>
          <w:szCs w:val="20"/>
        </w:rPr>
        <w:t>(Accessed: 28 July 2026).</w:t>
      </w:r>
    </w:p>
    <w:p xmlns:wp14="http://schemas.microsoft.com/office/word/2010/wordml" w14:paraId="15030C3F" wp14:textId="77777777">
      <w:pPr>
        <w:pStyle w:val="Normal"/>
        <w:spacing w:before="0" w:after="100" w:line="240" w:lineRule="auto"/>
        <w:ind w:left="425" w:hanging="425"/>
        <w:jc w:val="left"/>
        <w:rPr/>
      </w:pPr>
      <w:r>
        <w:rPr>
          <w:sz w:val="20"/>
        </w:rPr>
        <w:t>Saunders, M., Lewis, P. and Thornhill, A. (2019) Research methods for business students. 8th edn. Harlow: Pearson.</w:t>
      </w:r>
    </w:p>
    <w:p xmlns:wp14="http://schemas.microsoft.com/office/word/2010/wordml" w14:paraId="474D7C2E" wp14:textId="37ACBE9F">
      <w:pPr>
        <w:pStyle w:val="Normal"/>
        <w:spacing w:before="0" w:after="100" w:line="240" w:lineRule="auto"/>
        <w:ind w:left="425" w:hanging="425"/>
        <w:jc w:val="left"/>
      </w:pPr>
      <w:r w:rsidRPr="71EAE5B8" w:rsidR="71EAE5B8">
        <w:rPr>
          <w:sz w:val="20"/>
          <w:szCs w:val="20"/>
        </w:rPr>
        <w:t xml:space="preserve">Schouten, A.P., Janssen, L. and </w:t>
      </w:r>
      <w:r w:rsidRPr="71EAE5B8" w:rsidR="71EAE5B8">
        <w:rPr>
          <w:sz w:val="20"/>
          <w:szCs w:val="20"/>
        </w:rPr>
        <w:t>Verspaget</w:t>
      </w:r>
      <w:r w:rsidRPr="71EAE5B8" w:rsidR="71EAE5B8">
        <w:rPr>
          <w:sz w:val="20"/>
          <w:szCs w:val="20"/>
        </w:rPr>
        <w:t xml:space="preserve">, M. (2020) ‘Celebrity vs. influencer endorsements in advertising: The role of identification, credibility, and product-endorser fit’, International Journal of Advertising, 39(2), pp. 258–281. </w:t>
      </w:r>
      <w:hyperlink r:id="Re6c2c9dcc1e64f44">
        <w:r w:rsidRPr="71EAE5B8" w:rsidR="71EAE5B8">
          <w:rPr>
            <w:rStyle w:val="Hyperlink"/>
            <w:sz w:val="20"/>
            <w:szCs w:val="20"/>
          </w:rPr>
          <w:t>https://www-tandfonline-com.uwtsd.idm.oclc.org/doi/full/10.1080/02650487.2019.1634898</w:t>
        </w:r>
      </w:hyperlink>
      <w:r w:rsidRPr="71EAE5B8" w:rsidR="71EAE5B8">
        <w:rPr>
          <w:sz w:val="20"/>
          <w:szCs w:val="20"/>
        </w:rPr>
        <w:t xml:space="preserve"> </w:t>
      </w:r>
      <w:r w:rsidRPr="71EAE5B8" w:rsidR="71EAE5B8">
        <w:rPr>
          <w:sz w:val="20"/>
          <w:szCs w:val="20"/>
        </w:rPr>
        <w:t>(Accessed: 28 July 2026).</w:t>
      </w:r>
    </w:p>
    <w:p xmlns:wp14="http://schemas.microsoft.com/office/word/2010/wordml" w14:paraId="38DC5349" wp14:textId="7424185C">
      <w:pPr>
        <w:pStyle w:val="Normal"/>
        <w:spacing w:before="0" w:after="100" w:line="240" w:lineRule="auto"/>
        <w:ind w:left="425" w:hanging="425"/>
        <w:jc w:val="left"/>
      </w:pPr>
      <w:r w:rsidRPr="71EAE5B8" w:rsidR="71EAE5B8">
        <w:rPr>
          <w:sz w:val="20"/>
          <w:szCs w:val="20"/>
        </w:rPr>
        <w:t xml:space="preserve">Snyder, H. (2019) ‘Literature review as a research </w:t>
      </w:r>
      <w:r w:rsidRPr="71EAE5B8" w:rsidR="71EAE5B8">
        <w:rPr>
          <w:sz w:val="20"/>
          <w:szCs w:val="20"/>
        </w:rPr>
        <w:t>methodology</w:t>
      </w:r>
      <w:r w:rsidRPr="71EAE5B8" w:rsidR="71EAE5B8">
        <w:rPr>
          <w:sz w:val="20"/>
          <w:szCs w:val="20"/>
        </w:rPr>
        <w:t xml:space="preserve">: An overview and guidelines’, Journal of Business Research, 104, pp. 333–339. </w:t>
      </w:r>
      <w:hyperlink r:id="R6a1d5abd5d5c4fe9">
        <w:r w:rsidRPr="71EAE5B8" w:rsidR="71EAE5B8">
          <w:rPr>
            <w:rStyle w:val="Hyperlink"/>
            <w:sz w:val="20"/>
            <w:szCs w:val="20"/>
          </w:rPr>
          <w:t>https://www-sciencedirect-com.uwtsd.idm.oclc.org/science/article/pii/S0148296319304564</w:t>
        </w:r>
      </w:hyperlink>
      <w:r w:rsidRPr="71EAE5B8" w:rsidR="71EAE5B8">
        <w:rPr>
          <w:sz w:val="20"/>
          <w:szCs w:val="20"/>
        </w:rPr>
        <w:t xml:space="preserve"> </w:t>
      </w:r>
      <w:r w:rsidRPr="71EAE5B8" w:rsidR="71EAE5B8">
        <w:rPr>
          <w:sz w:val="20"/>
          <w:szCs w:val="20"/>
        </w:rPr>
        <w:t>(Accessed: 28 July 2026).</w:t>
      </w:r>
    </w:p>
    <w:p xmlns:wp14="http://schemas.microsoft.com/office/word/2010/wordml" w14:paraId="023ACD1F" wp14:textId="77777777">
      <w:pPr>
        <w:pStyle w:val="Normal"/>
        <w:spacing w:before="0" w:after="100" w:line="240" w:lineRule="auto"/>
        <w:ind w:left="425" w:hanging="425"/>
        <w:jc w:val="left"/>
      </w:pPr>
      <w:r w:rsidRPr="07DBD3B3" w:rsidR="07DBD3B3">
        <w:rPr>
          <w:sz w:val="20"/>
          <w:szCs w:val="20"/>
        </w:rPr>
        <w:t>The Business of Fashion and McKinsey &amp; Company (2023) The State of Fashion 2024: Finding pockets of growth as uncertainty reigns. Available at:</w:t>
      </w:r>
      <w:bookmarkStart w:name="__DdeLink__11956_1274935509" w:id="0"/>
      <w:r w:rsidRPr="07DBD3B3" w:rsidR="07DBD3B3">
        <w:rPr>
          <w:sz w:val="20"/>
          <w:szCs w:val="20"/>
        </w:rPr>
        <w:t xml:space="preserve"> </w:t>
      </w:r>
      <w:hyperlink r:id="R35e3ed3c41804b6e">
        <w:r w:rsidRPr="07DBD3B3" w:rsidR="07DBD3B3">
          <w:rPr>
            <w:rStyle w:val="ListLabel1"/>
            <w:color w:val="0563C1"/>
            <w:sz w:val="22"/>
            <w:szCs w:val="22"/>
            <w:u w:val="single"/>
          </w:rPr>
          <w:t>https://www.mckinsey.com/industries/retail/our-insights/state-of-fashion-2024</w:t>
        </w:r>
      </w:hyperlink>
      <w:r w:rsidRPr="07DBD3B3" w:rsidR="07DBD3B3">
        <w:rPr>
          <w:sz w:val="20"/>
          <w:szCs w:val="20"/>
        </w:rPr>
        <w:t xml:space="preserve"> </w:t>
      </w:r>
      <w:bookmarkEnd w:id="0"/>
      <w:r w:rsidRPr="07DBD3B3" w:rsidR="07DBD3B3">
        <w:rPr>
          <w:sz w:val="20"/>
          <w:szCs w:val="20"/>
        </w:rPr>
        <w:t>(Accessed: 28 July 2026).</w:t>
      </w:r>
    </w:p>
    <w:p w:rsidR="07DBD3B3" w:rsidP="07DBD3B3" w:rsidRDefault="07DBD3B3" w14:paraId="749DA2AB" w14:textId="6A99291C">
      <w:pPr>
        <w:pStyle w:val="Normal"/>
        <w:spacing w:before="0" w:after="100" w:line="240" w:lineRule="auto"/>
        <w:ind w:left="425" w:hanging="425"/>
        <w:jc w:val="left"/>
        <w:rPr>
          <w:sz w:val="20"/>
          <w:szCs w:val="20"/>
        </w:rPr>
      </w:pPr>
    </w:p>
    <w:p w:rsidR="07DBD3B3" w:rsidP="07DBD3B3" w:rsidRDefault="07DBD3B3" w14:paraId="53A8FF92" w14:textId="16DF9D1F">
      <w:pPr>
        <w:pStyle w:val="Normal"/>
        <w:spacing w:before="0" w:after="100" w:line="240" w:lineRule="auto"/>
        <w:ind w:left="425" w:hanging="425"/>
        <w:jc w:val="left"/>
        <w:rPr>
          <w:sz w:val="20"/>
          <w:szCs w:val="20"/>
        </w:rPr>
      </w:pPr>
    </w:p>
    <w:p w:rsidR="07DBD3B3" w:rsidP="07DBD3B3" w:rsidRDefault="07DBD3B3" w14:paraId="631729B9" w14:textId="12B3947D">
      <w:pPr>
        <w:pStyle w:val="Normal"/>
        <w:spacing w:before="0" w:after="100" w:line="240" w:lineRule="auto"/>
        <w:ind w:left="425" w:hanging="425"/>
        <w:jc w:val="left"/>
        <w:rPr>
          <w:sz w:val="20"/>
          <w:szCs w:val="20"/>
        </w:rPr>
      </w:pPr>
    </w:p>
    <w:p w:rsidR="07DBD3B3" w:rsidP="07DBD3B3" w:rsidRDefault="07DBD3B3" w14:paraId="31BE962D" w14:textId="229CA61C">
      <w:pPr>
        <w:pStyle w:val="Normal"/>
        <w:spacing w:before="0" w:after="100" w:line="240" w:lineRule="auto"/>
        <w:ind w:left="425" w:hanging="425"/>
        <w:jc w:val="left"/>
        <w:rPr>
          <w:sz w:val="20"/>
          <w:szCs w:val="20"/>
        </w:rPr>
      </w:pPr>
    </w:p>
    <w:p w:rsidR="07DBD3B3" w:rsidP="07DBD3B3" w:rsidRDefault="07DBD3B3" w14:paraId="7F9ACE15" w14:textId="2FC06A97">
      <w:pPr>
        <w:pStyle w:val="Normal"/>
        <w:spacing w:before="0" w:after="100" w:line="240" w:lineRule="auto"/>
        <w:ind w:left="425" w:hanging="425"/>
        <w:jc w:val="left"/>
        <w:rPr>
          <w:sz w:val="20"/>
          <w:szCs w:val="20"/>
        </w:rPr>
      </w:pPr>
    </w:p>
    <w:p w:rsidR="07DBD3B3" w:rsidP="07DBD3B3" w:rsidRDefault="07DBD3B3" w14:paraId="6D060F42" w14:textId="71DBBF7F">
      <w:pPr>
        <w:pStyle w:val="Normal"/>
        <w:spacing w:before="0" w:after="100" w:line="240" w:lineRule="auto"/>
        <w:ind w:left="425" w:hanging="425"/>
        <w:jc w:val="left"/>
        <w:rPr>
          <w:sz w:val="20"/>
          <w:szCs w:val="20"/>
        </w:rPr>
      </w:pPr>
    </w:p>
    <w:p w:rsidR="07DBD3B3" w:rsidP="07DBD3B3" w:rsidRDefault="07DBD3B3" w14:paraId="30977369" w14:textId="3CA9BC06">
      <w:pPr>
        <w:pStyle w:val="Normal"/>
        <w:spacing w:before="0" w:after="100" w:line="240" w:lineRule="auto"/>
        <w:ind w:left="425" w:hanging="425"/>
        <w:jc w:val="left"/>
        <w:rPr>
          <w:sz w:val="20"/>
          <w:szCs w:val="20"/>
        </w:rPr>
      </w:pPr>
    </w:p>
    <w:p w:rsidR="07DBD3B3" w:rsidP="07DBD3B3" w:rsidRDefault="07DBD3B3" w14:paraId="1E5AEAC2" w14:textId="627F6FF4">
      <w:pPr>
        <w:pStyle w:val="Normal"/>
        <w:spacing w:before="0" w:after="100" w:line="240" w:lineRule="auto"/>
        <w:ind w:left="425" w:hanging="425"/>
        <w:jc w:val="left"/>
        <w:rPr>
          <w:sz w:val="20"/>
          <w:szCs w:val="20"/>
        </w:rPr>
      </w:pPr>
    </w:p>
    <w:p w:rsidR="07DBD3B3" w:rsidP="07DBD3B3" w:rsidRDefault="07DBD3B3" w14:paraId="59BA18CB" w14:textId="558B0E14">
      <w:pPr>
        <w:pStyle w:val="Normal"/>
        <w:spacing w:before="0" w:after="100" w:line="240" w:lineRule="auto"/>
        <w:ind w:left="425" w:hanging="425"/>
        <w:jc w:val="left"/>
        <w:rPr>
          <w:sz w:val="20"/>
          <w:szCs w:val="20"/>
        </w:rPr>
      </w:pPr>
    </w:p>
    <w:p w:rsidR="07DBD3B3" w:rsidP="07DBD3B3" w:rsidRDefault="07DBD3B3" w14:paraId="26CB706B" w14:textId="302DB47D">
      <w:pPr>
        <w:pStyle w:val="Normal"/>
        <w:spacing w:before="0" w:after="100" w:line="240" w:lineRule="auto"/>
        <w:ind w:left="425" w:hanging="425"/>
        <w:jc w:val="left"/>
        <w:rPr>
          <w:sz w:val="20"/>
          <w:szCs w:val="20"/>
        </w:rPr>
      </w:pPr>
    </w:p>
    <w:p w:rsidR="07DBD3B3" w:rsidP="07DBD3B3" w:rsidRDefault="07DBD3B3" w14:paraId="03A1EC36" w14:textId="6EC3D251">
      <w:pPr>
        <w:pStyle w:val="Normal"/>
        <w:spacing w:before="0" w:after="100" w:line="240" w:lineRule="auto"/>
        <w:ind w:left="425" w:hanging="425"/>
        <w:jc w:val="left"/>
        <w:rPr>
          <w:sz w:val="20"/>
          <w:szCs w:val="20"/>
        </w:rPr>
      </w:pPr>
    </w:p>
    <w:p w:rsidR="07DBD3B3" w:rsidP="07DBD3B3" w:rsidRDefault="07DBD3B3" w14:paraId="272BF549" w14:textId="5E05B3FA">
      <w:pPr>
        <w:pStyle w:val="Normal"/>
        <w:spacing w:before="0" w:after="100" w:line="240" w:lineRule="auto"/>
        <w:ind w:left="425" w:hanging="425"/>
        <w:jc w:val="left"/>
        <w:rPr>
          <w:sz w:val="20"/>
          <w:szCs w:val="20"/>
        </w:rPr>
      </w:pPr>
    </w:p>
    <w:p w:rsidR="07DBD3B3" w:rsidP="07DBD3B3" w:rsidRDefault="07DBD3B3" w14:paraId="5B4E2CBF" w14:textId="19A16AE3">
      <w:pPr>
        <w:pStyle w:val="Normal"/>
        <w:spacing w:before="0" w:after="100" w:line="240" w:lineRule="auto"/>
        <w:ind w:left="425" w:hanging="425"/>
        <w:jc w:val="left"/>
        <w:rPr>
          <w:sz w:val="20"/>
          <w:szCs w:val="20"/>
        </w:rPr>
      </w:pPr>
    </w:p>
    <w:p w:rsidR="07DBD3B3" w:rsidP="07DBD3B3" w:rsidRDefault="07DBD3B3" w14:paraId="6EBA0880" w14:textId="50A3854B">
      <w:pPr>
        <w:pStyle w:val="Normal"/>
        <w:spacing w:before="0" w:after="100" w:line="240" w:lineRule="auto"/>
        <w:ind w:left="425" w:hanging="425"/>
        <w:jc w:val="left"/>
        <w:rPr>
          <w:sz w:val="20"/>
          <w:szCs w:val="20"/>
        </w:rPr>
      </w:pPr>
    </w:p>
    <w:p w:rsidR="07DBD3B3" w:rsidP="07DBD3B3" w:rsidRDefault="07DBD3B3" w14:paraId="2559DA11" w14:textId="4764DD86">
      <w:pPr>
        <w:pStyle w:val="Normal"/>
        <w:spacing w:before="0" w:after="100" w:line="240" w:lineRule="auto"/>
        <w:ind w:left="425" w:hanging="425"/>
        <w:jc w:val="left"/>
        <w:rPr>
          <w:sz w:val="20"/>
          <w:szCs w:val="20"/>
        </w:rPr>
      </w:pPr>
    </w:p>
    <w:p w:rsidR="07DBD3B3" w:rsidP="71EAE5B8" w:rsidRDefault="07DBD3B3" w14:paraId="6E4A0D43" w14:textId="0E8A8CB8">
      <w:pPr>
        <w:pStyle w:val="Normal"/>
        <w:spacing w:before="0" w:after="100" w:line="240" w:lineRule="auto"/>
        <w:ind w:left="425" w:hanging="425"/>
        <w:jc w:val="left"/>
        <w:rPr>
          <w:sz w:val="20"/>
          <w:szCs w:val="20"/>
        </w:rPr>
      </w:pPr>
    </w:p>
    <w:sectPr>
      <w:footerReference w:type="default" r:id="rId7"/>
      <w:type w:val="nextPage"/>
      <w:pgSz w:w="12240" w:h="15840" w:orient="portrait"/>
      <w:pgMar w:top="1440" w:right="1440" w:bottom="1440" w:left="1440" w:header="0" w:footer="720" w:gutter="0"/>
      <w:pgNumType w:fmt="decimal"/>
      <w:formProt w:val="false"/>
      <w:textDirection w:val="lrTb"/>
      <w:docGrid w:type="default" w:linePitch="360" w:charSpace="0"/>
      <w:cols w:num="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mbria">
    <w:charset w:val="00"/>
    <w:family w:val="roman"/>
    <w:pitch w:val="variable"/>
  </w:font>
  <w:font w:name="Calibri">
    <w:charset w:val="00"/>
    <w:family w:val="roman"/>
    <w:pitch w:val="variable"/>
  </w:font>
  <w:font w:name="Courier">
    <w:altName w:val="Courier New"/>
    <w:charset w:val="00"/>
    <w:family w:val="roman"/>
    <w:pitch w:val="variable"/>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xmlns:wp14="http://schemas.microsoft.com/office/word/2010/wordml" w14:paraId="079AB342" wp14:textId="77777777">
    <w:pPr>
      <w:pStyle w:val="Footer"/>
      <w:jc w:val="right"/>
      <w:rPr/>
    </w:pPr>
    <w:r>
      <w:rPr>
        <w:sz w:val="18"/>
      </w:rPr>
      <w:t xml:space="preserve">Student ID: 2219573  |  Page </w:t>
    </w:r>
    <w:r>
      <w:rPr/>
      <w:fldChar w:fldCharType="begin"/>
    </w:r>
    <w:r>
      <w:rPr/>
      <w:instrText> PAGE </w:instrText>
    </w:r>
    <w:r>
      <w:rPr/>
      <w:fldChar w:fldCharType="separate"/>
    </w:r>
    <w:r>
      <w:rPr/>
      <w:t>2</w:t>
    </w:r>
    <w:r>
      <w:rPr/>
      <w:fldChar w:fldCharType="end"/>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xmlns:w="http://schemas.openxmlformats.org/wordprocessingml/2006/main" w:abstractNumId="4">
    <w:nsid w:val="353932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2f77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1">
    <w:lvl w:ilvl="0">
      <w:start w:val="1"/>
      <w:numFmt w:val="bullet"/>
      <w:lvlText w:val=""/>
      <w:lvlJc w:val="left"/>
      <w:pPr>
        <w:tabs>
          <w:tab w:val="num" w:pos="360"/>
        </w:tabs>
        <w:ind w:left="360" w:hanging="360"/>
      </w:pPr>
      <w:rPr>
        <w:rFonts w:hint="default" w:ascii="Symbol" w:hAnsi="Symbol"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nsid w:val="6e841e74"/>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nsid w:val="60d97aa2"/>
  </w:abstractNum>
  <w:num w:numId="4">
    <w:abstractNumId w:val="4"/>
  </w:num>
  <w:num w:numId="3">
    <w:abstractNumId w:val="3"/>
  </w:num>
  <w:num w:numId="1">
    <w:abstractNumId w:val="1"/>
  </w:num>
  <w:num w:numId="2">
    <w:abstractNumId w:val="2"/>
  </w:num>
</w:numbering>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zoom w:percent="95"/>
  <w:trackRevisions w:val="false"/>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42729AD"/>
    <w:rsid w:val="007585CF"/>
    <w:rsid w:val="0387183E"/>
    <w:rsid w:val="042729AD"/>
    <w:rsid w:val="0654C7F1"/>
    <w:rsid w:val="07101BBF"/>
    <w:rsid w:val="07101BBF"/>
    <w:rsid w:val="07DBD3B3"/>
    <w:rsid w:val="0B3342D2"/>
    <w:rsid w:val="0D6614CF"/>
    <w:rsid w:val="0F20D348"/>
    <w:rsid w:val="11CF17ED"/>
    <w:rsid w:val="11D2BBDF"/>
    <w:rsid w:val="1636F5C5"/>
    <w:rsid w:val="16A58717"/>
    <w:rsid w:val="16DA8388"/>
    <w:rsid w:val="1957AA17"/>
    <w:rsid w:val="19AFADF5"/>
    <w:rsid w:val="1C6B82E8"/>
    <w:rsid w:val="1CBA21F4"/>
    <w:rsid w:val="1D457CD0"/>
    <w:rsid w:val="1E0FDD87"/>
    <w:rsid w:val="1E0FDD87"/>
    <w:rsid w:val="1E5022B4"/>
    <w:rsid w:val="21D18187"/>
    <w:rsid w:val="22978C34"/>
    <w:rsid w:val="26E30280"/>
    <w:rsid w:val="2A755897"/>
    <w:rsid w:val="2B3A6DBE"/>
    <w:rsid w:val="2CDA442E"/>
    <w:rsid w:val="2CDA442E"/>
    <w:rsid w:val="30E0760D"/>
    <w:rsid w:val="30E22016"/>
    <w:rsid w:val="31428411"/>
    <w:rsid w:val="329D7930"/>
    <w:rsid w:val="32B662DC"/>
    <w:rsid w:val="33630FD2"/>
    <w:rsid w:val="3551CAD0"/>
    <w:rsid w:val="35C1B2DE"/>
    <w:rsid w:val="38159DDC"/>
    <w:rsid w:val="38B80F1A"/>
    <w:rsid w:val="38B80F1A"/>
    <w:rsid w:val="38CDC716"/>
    <w:rsid w:val="391CE1E1"/>
    <w:rsid w:val="3DCCDC8F"/>
    <w:rsid w:val="41521A68"/>
    <w:rsid w:val="4156F91A"/>
    <w:rsid w:val="4156F91A"/>
    <w:rsid w:val="4429893D"/>
    <w:rsid w:val="49D4DCE6"/>
    <w:rsid w:val="4BC5A2F9"/>
    <w:rsid w:val="4DA2E916"/>
    <w:rsid w:val="4DAFB8B4"/>
    <w:rsid w:val="4E75CC3B"/>
    <w:rsid w:val="51B4609E"/>
    <w:rsid w:val="51B4609E"/>
    <w:rsid w:val="53E4821E"/>
    <w:rsid w:val="54B3967F"/>
    <w:rsid w:val="55B06C13"/>
    <w:rsid w:val="560E77BB"/>
    <w:rsid w:val="5AAD919A"/>
    <w:rsid w:val="5B0FA5B7"/>
    <w:rsid w:val="5C5004DE"/>
    <w:rsid w:val="5D080F66"/>
    <w:rsid w:val="6187BA75"/>
    <w:rsid w:val="6187BA75"/>
    <w:rsid w:val="64E9BDD7"/>
    <w:rsid w:val="6A743A6A"/>
    <w:rsid w:val="6AA2ECF0"/>
    <w:rsid w:val="6B7727F2"/>
    <w:rsid w:val="6C7C2F7B"/>
    <w:rsid w:val="6CF557F9"/>
    <w:rsid w:val="6ED852CE"/>
    <w:rsid w:val="6EF425EF"/>
    <w:rsid w:val="6F6FC5B3"/>
    <w:rsid w:val="6F6FC5B3"/>
    <w:rsid w:val="709B2CB3"/>
    <w:rsid w:val="71EAE5B8"/>
    <w:rsid w:val="7386C0FC"/>
    <w:rsid w:val="7386C0FC"/>
    <w:rsid w:val="7629C1E5"/>
    <w:rsid w:val="7762A157"/>
    <w:rsid w:val="787724A2"/>
    <w:rsid w:val="7A528436"/>
    <w:rsid w:val="7A6D801D"/>
    <w:rsid w:val="7AB8EA8B"/>
    <w:rsid w:val="7B8C0F00"/>
    <w:rsid w:val="7C13770C"/>
    <w:rsid w:val="7E5ABC80"/>
  </w:rsids>
  <w:themeFontLang w:val="en-US" w:eastAsia="ja-JP" w:bidi=""/>
  <w14:docId w14:val="60B55C7A"/>
  <w15:docId w15:val="{273F0873-12ED-48EF-82CB-88FB3E36F5AB}"/>
</w:settings>
</file>

<file path=word/styles.xml><?xml version="1.0" encoding="utf-8"?>
<w:styles xmlns:wp14="http://schemas.microsoft.com/office/word/2010/wordprocessingDrawing" xmlns:w="http://schemas.openxmlformats.org/wordprocessingml/2006/main" xmlns:w14="http://schemas.microsoft.com/office/word/2010/wordml" xmlns:mc="http://schemas.openxmlformats.org/markup-compatibility/2006" mc:Ignorable="w14 wp14">
  <w:docDefaults>
    <w:rPrDefault>
      <w:rPr>
        <w:rFonts w:ascii="Cambria" w:hAnsi="Cambria" w:eastAsia="ＭＳ 明朝" w:cs="" w:asciiTheme="minorHAnsi" w:hAnsiTheme="minorHAnsi" w:eastAsiaTheme="minorEastAsia" w:cstheme="minorBidi"/>
        <w:szCs w:val="22"/>
        <w:lang w:val="en-US" w:eastAsia="en-US" w:bidi="ar-SA"/>
      </w:rPr>
    </w:rPrDefault>
    <w:pPrDefault>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pPr>
      <w:widowControl/>
      <w:bidi w:val="0"/>
      <w:spacing w:before="0" w:after="200" w:line="360" w:lineRule="auto"/>
      <w:jc w:val="left"/>
    </w:pPr>
    <w:rPr>
      <w:rFonts w:ascii="Times New Roman" w:hAnsi="Times New Roman" w:eastAsia="ＭＳ 明朝" w:cs="" w:eastAsiaTheme="minorEastAsia" w:cstheme="minorBidi"/>
      <w:color w:val="auto"/>
      <w:kern w:val="0"/>
      <w:sz w:val="22"/>
      <w:szCs w:val="22"/>
      <w:lang w:val="en-US" w:eastAsia="en-US" w:bidi="ar-SA"/>
    </w:rPr>
  </w:style>
  <w:style w:type="paragraph" w:styleId="Heading1">
    <w:name w:val="heading 1"/>
    <w:basedOn w:val="Normal"/>
    <w:next w:val="Normal"/>
    <w:link w:val="Heading1Char"/>
    <w:uiPriority w:val="9"/>
    <w:qFormat/>
    <w:rsid w:val="00fc693f"/>
    <w:pPr>
      <w:keepNext w:val="true"/>
      <w:keepLines/>
      <w:spacing w:before="240" w:after="120"/>
      <w:outlineLvl w:val="0"/>
    </w:pPr>
    <w:rPr>
      <w:rFonts w:ascii="Calibri" w:hAnsi="Calibri" w:eastAsia="ＭＳ ゴシック" w:cs="" w:asciiTheme="majorHAnsi" w:hAnsiTheme="majorHAnsi" w:eastAsiaTheme="majorEastAsia" w:cstheme="majorBidi"/>
      <w:b/>
      <w:bCs/>
      <w:color w:val="000000"/>
      <w:sz w:val="28"/>
      <w:szCs w:val="28"/>
    </w:rPr>
  </w:style>
  <w:style w:type="paragraph" w:styleId="Heading2">
    <w:name w:val="heading 2"/>
    <w:basedOn w:val="Normal"/>
    <w:next w:val="Normal"/>
    <w:link w:val="Heading2Char"/>
    <w:uiPriority w:val="9"/>
    <w:unhideWhenUsed/>
    <w:qFormat/>
    <w:rsid w:val="00fc693f"/>
    <w:pPr>
      <w:keepNext w:val="true"/>
      <w:keepLines/>
      <w:spacing w:before="180" w:after="80"/>
      <w:outlineLvl w:val="1"/>
    </w:pPr>
    <w:rPr>
      <w:rFonts w:ascii="Calibri" w:hAnsi="Calibri" w:eastAsia="ＭＳ ゴシック" w:cs="" w:asciiTheme="majorHAnsi" w:hAnsiTheme="majorHAnsi" w:eastAsiaTheme="majorEastAsia" w:cstheme="majorBidi"/>
      <w:b/>
      <w:bCs/>
      <w:color w:val="000000"/>
      <w:sz w:val="24"/>
      <w:szCs w:val="26"/>
    </w:rPr>
  </w:style>
  <w:style w:type="paragraph" w:styleId="Heading3">
    <w:name w:val="heading 3"/>
    <w:basedOn w:val="Normal"/>
    <w:next w:val="Normal"/>
    <w:link w:val="Heading3Char"/>
    <w:uiPriority w:val="9"/>
    <w:unhideWhenUsed/>
    <w:qFormat/>
    <w:rsid w:val="00fc693f"/>
    <w:pPr>
      <w:keepNext w:val="true"/>
      <w:keepLines/>
      <w:spacing w:before="140" w:after="60"/>
      <w:outlineLvl w:val="2"/>
    </w:pPr>
    <w:rPr>
      <w:rFonts w:ascii="Calibri" w:hAnsi="Calibri" w:eastAsia="ＭＳ ゴシック" w:cs="" w:asciiTheme="majorHAnsi" w:hAnsiTheme="majorHAnsi" w:eastAsiaTheme="majorEastAsia" w:cstheme="majorBidi"/>
      <w:b/>
      <w:bCs/>
      <w:color w:val="000000"/>
      <w:sz w:val="22"/>
    </w:rPr>
  </w:style>
  <w:style w:type="paragraph" w:styleId="Heading4">
    <w:name w:val="heading 4"/>
    <w:basedOn w:val="Normal"/>
    <w:next w:val="Normal"/>
    <w:link w:val="Heading4Char"/>
    <w:uiPriority w:val="9"/>
    <w:semiHidden/>
    <w:unhideWhenUsed/>
    <w:qFormat/>
    <w:rsid w:val="00fc693f"/>
    <w:pPr>
      <w:keepNext w:val="true"/>
      <w:keepLines/>
      <w:spacing w:before="200" w:after="0"/>
      <w:outlineLvl w:val="3"/>
    </w:pPr>
    <w:rPr>
      <w:rFonts w:ascii="Calibri" w:hAnsi="Calibri" w:eastAsia="ＭＳ ゴシック" w:c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val="true"/>
      <w:keepLines/>
      <w:spacing w:before="200" w:after="0"/>
      <w:outlineLvl w:val="4"/>
    </w:pPr>
    <w:rPr>
      <w:rFonts w:ascii="Calibri" w:hAnsi="Calibri" w:eastAsia="ＭＳ ゴシック" w:c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val="true"/>
      <w:keepLines/>
      <w:spacing w:before="200" w:after="0"/>
      <w:outlineLvl w:val="5"/>
    </w:pPr>
    <w:rPr>
      <w:rFonts w:ascii="Calibri" w:hAnsi="Calibri" w:eastAsia="ＭＳ ゴシック" w:c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val="true"/>
      <w:keepLines/>
      <w:spacing w:before="200" w:after="0"/>
      <w:outlineLvl w:val="6"/>
    </w:pPr>
    <w:rPr>
      <w:rFonts w:ascii="Calibri" w:hAnsi="Calibri" w:eastAsia="ＭＳ ゴシック" w:c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val="true"/>
      <w:keepLines/>
      <w:spacing w:before="200" w:after="0"/>
      <w:outlineLvl w:val="7"/>
    </w:pPr>
    <w:rPr>
      <w:rFonts w:ascii="Calibri" w:hAnsi="Calibri" w:eastAsia="ＭＳ ゴシック" w:c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val="true"/>
      <w:keepLines/>
      <w:spacing w:before="200" w:after="0"/>
      <w:outlineLvl w:val="8"/>
    </w:pPr>
    <w:rPr>
      <w:rFonts w:ascii="Calibri" w:hAnsi="Calibri" w:eastAsia="ＭＳ ゴシック" w:cs="" w:asciiTheme="majorHAnsi" w:hAnsiTheme="majorHAnsi" w:eastAsiaTheme="majorEastAsia" w:cstheme="majorBidi"/>
      <w:i/>
      <w:iCs/>
      <w:color w:val="404040" w:themeColor="text1" w:themeTint="bf"/>
      <w:sz w:val="20"/>
      <w:szCs w:val="20"/>
    </w:rPr>
  </w:style>
  <w:style w:type="character" w:styleId="HeaderChar" w:customStyle="1">
    <w:name w:val="Header Char"/>
    <w:basedOn w:val="DefaultParagraphFont"/>
    <w:link w:val="Header"/>
    <w:uiPriority w:val="99"/>
    <w:qFormat/>
    <w:rsid w:val="00e618bf"/>
    <w:rPr/>
  </w:style>
  <w:style w:type="character" w:styleId="FooterChar" w:customStyle="1">
    <w:name w:val="Footer Char"/>
    <w:basedOn w:val="DefaultParagraphFont"/>
    <w:link w:val="Footer"/>
    <w:uiPriority w:val="99"/>
    <w:qFormat/>
    <w:rsid w:val="00e618bf"/>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fc693f"/>
    <w:rPr>
      <w:rFonts w:ascii="Calibri" w:hAnsi="Calibri" w:eastAsia="ＭＳ ゴシック" w:c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qFormat/>
    <w:rsid w:val="00fc693f"/>
    <w:rPr>
      <w:rFonts w:ascii="Calibri" w:hAnsi="Calibri" w:eastAsia="ＭＳ ゴシック" w:c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qFormat/>
    <w:rsid w:val="00fc693f"/>
    <w:rPr>
      <w:rFonts w:ascii="Calibri" w:hAnsi="Calibri" w:eastAsia="ＭＳ ゴシック" w:cs="" w:asciiTheme="majorHAnsi" w:hAnsiTheme="majorHAnsi" w:eastAsiaTheme="majorEastAsia" w:cstheme="majorBidi"/>
      <w:b/>
      <w:bCs/>
      <w:color w:val="4F81BD" w:themeColor="accent1"/>
    </w:rPr>
  </w:style>
  <w:style w:type="character" w:styleId="TitleChar" w:customStyle="1">
    <w:name w:val="Title Char"/>
    <w:basedOn w:val="DefaultParagraphFont"/>
    <w:link w:val="Title"/>
    <w:uiPriority w:val="10"/>
    <w:qFormat/>
    <w:rsid w:val="00fc693f"/>
    <w:rPr>
      <w:rFonts w:ascii="Calibri" w:hAnsi="Calibri" w:eastAsia="ＭＳ ゴシック" w:cs="" w:asciiTheme="majorHAnsi" w:hAnsiTheme="majorHAnsi" w:eastAsiaTheme="majorEastAsia" w:cstheme="majorBidi"/>
      <w:color w:val="17365D" w:themeColor="text2" w:themeShade="bf"/>
      <w:spacing w:val="5"/>
      <w:kern w:val="2"/>
      <w:sz w:val="52"/>
      <w:szCs w:val="52"/>
    </w:rPr>
  </w:style>
  <w:style w:type="character" w:styleId="SubtitleChar" w:customStyle="1">
    <w:name w:val="Subtitle Char"/>
    <w:basedOn w:val="DefaultParagraphFont"/>
    <w:link w:val="Subtitle"/>
    <w:uiPriority w:val="11"/>
    <w:qFormat/>
    <w:rsid w:val="00fc693f"/>
    <w:rPr>
      <w:rFonts w:ascii="Calibri" w:hAnsi="Calibri" w:eastAsia="ＭＳ ゴシック" w:cs="" w:asciiTheme="majorHAnsi" w:hAnsiTheme="majorHAnsi" w:eastAsiaTheme="majorEastAsia" w:cstheme="majorBidi"/>
      <w:i/>
      <w:iCs/>
      <w:color w:val="4F81BD" w:themeColor="accent1"/>
      <w:spacing w:val="15"/>
      <w:sz w:val="24"/>
      <w:szCs w:val="24"/>
    </w:rPr>
  </w:style>
  <w:style w:type="character" w:styleId="BodyTextChar" w:customStyle="1">
    <w:name w:val="Body Text Char"/>
    <w:basedOn w:val="DefaultParagraphFont"/>
    <w:link w:val="BodyText"/>
    <w:uiPriority w:val="99"/>
    <w:qFormat/>
    <w:rsid w:val="00aa1d8d"/>
    <w:rPr/>
  </w:style>
  <w:style w:type="character" w:styleId="BodyText2Char" w:customStyle="1">
    <w:name w:val="Body Text 2 Char"/>
    <w:basedOn w:val="DefaultParagraphFont"/>
    <w:link w:val="BodyText2"/>
    <w:uiPriority w:val="99"/>
    <w:qFormat/>
    <w:rsid w:val="00aa1d8d"/>
    <w:rPr/>
  </w:style>
  <w:style w:type="character" w:styleId="BodyText3Char" w:customStyle="1">
    <w:name w:val="Body Text 3 Char"/>
    <w:basedOn w:val="DefaultParagraphFont"/>
    <w:link w:val="BodyText3"/>
    <w:uiPriority w:val="99"/>
    <w:qFormat/>
    <w:rsid w:val="00aa1d8d"/>
    <w:rPr>
      <w:sz w:val="16"/>
      <w:szCs w:val="16"/>
    </w:rPr>
  </w:style>
  <w:style w:type="character" w:styleId="MacroTextChar" w:customStyle="1">
    <w:name w:val="Macro Text Char"/>
    <w:basedOn w:val="DefaultParagraphFont"/>
    <w:link w:val="MacroText"/>
    <w:uiPriority w:val="99"/>
    <w:qFormat/>
    <w:rsid w:val="0029639d"/>
    <w:rPr>
      <w:rFonts w:ascii="Courier" w:hAnsi="Courier"/>
      <w:sz w:val="20"/>
      <w:szCs w:val="20"/>
    </w:rPr>
  </w:style>
  <w:style w:type="character" w:styleId="QuoteChar" w:customStyle="1">
    <w:name w:val="Quote Char"/>
    <w:basedOn w:val="DefaultParagraphFont"/>
    <w:link w:val="Quote"/>
    <w:uiPriority w:val="29"/>
    <w:qFormat/>
    <w:rsid w:val="00fc693f"/>
    <w:rPr>
      <w:i/>
      <w:iCs/>
      <w:color w:val="000000" w:themeColor="text1"/>
    </w:rPr>
  </w:style>
  <w:style w:type="character" w:styleId="Heading4Char" w:customStyle="1">
    <w:name w:val="Heading 4 Char"/>
    <w:basedOn w:val="DefaultParagraphFont"/>
    <w:link w:val="Heading4"/>
    <w:uiPriority w:val="9"/>
    <w:semiHidden/>
    <w:qFormat/>
    <w:rsid w:val="00fc693f"/>
    <w:rPr>
      <w:rFonts w:ascii="Calibri" w:hAnsi="Calibri" w:eastAsia="ＭＳ ゴシック" w:c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qFormat/>
    <w:rsid w:val="00fc693f"/>
    <w:rPr>
      <w:rFonts w:ascii="Calibri" w:hAnsi="Calibri" w:eastAsia="ＭＳ ゴシック" w:c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qFormat/>
    <w:rsid w:val="00fc693f"/>
    <w:rPr>
      <w:rFonts w:ascii="Calibri" w:hAnsi="Calibri" w:eastAsia="ＭＳ ゴシック" w:c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qFormat/>
    <w:rsid w:val="00fc693f"/>
    <w:rPr>
      <w:rFonts w:ascii="Calibri" w:hAnsi="Calibri" w:eastAsia="ＭＳ ゴシック" w:c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qFormat/>
    <w:rsid w:val="00fc693f"/>
    <w:rPr>
      <w:rFonts w:ascii="Calibri" w:hAnsi="Calibri" w:eastAsia="ＭＳ ゴシック" w:c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qFormat/>
    <w:rsid w:val="00fc693f"/>
    <w:rPr>
      <w:rFonts w:ascii="Calibri" w:hAnsi="Calibri" w:eastAsia="ＭＳ ゴシック" w:cs="" w:asciiTheme="majorHAnsi" w:hAnsiTheme="majorHAnsi" w:eastAsiaTheme="majorEastAsia" w:cstheme="majorBidi"/>
      <w:i/>
      <w:iCs/>
      <w:color w:val="404040" w:themeColor="text1" w:themeTint="bf"/>
      <w:sz w:val="20"/>
      <w:szCs w:val="20"/>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character" w:styleId="IntenseQuoteChar" w:customStyle="1">
    <w:name w:val="Intense Quote Char"/>
    <w:basedOn w:val="DefaultParagraphFont"/>
    <w:link w:val="IntenseQuote"/>
    <w:uiPriority w:val="30"/>
    <w:qFormat/>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character" w:styleId="ListLabel1">
    <w:name w:val="ListLabel 1"/>
    <w:qFormat/>
    <w:rPr>
      <w:rFonts w:ascii="Times New Roman" w:hAnsi="Times New Roman"/>
      <w:color w:val="0563C1"/>
      <w:sz w:val="22"/>
      <w:u w:val="single"/>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link w:val="BodyTextChar"/>
    <w:uiPriority w:val="99"/>
    <w:unhideWhenUsed/>
    <w:rsid w:val="00aa1d8d"/>
    <w:pPr>
      <w:spacing w:before="0" w:after="120" w:line="360" w:lineRule="auto"/>
    </w:pPr>
    <w:rPr>
      <w:rFonts w:ascii="Times New Roman" w:hAnsi="Times New Roman"/>
      <w:sz w:val="22"/>
    </w:rPr>
  </w:style>
  <w:style w:type="paragraph" w:styleId="List">
    <w:name w:val="List"/>
    <w:basedOn w:val="Normal"/>
    <w:uiPriority w:val="99"/>
    <w:unhideWhenUsed/>
    <w:rsid w:val="00aa1d8d"/>
    <w:pPr>
      <w:spacing w:before="0" w:after="200"/>
      <w:ind w:left="360" w:hanging="360"/>
      <w:contextualSpacing/>
    </w:pPr>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Header">
    <w:name w:val="header"/>
    <w:basedOn w:val="Normal"/>
    <w:link w:val="HeaderChar"/>
    <w:uiPriority w:val="99"/>
    <w:unhideWhenUsed/>
    <w:rsid w:val="00e618bf"/>
    <w:pPr>
      <w:tabs>
        <w:tab w:val="clear" w:pos="720"/>
        <w:tab w:val="center" w:leader="none" w:pos="4680"/>
        <w:tab w:val="right" w:leader="none" w:pos="9360"/>
      </w:tabs>
      <w:spacing w:before="0" w:after="0" w:line="240" w:lineRule="auto"/>
    </w:pPr>
    <w:rPr/>
  </w:style>
  <w:style w:type="paragraph" w:styleId="Footer">
    <w:name w:val="footer"/>
    <w:basedOn w:val="Normal"/>
    <w:link w:val="FooterChar"/>
    <w:uiPriority w:val="99"/>
    <w:unhideWhenUsed/>
    <w:rsid w:val="00e618bf"/>
    <w:pPr>
      <w:tabs>
        <w:tab w:val="clear" w:pos="720"/>
        <w:tab w:val="center" w:leader="none" w:pos="4680"/>
        <w:tab w:val="right" w:leader="none" w:pos="9360"/>
      </w:tabs>
      <w:spacing w:before="0" w:after="0" w:line="240" w:lineRule="auto"/>
    </w:pPr>
    <w:rPr/>
  </w:style>
  <w:style w:type="paragraph" w:styleId="NoSpacing">
    <w:name w:val="No Spacing"/>
    <w:uiPriority w:val="1"/>
    <w:qFormat/>
    <w:rsid w:val="00fc693f"/>
    <w:pPr>
      <w:widowControl/>
      <w:bidi w:val="0"/>
      <w:spacing w:before="0" w:after="0" w:line="240" w:lineRule="auto"/>
      <w:jc w:val="left"/>
    </w:pPr>
    <w:rPr>
      <w:rFonts w:ascii="Cambria" w:hAnsi="Cambria" w:eastAsia="ＭＳ 明朝" w:cs="" w:asciiTheme="minorHAnsi" w:hAnsiTheme="minorHAnsi" w:eastAsiaTheme="minorEastAsia" w:cstheme="minorBidi"/>
      <w:color w:val="auto"/>
      <w:kern w:val="0"/>
      <w:sz w:val="22"/>
      <w:szCs w:val="22"/>
      <w:lang w:val="en-US" w:eastAsia="en-US" w:bidi="ar-SA"/>
    </w:rPr>
  </w:style>
  <w:style w:type="paragraph" w:styleId="Title">
    <w:name w:val="Title"/>
    <w:basedOn w:val="Normal"/>
    <w:next w:val="Normal"/>
    <w:link w:val="TitleChar"/>
    <w:uiPriority w:val="10"/>
    <w:qFormat/>
    <w:rsid w:val="00fc693f"/>
    <w:pPr>
      <w:keepNext w:val="true"/>
      <w:pBdr>
        <w:bottom w:val="single" w:color="4F81BD" w:sz="8" w:space="4"/>
      </w:pBdr>
      <w:spacing w:before="0" w:after="280" w:line="240" w:lineRule="auto"/>
      <w:contextualSpacing/>
    </w:pPr>
    <w:rPr>
      <w:rFonts w:ascii="Calibri" w:hAnsi="Calibri" w:eastAsia="ＭＳ ゴシック" w:cs="" w:asciiTheme="majorHAnsi" w:hAnsiTheme="majorHAnsi" w:eastAsiaTheme="majorEastAsia" w:cstheme="majorBidi"/>
      <w:b/>
      <w:color w:val="000000"/>
      <w:spacing w:val="5"/>
      <w:kern w:val="2"/>
      <w:sz w:val="36"/>
      <w:szCs w:val="52"/>
    </w:rPr>
  </w:style>
  <w:style w:type="paragraph" w:styleId="Subtitle">
    <w:name w:val="Subtitle"/>
    <w:basedOn w:val="Normal"/>
    <w:next w:val="Normal"/>
    <w:link w:val="SubtitleChar"/>
    <w:uiPriority w:val="11"/>
    <w:qFormat/>
    <w:rsid w:val="00fc693f"/>
    <w:pPr/>
    <w:rPr>
      <w:rFonts w:ascii="Calibri" w:hAnsi="Calibri" w:eastAsia="ＭＳ ゴシック" w:c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spacing w:before="0" w:after="200"/>
      <w:ind w:left="720" w:hanging="0"/>
      <w:contextualSpacing/>
    </w:pPr>
    <w:rPr/>
  </w:style>
  <w:style w:type="paragraph" w:styleId="BodyText2">
    <w:name w:val="Body Text 2"/>
    <w:basedOn w:val="Normal"/>
    <w:link w:val="BodyText2Char"/>
    <w:uiPriority w:val="99"/>
    <w:unhideWhenUsed/>
    <w:qFormat/>
    <w:rsid w:val="00aa1d8d"/>
    <w:pPr>
      <w:spacing w:before="0" w:after="120" w:line="480" w:lineRule="auto"/>
    </w:pPr>
    <w:rPr/>
  </w:style>
  <w:style w:type="paragraph" w:styleId="BodyText3">
    <w:name w:val="Body Text 3"/>
    <w:basedOn w:val="Normal"/>
    <w:link w:val="BodyText3Char"/>
    <w:uiPriority w:val="99"/>
    <w:unhideWhenUsed/>
    <w:qFormat/>
    <w:rsid w:val="00aa1d8d"/>
    <w:pPr>
      <w:spacing w:before="0" w:after="120"/>
    </w:pPr>
    <w:rPr>
      <w:sz w:val="16"/>
      <w:szCs w:val="16"/>
    </w:rPr>
  </w:style>
  <w:style w:type="paragraph" w:styleId="List2">
    <w:name w:val="List 2"/>
    <w:basedOn w:val="Normal"/>
    <w:uiPriority w:val="99"/>
    <w:unhideWhenUsed/>
    <w:rsid w:val="00326f90"/>
    <w:pPr>
      <w:spacing w:before="0" w:after="200"/>
      <w:ind w:left="720" w:hanging="360"/>
      <w:contextualSpacing/>
    </w:pPr>
    <w:rPr/>
  </w:style>
  <w:style w:type="paragraph" w:styleId="List3">
    <w:name w:val="List 3"/>
    <w:basedOn w:val="Normal"/>
    <w:uiPriority w:val="99"/>
    <w:unhideWhenUsed/>
    <w:rsid w:val="00326f90"/>
    <w:pPr>
      <w:spacing w:before="0" w:after="200"/>
      <w:ind w:left="1080" w:hanging="360"/>
      <w:contextualSpacing/>
    </w:pPr>
    <w:rPr/>
  </w:style>
  <w:style w:type="paragraph" w:styleId="ListBullet">
    <w:name w:val="List Bullet"/>
    <w:basedOn w:val="Normal"/>
    <w:uiPriority w:val="99"/>
    <w:unhideWhenUsed/>
    <w:qFormat/>
    <w:rsid w:val="00326f90"/>
    <w:pPr>
      <w:spacing w:before="0" w:after="200"/>
      <w:contextualSpacing/>
    </w:pPr>
    <w:rPr/>
  </w:style>
  <w:style w:type="paragraph" w:styleId="ListBullet2">
    <w:name w:val="List Bullet 2"/>
    <w:basedOn w:val="Normal"/>
    <w:uiPriority w:val="99"/>
    <w:unhideWhenUsed/>
    <w:qFormat/>
    <w:rsid w:val="00326f90"/>
    <w:pPr>
      <w:spacing w:before="0" w:after="200"/>
      <w:contextualSpacing/>
    </w:pPr>
    <w:rPr/>
  </w:style>
  <w:style w:type="paragraph" w:styleId="ListBullet3">
    <w:name w:val="List Bullet 3"/>
    <w:basedOn w:val="Normal"/>
    <w:uiPriority w:val="99"/>
    <w:unhideWhenUsed/>
    <w:qFormat/>
    <w:rsid w:val="00326f90"/>
    <w:pPr>
      <w:spacing w:before="0" w:after="200"/>
      <w:contextualSpacing/>
    </w:pPr>
    <w:rPr/>
  </w:style>
  <w:style w:type="paragraph" w:styleId="ListNumber">
    <w:name w:val="List Number"/>
    <w:basedOn w:val="Normal"/>
    <w:uiPriority w:val="99"/>
    <w:unhideWhenUsed/>
    <w:qFormat/>
    <w:rsid w:val="00326f90"/>
    <w:pPr>
      <w:spacing w:before="0" w:after="200"/>
      <w:contextualSpacing/>
    </w:pPr>
    <w:rPr/>
  </w:style>
  <w:style w:type="paragraph" w:styleId="ListNumber2">
    <w:name w:val="List Number 2"/>
    <w:basedOn w:val="Normal"/>
    <w:uiPriority w:val="99"/>
    <w:unhideWhenUsed/>
    <w:qFormat/>
    <w:rsid w:val="0029639d"/>
    <w:pPr>
      <w:spacing w:before="0" w:after="200"/>
      <w:contextualSpacing/>
    </w:pPr>
    <w:rPr/>
  </w:style>
  <w:style w:type="paragraph" w:styleId="ListNumber3">
    <w:name w:val="List Number 3"/>
    <w:basedOn w:val="Normal"/>
    <w:uiPriority w:val="99"/>
    <w:unhideWhenUsed/>
    <w:qFormat/>
    <w:rsid w:val="0029639d"/>
    <w:pPr>
      <w:spacing w:before="0" w:after="200"/>
      <w:contextualSpacing/>
    </w:pPr>
    <w:rPr/>
  </w:style>
  <w:style w:type="paragraph" w:styleId="ListContinue">
    <w:name w:val="List Continue"/>
    <w:basedOn w:val="Normal"/>
    <w:uiPriority w:val="99"/>
    <w:unhideWhenUsed/>
    <w:qFormat/>
    <w:rsid w:val="0029639d"/>
    <w:pPr>
      <w:spacing w:before="0" w:after="120"/>
      <w:ind w:left="360" w:hanging="0"/>
      <w:contextualSpacing/>
    </w:pPr>
    <w:rPr/>
  </w:style>
  <w:style w:type="paragraph" w:styleId="ListContinue2">
    <w:name w:val="List Continue 2"/>
    <w:basedOn w:val="Normal"/>
    <w:uiPriority w:val="99"/>
    <w:unhideWhenUsed/>
    <w:qFormat/>
    <w:rsid w:val="0029639d"/>
    <w:pPr>
      <w:spacing w:before="0" w:after="120"/>
      <w:ind w:left="720" w:hanging="0"/>
      <w:contextualSpacing/>
    </w:pPr>
    <w:rPr/>
  </w:style>
  <w:style w:type="paragraph" w:styleId="ListContinue3">
    <w:name w:val="List Continue 3"/>
    <w:basedOn w:val="Normal"/>
    <w:uiPriority w:val="99"/>
    <w:unhideWhenUsed/>
    <w:qFormat/>
    <w:rsid w:val="0029639d"/>
    <w:pPr>
      <w:spacing w:before="0" w:after="120"/>
      <w:ind w:left="1080" w:hanging="0"/>
      <w:contextualSpacing/>
    </w:pPr>
    <w:rPr/>
  </w:style>
  <w:style w:type="paragraph" w:styleId="Macro">
    <w:name w:val="macro"/>
    <w:link w:val="MacroTextChar"/>
    <w:uiPriority w:val="99"/>
    <w:unhideWhenUsed/>
    <w:qFormat/>
    <w:rsid w:val="0029639d"/>
    <w:pPr>
      <w:widowControl/>
      <w:tabs>
        <w:tab w:val="clear" w:pos="720"/>
        <w:tab w:val="left" w:leader="none" w:pos="576"/>
        <w:tab w:val="left" w:leader="none" w:pos="1152"/>
        <w:tab w:val="left" w:leader="none" w:pos="1728"/>
        <w:tab w:val="left" w:leader="none" w:pos="2304"/>
        <w:tab w:val="left" w:leader="none" w:pos="2880"/>
        <w:tab w:val="left" w:leader="none" w:pos="3456"/>
        <w:tab w:val="left" w:leader="none" w:pos="4032"/>
      </w:tabs>
      <w:bidi w:val="0"/>
      <w:spacing w:before="0" w:after="200" w:line="276" w:lineRule="auto"/>
      <w:jc w:val="left"/>
    </w:pPr>
    <w:rPr>
      <w:rFonts w:ascii="Courier" w:hAnsi="Courier" w:eastAsia="ＭＳ 明朝" w:cs="" w:eastAsiaTheme="minorEastAsia" w:cstheme="minorBidi"/>
      <w:color w:val="auto"/>
      <w:kern w:val="0"/>
      <w:sz w:val="20"/>
      <w:szCs w:val="20"/>
      <w:lang w:val="en-US" w:eastAsia="en-US" w:bidi="ar-SA"/>
    </w:rPr>
  </w:style>
  <w:style w:type="paragraph" w:styleId="Quote">
    <w:name w:val="Quote"/>
    <w:basedOn w:val="Normal"/>
    <w:next w:val="Normal"/>
    <w:link w:val="QuoteChar"/>
    <w:uiPriority w:val="29"/>
    <w:qFormat/>
    <w:rsid w:val="00fc693f"/>
    <w:pPr/>
    <w:rPr>
      <w:i/>
      <w:iCs/>
      <w:color w:val="000000" w:themeColor="text1"/>
    </w:rPr>
  </w:style>
  <w:style w:type="paragraph" w:styleId="Caption1">
    <w:name w:val="caption"/>
    <w:basedOn w:val="Normal"/>
    <w:next w:val="Normal"/>
    <w:uiPriority w:val="35"/>
    <w:semiHidden/>
    <w:unhideWhenUsed/>
    <w:qFormat/>
    <w:rsid w:val="00fc693f"/>
    <w:pPr>
      <w:spacing w:line="240" w:lineRule="auto"/>
    </w:pPr>
    <w:rPr>
      <w:b/>
      <w:bCs/>
      <w:color w:val="4F81BD" w:themeColor="accent1"/>
      <w:sz w:val="18"/>
      <w:szCs w:val="18"/>
    </w:rPr>
  </w:style>
  <w:style w:type="paragraph" w:styleId="IntenseQuote">
    <w:name w:val="Intense Quote"/>
    <w:basedOn w:val="Normal"/>
    <w:next w:val="Normal"/>
    <w:link w:val="IntenseQuoteChar"/>
    <w:uiPriority w:val="30"/>
    <w:qFormat/>
    <w:rsid w:val="00fc693f"/>
    <w:pPr>
      <w:pBdr>
        <w:bottom w:val="single" w:color="4F81BD" w:sz="4" w:space="4"/>
      </w:pBdr>
      <w:spacing w:before="200" w:after="280"/>
      <w:ind w:left="936" w:right="936" w:hanging="0"/>
    </w:pPr>
    <w:rPr>
      <w:b/>
      <w:bCs/>
      <w:i/>
      <w:iCs/>
      <w:color w:val="4F81BD" w:themeColor="accent1"/>
    </w:rPr>
  </w:style>
  <w:style w:type="paragraph" w:styleId="TOCHeading">
    <w:name w:val="TOC Heading"/>
    <w:basedOn w:val="Heading1"/>
    <w:next w:val="Normal"/>
    <w:uiPriority w:val="39"/>
    <w:semiHidden/>
    <w:unhideWhenUsed/>
    <w:qFormat/>
    <w:rsid w:val="00fc693f"/>
    <w:pPr/>
    <w:rPr/>
  </w:style>
  <w:style w:type="numbering" w:styleId="NoList" w:default="1">
    <w:name w:val="No List"/>
    <w:uiPriority w:val="99"/>
    <w:semiHidden/>
    <w:unhideWhenUsed/>
    <w:qFormat/>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Pr/>
    </w:tblStylePr>
    <w:tblStylePr w:type="lastCol">
      <w:rPr>
        <w:b/>
        <w:bCs/>
      </w:rPr>
      <w:tbl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Pr/>
    </w:tblStylePr>
    <w:tblStylePr w:type="lastCol">
      <w:rPr>
        <w:b/>
        <w:bCs/>
      </w:rPr>
      <w:tbl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Pr/>
    </w:tblStylePr>
    <w:tblStylePr w:type="lastCol">
      <w:rPr>
        <w:b/>
        <w:bCs/>
      </w:rPr>
      <w:tbl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Pr/>
    </w:tblStylePr>
    <w:tblStylePr w:type="lastCol">
      <w:rPr>
        <w:b/>
        <w:bCs/>
      </w:rPr>
      <w:tbl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Pr/>
    </w:tblStylePr>
    <w:tblStylePr w:type="lastCol">
      <w:rPr>
        <w:b/>
        <w:bCs/>
      </w:rPr>
      <w:tbl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Pr/>
    </w:tblStylePr>
    <w:tblStylePr w:type="lastCol">
      <w:rPr>
        <w:b/>
        <w:bCs/>
      </w:rPr>
      <w:tbl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Pr/>
    </w:tblStylePr>
    <w:tblStylePr w:type="lastCol">
      <w:rPr>
        <w:b/>
        <w:bCs/>
      </w:rPr>
      <w:tbl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sz="8" w:space="0"/>
          <w:left w:val="single" w:color="404040" w:themeColor="text1" w:sz="8" w:space="0"/>
          <w:bottom w:val="single" w:color="404040" w:themeColor="text1" w:sz="8" w:space="0"/>
          <w:right w:val="single" w:color="404040" w:themeColor="text1"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sz="6" w:space="0"/>
          <w:left w:val="single" w:color="404040" w:themeColor="text1" w:sz="8" w:space="0"/>
          <w:bottom w:val="single" w:color="404040" w:themeColor="text1" w:sz="8" w:space="0"/>
          <w:right w:val="single" w:color="404040" w:themeColor="text1" w:sz="8" w:space="0"/>
          <w:insideH w:val="nil"/>
          <w:insideV w:val="nil"/>
        </w:tcBorders>
      </w:tcPr>
    </w:tblStylePr>
    <w:tblStylePr w:type="firstCol">
      <w:rPr>
        <w:b/>
        <w:bCs/>
      </w:rPr>
      <w:tblPr/>
    </w:tblStylePr>
    <w:tblStylePr w:type="lastCol">
      <w:rPr>
        <w:b/>
        <w:bCs/>
      </w:rPr>
      <w:tbl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sz="8" w:space="0"/>
          <w:left w:val="single" w:color="7BA0CD" w:themeColor="accent1" w:sz="8" w:space="0"/>
          <w:bottom w:val="single" w:color="7BA0CD" w:themeColor="accent1" w:sz="8" w:space="0"/>
          <w:right w:val="single" w:color="7BA0CD" w:themeColor="accent1"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sz="6" w:space="0"/>
          <w:left w:val="single" w:color="7BA0CD" w:themeColor="accent1" w:sz="8" w:space="0"/>
          <w:bottom w:val="single" w:color="7BA0CD" w:themeColor="accent1" w:sz="8" w:space="0"/>
          <w:right w:val="single" w:color="7BA0CD" w:themeColor="accent1" w:sz="8" w:space="0"/>
          <w:insideH w:val="nil"/>
          <w:insideV w:val="nil"/>
        </w:tcBorders>
      </w:tcPr>
    </w:tblStylePr>
    <w:tblStylePr w:type="firstCol">
      <w:rPr>
        <w:b/>
        <w:bCs/>
      </w:rPr>
      <w:tblPr/>
    </w:tblStylePr>
    <w:tblStylePr w:type="lastCol">
      <w:rPr>
        <w:b/>
        <w:bCs/>
      </w:rPr>
      <w:tbl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sz="8" w:space="0"/>
          <w:left w:val="single" w:color="CF7B79" w:themeColor="accent2" w:sz="8" w:space="0"/>
          <w:bottom w:val="single" w:color="CF7B79" w:themeColor="accent2" w:sz="8" w:space="0"/>
          <w:right w:val="single" w:color="CF7B79" w:themeColor="accent2"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sz="6" w:space="0"/>
          <w:left w:val="single" w:color="CF7B79" w:themeColor="accent2" w:sz="8" w:space="0"/>
          <w:bottom w:val="single" w:color="CF7B79" w:themeColor="accent2" w:sz="8" w:space="0"/>
          <w:right w:val="single" w:color="CF7B79" w:themeColor="accent2" w:sz="8" w:space="0"/>
          <w:insideH w:val="nil"/>
          <w:insideV w:val="nil"/>
        </w:tcBorders>
      </w:tcPr>
    </w:tblStylePr>
    <w:tblStylePr w:type="firstCol">
      <w:rPr>
        <w:b/>
        <w:bCs/>
      </w:rPr>
      <w:tblPr/>
    </w:tblStylePr>
    <w:tblStylePr w:type="lastCol">
      <w:rPr>
        <w:b/>
        <w:bCs/>
      </w:rPr>
      <w:tbl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sz="8" w:space="0"/>
          <w:left w:val="single" w:color="B3CC82" w:themeColor="accent3" w:sz="8" w:space="0"/>
          <w:bottom w:val="single" w:color="B3CC82" w:themeColor="accent3" w:sz="8" w:space="0"/>
          <w:right w:val="single" w:color="B3CC82" w:themeColor="accent3"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sz="6" w:space="0"/>
          <w:left w:val="single" w:color="B3CC82" w:themeColor="accent3" w:sz="8" w:space="0"/>
          <w:bottom w:val="single" w:color="B3CC82" w:themeColor="accent3" w:sz="8" w:space="0"/>
          <w:right w:val="single" w:color="B3CC82" w:themeColor="accent3" w:sz="8" w:space="0"/>
          <w:insideH w:val="nil"/>
          <w:insideV w:val="nil"/>
        </w:tcBorders>
      </w:tcPr>
    </w:tblStylePr>
    <w:tblStylePr w:type="firstCol">
      <w:rPr>
        <w:b/>
        <w:bCs/>
      </w:rPr>
      <w:tblPr/>
    </w:tblStylePr>
    <w:tblStylePr w:type="lastCol">
      <w:rPr>
        <w:b/>
        <w:bCs/>
      </w:rPr>
      <w:tbl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sz="8" w:space="0"/>
          <w:left w:val="single" w:color="9F8AB9" w:themeColor="accent4" w:sz="8" w:space="0"/>
          <w:bottom w:val="single" w:color="9F8AB9" w:themeColor="accent4" w:sz="8" w:space="0"/>
          <w:right w:val="single" w:color="9F8AB9" w:themeColor="accent4"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sz="6" w:space="0"/>
          <w:left w:val="single" w:color="9F8AB9" w:themeColor="accent4" w:sz="8" w:space="0"/>
          <w:bottom w:val="single" w:color="9F8AB9" w:themeColor="accent4" w:sz="8" w:space="0"/>
          <w:right w:val="single" w:color="9F8AB9" w:themeColor="accent4" w:sz="8" w:space="0"/>
          <w:insideH w:val="nil"/>
          <w:insideV w:val="nil"/>
        </w:tcBorders>
      </w:tcPr>
    </w:tblStylePr>
    <w:tblStylePr w:type="firstCol">
      <w:rPr>
        <w:b/>
        <w:bCs/>
      </w:rPr>
      <w:tblPr/>
    </w:tblStylePr>
    <w:tblStylePr w:type="lastCol">
      <w:rPr>
        <w:b/>
        <w:bCs/>
      </w:rPr>
      <w:tbl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sz="8" w:space="0"/>
          <w:left w:val="single" w:color="78C0D4" w:themeColor="accent5" w:sz="8" w:space="0"/>
          <w:bottom w:val="single" w:color="78C0D4" w:themeColor="accent5" w:sz="8" w:space="0"/>
          <w:right w:val="single" w:color="78C0D4" w:themeColor="accent5"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sz="6" w:space="0"/>
          <w:left w:val="single" w:color="78C0D4" w:themeColor="accent5" w:sz="8" w:space="0"/>
          <w:bottom w:val="single" w:color="78C0D4" w:themeColor="accent5" w:sz="8" w:space="0"/>
          <w:right w:val="single" w:color="78C0D4" w:themeColor="accent5" w:sz="8" w:space="0"/>
          <w:insideH w:val="nil"/>
          <w:insideV w:val="nil"/>
        </w:tcBorders>
      </w:tcPr>
    </w:tblStylePr>
    <w:tblStylePr w:type="firstCol">
      <w:rPr>
        <w:b/>
        <w:bCs/>
      </w:rPr>
      <w:tblPr/>
    </w:tblStylePr>
    <w:tblStylePr w:type="lastCol">
      <w:rPr>
        <w:b/>
        <w:bCs/>
      </w:rPr>
      <w:tbl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sz="8" w:space="0"/>
          <w:left w:val="single" w:color="F9B074" w:themeColor="accent6" w:sz="8" w:space="0"/>
          <w:bottom w:val="single" w:color="F9B074" w:themeColor="accent6" w:sz="8" w:space="0"/>
          <w:right w:val="single" w:color="F9B074" w:themeColor="accent6"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sz="6" w:space="0"/>
          <w:left w:val="single" w:color="F9B074" w:themeColor="accent6" w:sz="8" w:space="0"/>
          <w:bottom w:val="single" w:color="F9B074" w:themeColor="accent6" w:sz="8" w:space="0"/>
          <w:right w:val="single" w:color="F9B074" w:themeColor="accent6" w:sz="8" w:space="0"/>
          <w:insideH w:val="nil"/>
          <w:insideV w:val="nil"/>
        </w:tcBorders>
      </w:tcPr>
    </w:tblStylePr>
    <w:tblStylePr w:type="firstCol">
      <w:rPr>
        <w:b/>
        <w:bCs/>
      </w:rPr>
      <w:tblPr/>
    </w:tblStylePr>
    <w:tblStylePr w:type="lastCol">
      <w:rPr>
        <w:b/>
        <w:bCs/>
      </w:rPr>
      <w:tbl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Pr/>
    </w:tblStylePr>
    <w:tblStylePr w:type="lastRow">
      <w:rPr>
        <w:b/>
        <w:bCs/>
      </w:rPr>
      <w:tblPr/>
      <w:tcPr>
        <w:tcBorders>
          <w:top w:val="single" w:color="404040" w:themeColor="text1" w:sz="18" w:space="0"/>
        </w:tcBorders>
      </w:tcPr>
    </w:tblStylePr>
    <w:tblStylePr w:type="firstCol">
      <w:rPr>
        <w:b/>
        <w:bCs/>
      </w:rPr>
      <w:tblPr/>
    </w:tblStylePr>
    <w:tblStylePr w:type="lastCol">
      <w:rPr>
        <w:b/>
        <w:bCs/>
      </w:rPr>
      <w:tbl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Pr/>
    </w:tblStylePr>
    <w:tblStylePr w:type="lastRow">
      <w:rPr>
        <w:b/>
        <w:bCs/>
      </w:rPr>
      <w:tblPr/>
      <w:tcPr>
        <w:tcBorders>
          <w:top w:val="single" w:color="7BA0CD" w:themeColor="accent1" w:sz="18" w:space="0"/>
        </w:tcBorders>
      </w:tcPr>
    </w:tblStylePr>
    <w:tblStylePr w:type="firstCol">
      <w:rPr>
        <w:b/>
        <w:bCs/>
      </w:rPr>
      <w:tblPr/>
    </w:tblStylePr>
    <w:tblStylePr w:type="lastCol">
      <w:rPr>
        <w:b/>
        <w:bCs/>
      </w:rPr>
      <w:tbl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Pr/>
    </w:tblStylePr>
    <w:tblStylePr w:type="lastRow">
      <w:rPr>
        <w:b/>
        <w:bCs/>
      </w:rPr>
      <w:tblPr/>
      <w:tcPr>
        <w:tcBorders>
          <w:top w:val="single" w:color="CF7B79" w:themeColor="accent2" w:sz="18" w:space="0"/>
        </w:tcBorders>
      </w:tcPr>
    </w:tblStylePr>
    <w:tblStylePr w:type="firstCol">
      <w:rPr>
        <w:b/>
        <w:bCs/>
      </w:rPr>
      <w:tblPr/>
    </w:tblStylePr>
    <w:tblStylePr w:type="lastCol">
      <w:rPr>
        <w:b/>
        <w:bCs/>
      </w:rPr>
      <w:tbl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Pr/>
    </w:tblStylePr>
    <w:tblStylePr w:type="lastRow">
      <w:rPr>
        <w:b/>
        <w:bCs/>
      </w:rPr>
      <w:tblPr/>
      <w:tcPr>
        <w:tcBorders>
          <w:top w:val="single" w:color="B3CC82" w:themeColor="accent3" w:sz="18" w:space="0"/>
        </w:tcBorders>
      </w:tcPr>
    </w:tblStylePr>
    <w:tblStylePr w:type="firstCol">
      <w:rPr>
        <w:b/>
        <w:bCs/>
      </w:rPr>
      <w:tblPr/>
    </w:tblStylePr>
    <w:tblStylePr w:type="lastCol">
      <w:rPr>
        <w:b/>
        <w:bCs/>
      </w:rPr>
      <w:tbl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Pr/>
    </w:tblStylePr>
    <w:tblStylePr w:type="lastRow">
      <w:rPr>
        <w:b/>
        <w:bCs/>
      </w:rPr>
      <w:tblPr/>
      <w:tcPr>
        <w:tcBorders>
          <w:top w:val="single" w:color="9F8AB9" w:themeColor="accent4" w:sz="18" w:space="0"/>
        </w:tcBorders>
      </w:tcPr>
    </w:tblStylePr>
    <w:tblStylePr w:type="firstCol">
      <w:rPr>
        <w:b/>
        <w:bCs/>
      </w:rPr>
      <w:tblPr/>
    </w:tblStylePr>
    <w:tblStylePr w:type="lastCol">
      <w:rPr>
        <w:b/>
        <w:bCs/>
      </w:rPr>
      <w:tbl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Pr/>
    </w:tblStylePr>
    <w:tblStylePr w:type="lastRow">
      <w:rPr>
        <w:b/>
        <w:bCs/>
      </w:rPr>
      <w:tblPr/>
      <w:tcPr>
        <w:tcBorders>
          <w:top w:val="single" w:color="78C0D4" w:themeColor="accent5" w:sz="18" w:space="0"/>
        </w:tcBorders>
      </w:tcPr>
    </w:tblStylePr>
    <w:tblStylePr w:type="firstCol">
      <w:rPr>
        <w:b/>
        <w:bCs/>
      </w:rPr>
      <w:tblPr/>
    </w:tblStylePr>
    <w:tblStylePr w:type="lastCol">
      <w:rPr>
        <w:b/>
        <w:bCs/>
      </w:rPr>
      <w:tbl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Pr/>
    </w:tblStylePr>
    <w:tblStylePr w:type="lastRow">
      <w:rPr>
        <w:b/>
        <w:bCs/>
      </w:rPr>
      <w:tblPr/>
      <w:tcPr>
        <w:tcBorders>
          <w:top w:val="single" w:color="F9B074" w:themeColor="accent6" w:sz="18" w:space="0"/>
        </w:tcBorders>
      </w:tcPr>
    </w:tblStylePr>
    <w:tblStylePr w:type="firstCol">
      <w:rPr>
        <w:b/>
        <w:bCs/>
      </w:rPr>
      <w:tblPr/>
    </w:tblStylePr>
    <w:tblStylePr w:type="lastCol">
      <w:rPr>
        <w:b/>
        <w:bCs/>
      </w:rPr>
      <w:tbl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Pr/>
    </w:tblStylePr>
    <w:tblStylePr w:type="nwCell">
      <w:rPr>
        <w:color w:val="000000" w:themeColor="text1"/>
      </w:rPr>
      <w:tbl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Pr/>
    </w:tblStylePr>
    <w:tblStylePr w:type="nwCell">
      <w:rPr>
        <w:color w:val="000000" w:themeColor="text1"/>
      </w:rPr>
      <w:tbl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Pr/>
    </w:tblStylePr>
    <w:tblStylePr w:type="nwCell">
      <w:rPr>
        <w:color w:val="000000" w:themeColor="text1"/>
      </w:rPr>
      <w:tbl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Pr/>
    </w:tblStylePr>
    <w:tblStylePr w:type="nwCell">
      <w:rPr>
        <w:color w:val="000000" w:themeColor="text1"/>
      </w:rPr>
      <w:tbl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Pr/>
    </w:tblStylePr>
    <w:tblStylePr w:type="nwCell">
      <w:rPr>
        <w:color w:val="000000" w:themeColor="text1"/>
      </w:rPr>
      <w:tbl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Pr/>
    </w:tblStylePr>
    <w:tblStylePr w:type="nwCell">
      <w:rPr>
        <w:color w:val="000000" w:themeColor="text1"/>
      </w:rPr>
      <w:tbl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uiPriority w:val="99"/>
    <w:name w:val="Hyperlink"/>
    <w:basedOn w:val="DefaultParagraphFont"/>
    <w:unhideWhenUsed/>
    <w:rsid w:val="71EAE5B8"/>
    <w:rPr>
      <w:color w:val="0000FF"/>
      <w:u w:val="single"/>
    </w:r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image" Target="media/image1.png" Id="rId2" /><Relationship Type="http://schemas.openxmlformats.org/officeDocument/2006/relationships/hyperlink" Target="https://www.asa.org.uk/resource/influencers-guide.html" TargetMode="External" Id="rId3" /><Relationship Type="http://schemas.openxmlformats.org/officeDocument/2006/relationships/footer" Target="footer1.xml" Id="rId7" /><Relationship Type="http://schemas.openxmlformats.org/officeDocument/2006/relationships/numbering" Target="numbering.xml" Id="rId8" /><Relationship Type="http://schemas.openxmlformats.org/officeDocument/2006/relationships/fontTable" Target="fontTable.xml" Id="rId9" /><Relationship Type="http://schemas.openxmlformats.org/officeDocument/2006/relationships/settings" Target="settings.xml" Id="rId10" /><Relationship Type="http://schemas.openxmlformats.org/officeDocument/2006/relationships/theme" Target="theme/theme1.xml" Id="rId11" /><Relationship Type="http://schemas.openxmlformats.org/officeDocument/2006/relationships/customXml" Target="../customXml/item1.xml" Id="rId12" /><Relationship Type="http://schemas.openxmlformats.org/officeDocument/2006/relationships/hyperlink" Target="https://www.mckinsey.com/industries/retail/our-insights/state-of-fashion-2024" TargetMode="External" Id="R35e3ed3c41804b6e" /><Relationship Type="http://schemas.openxmlformats.org/officeDocument/2006/relationships/image" Target="/media/image2.png" Id="rId630613016" /><Relationship Type="http://schemas.openxmlformats.org/officeDocument/2006/relationships/hyperlink" Target="https://www.researchgate.net/publication/329938899_The_global_environmental_injustice_of_fast_fashion" TargetMode="External" Id="R26d6e9cce9684326" /><Relationship Type="http://schemas.openxmlformats.org/officeDocument/2006/relationships/hyperlink" Target="https://doi.org/10.1016/j.chb.2019.09.015" TargetMode="External" Id="Ra42770af715144a8" /><Relationship Type="http://schemas.openxmlformats.org/officeDocument/2006/relationships/hyperlink" Target="https://www-tandfonline-com.uwtsd.idm.oclc.org/doi/full/10.2501/JAR-2019-030#d1e553" TargetMode="External" Id="R8d7da4419d9346b3" /><Relationship Type="http://schemas.openxmlformats.org/officeDocument/2006/relationships/hyperlink" Target="https://www-tandfonline-com.uwtsd.idm.oclc.org/doi/full/10.1080/02650487.2017.1348035" TargetMode="External" Id="Ra799b3f9b2534a28" /><Relationship Type="http://schemas.openxmlformats.org/officeDocument/2006/relationships/hyperlink" Target="https://www-tandfonline-com.uwtsd.idm.oclc.org/doi/abs/10.1362/026725799784870379" TargetMode="External" Id="Re7802e869f3442d6" /><Relationship Type="http://schemas.openxmlformats.org/officeDocument/2006/relationships/hyperlink" Target="https://www-sciencedirect-com.uwtsd.idm.oclc.org/science/article/pii/S0363811110001207" TargetMode="External" Id="R206bfcc1cebd4b1e" /><Relationship Type="http://schemas.openxmlformats.org/officeDocument/2006/relationships/hyperlink" Target="https://hmgroup.com/investors/reports/" TargetMode="External" Id="R1cfe151e83aa4b6b" /><Relationship Type="http://schemas.openxmlformats.org/officeDocument/2006/relationships/hyperlink" Target="https://www.participations.org/03-01-04-horton.pdf" TargetMode="External" Id="R9ef0e35b9e374a94" /><Relationship Type="http://schemas.openxmlformats.org/officeDocument/2006/relationships/hyperlink" Target="https://www.inditex.com/itxcomweb/api/media/59f58f71-301d-4a50-85a6-0441fb9f37c5/ENGL-CCAAeIGGrupo2025.pdf?t=1783079473647" TargetMode="External" Id="R8e963a62fa1a4129" /><Relationship Type="http://schemas.openxmlformats.org/officeDocument/2006/relationships/hyperlink" Target="https://www-tandfonline-com.uwtsd.idm.oclc.org/doi/full/10.1080/15252019.2018.1533501" TargetMode="External" Id="Rbdd386453f3e4c50" /><Relationship Type="http://schemas.openxmlformats.org/officeDocument/2006/relationships/hyperlink" Target="https://www-jstor-org.uwtsd.idm.oclc.org/stable/2489512?sid=primo&amp;seq=1" TargetMode="External" Id="R1e71a4e71fed44a5" /><Relationship Type="http://schemas.openxmlformats.org/officeDocument/2006/relationships/hyperlink" Target="https://research-ebsco-com.uwtsd.idm.oclc.org/c/onvpsy/viewer/pdf/irz2pbetmz?route=details" TargetMode="External" Id="Rbb8b65a7307740f7" /><Relationship Type="http://schemas.openxmlformats.org/officeDocument/2006/relationships/hyperlink" Target="https://www-tandfonline-com.uwtsd.idm.oclc.org/doi/full/10.1080/02650487.2019.1634898" TargetMode="External" Id="Re6c2c9dcc1e64f44" /><Relationship Type="http://schemas.openxmlformats.org/officeDocument/2006/relationships/hyperlink" Target="https://www-sciencedirect-com.uwtsd.idm.oclc.org/science/article/pii/S0148296319304564" TargetMode="External" Id="R6a1d5abd5d5c4f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2013-12-23T23:15:00.0000000Z</dcterms:created>
  <dc:creator>Gerardi Luca</dc:creator>
  <dc:description>generated by python-docx</dc:description>
  <keywords>celebrity endorsement influencer marketing consumer trust fast fashion Zara H&amp;M</keywords>
  <dc:language>en-GB</dc:language>
  <lastModifiedBy>Luca Gerardi (2219573)</lastModifiedBy>
  <dcterms:modified xsi:type="dcterms:W3CDTF">2026-08-04T03:03:32.2336809Z</dcterms:modified>
  <revision>4</revision>
  <dc:subject>LCBB6000 Dissertation Proposal</dc:subject>
  <dc:title>Celebrity versus Social Media Influencer Endorsements and Consumer Trust in Fast Fashion</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