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3AA3B8" w14:textId="02A7A58F" w:rsidR="00347113" w:rsidRPr="00347113" w:rsidRDefault="00347113">
      <w:pPr>
        <w:rPr>
          <w:b/>
          <w:bCs/>
          <w:sz w:val="32"/>
          <w:szCs w:val="32"/>
        </w:rPr>
      </w:pPr>
      <w:r w:rsidRPr="00347113">
        <w:rPr>
          <w:b/>
          <w:bCs/>
          <w:sz w:val="32"/>
          <w:szCs w:val="32"/>
        </w:rPr>
        <w:t>Title</w:t>
      </w:r>
    </w:p>
    <w:p w14:paraId="4476D11D" w14:textId="2D7E00A4" w:rsidR="00347113" w:rsidRPr="00347113" w:rsidRDefault="00347113">
      <w:pPr>
        <w:rPr>
          <w:b/>
          <w:bCs/>
          <w:sz w:val="32"/>
          <w:szCs w:val="32"/>
        </w:rPr>
      </w:pPr>
      <w:r w:rsidRPr="00347113">
        <w:rPr>
          <w:b/>
          <w:bCs/>
          <w:sz w:val="32"/>
          <w:szCs w:val="32"/>
        </w:rPr>
        <w:t>May 1</w:t>
      </w:r>
      <w:r w:rsidRPr="00347113">
        <w:rPr>
          <w:b/>
          <w:bCs/>
          <w:sz w:val="32"/>
          <w:szCs w:val="32"/>
          <w:vertAlign w:val="superscript"/>
        </w:rPr>
        <w:t>st</w:t>
      </w:r>
      <w:r w:rsidR="001A76C9" w:rsidRPr="00347113">
        <w:rPr>
          <w:b/>
          <w:bCs/>
          <w:sz w:val="32"/>
          <w:szCs w:val="32"/>
        </w:rPr>
        <w:t>, 2025</w:t>
      </w:r>
    </w:p>
    <w:p w14:paraId="0D5ADED3" w14:textId="1A5FCCBF" w:rsidR="00347113" w:rsidRDefault="00347113">
      <w:pPr>
        <w:rPr>
          <w:b/>
          <w:bCs/>
          <w:sz w:val="32"/>
          <w:szCs w:val="32"/>
        </w:rPr>
      </w:pPr>
      <w:r w:rsidRPr="00347113">
        <w:rPr>
          <w:b/>
          <w:bCs/>
          <w:sz w:val="32"/>
          <w:szCs w:val="32"/>
        </w:rPr>
        <w:t>Katie Thomas 2407735</w:t>
      </w:r>
    </w:p>
    <w:p w14:paraId="6CEF6240" w14:textId="3F308246" w:rsidR="001E4A3A" w:rsidRDefault="001E4A3A">
      <w:pPr>
        <w:rPr>
          <w:b/>
          <w:bCs/>
          <w:sz w:val="32"/>
          <w:szCs w:val="32"/>
        </w:rPr>
      </w:pPr>
      <w:r>
        <w:rPr>
          <w:b/>
          <w:bCs/>
          <w:sz w:val="32"/>
          <w:szCs w:val="32"/>
        </w:rPr>
        <w:t>How lifestyle choices at different stages affect long-term health and wellbeing – A life course approach</w:t>
      </w:r>
    </w:p>
    <w:p w14:paraId="5291EC80" w14:textId="77777777" w:rsidR="001E4A3A" w:rsidRPr="00347113" w:rsidRDefault="001E4A3A">
      <w:pPr>
        <w:rPr>
          <w:b/>
          <w:bCs/>
          <w:sz w:val="32"/>
          <w:szCs w:val="32"/>
        </w:rPr>
      </w:pPr>
    </w:p>
    <w:p w14:paraId="6F8950FA" w14:textId="77777777" w:rsidR="00347113" w:rsidRDefault="00347113">
      <w:r>
        <w:br w:type="page"/>
      </w:r>
    </w:p>
    <w:p w14:paraId="066A10D8" w14:textId="746D4047" w:rsidR="00347113" w:rsidRDefault="00347113">
      <w:pPr>
        <w:rPr>
          <w:b/>
          <w:bCs/>
          <w:sz w:val="32"/>
          <w:szCs w:val="32"/>
          <w:u w:val="single"/>
        </w:rPr>
      </w:pPr>
      <w:r>
        <w:rPr>
          <w:b/>
          <w:bCs/>
          <w:sz w:val="32"/>
          <w:szCs w:val="32"/>
          <w:u w:val="single"/>
        </w:rPr>
        <w:lastRenderedPageBreak/>
        <w:t>Abstract</w:t>
      </w:r>
    </w:p>
    <w:p w14:paraId="349F23D5" w14:textId="035F3D7D" w:rsidR="001A76C9" w:rsidRPr="001A76C9" w:rsidRDefault="001A76C9">
      <w:pPr>
        <w:rPr>
          <w:sz w:val="32"/>
          <w:szCs w:val="32"/>
        </w:rPr>
      </w:pPr>
      <w:r>
        <w:rPr>
          <w:sz w:val="32"/>
          <w:szCs w:val="32"/>
        </w:rPr>
        <w:t xml:space="preserve">This report </w:t>
      </w:r>
      <w:r w:rsidRPr="001A76C9">
        <w:rPr>
          <w:sz w:val="32"/>
          <w:szCs w:val="32"/>
        </w:rPr>
        <w:t>employs the life course approach to examine how lifestyle choices at various stages influence</w:t>
      </w:r>
      <w:r>
        <w:rPr>
          <w:sz w:val="32"/>
          <w:szCs w:val="32"/>
        </w:rPr>
        <w:t xml:space="preserve"> long-term health and well-being. Early </w:t>
      </w:r>
      <w:r w:rsidRPr="001A76C9">
        <w:rPr>
          <w:sz w:val="32"/>
          <w:szCs w:val="32"/>
        </w:rPr>
        <w:t>experiences, such as childhood nutrition and emotional care, lay</w:t>
      </w:r>
      <w:r>
        <w:rPr>
          <w:sz w:val="32"/>
          <w:szCs w:val="32"/>
        </w:rPr>
        <w:t xml:space="preserve"> the foundations for later health. During adolescence and adulthood, behaviours such as diet, physical activity, mental health care and substance use influence the risks of chronic illness and mental illness. Social determinants, including income, education, housing, and access to healthcare, play a significant role in shaping these behaviours and contributing to health disparities caused by systemic factors. The lasting effects of these choices emerge over time, emphasising the importance of both personal and structural interventions.</w:t>
      </w:r>
    </w:p>
    <w:p w14:paraId="003297DE" w14:textId="77777777" w:rsidR="00347113" w:rsidRDefault="00347113">
      <w:pPr>
        <w:rPr>
          <w:b/>
          <w:bCs/>
          <w:sz w:val="32"/>
          <w:szCs w:val="32"/>
          <w:u w:val="single"/>
        </w:rPr>
      </w:pPr>
    </w:p>
    <w:p w14:paraId="5F88B5AD" w14:textId="77777777" w:rsidR="001A76C9" w:rsidRDefault="001A76C9">
      <w:pPr>
        <w:rPr>
          <w:b/>
          <w:bCs/>
          <w:sz w:val="32"/>
          <w:szCs w:val="32"/>
          <w:u w:val="single"/>
        </w:rPr>
      </w:pPr>
    </w:p>
    <w:p w14:paraId="3780BB1D" w14:textId="77777777" w:rsidR="001A76C9" w:rsidRDefault="001A76C9">
      <w:pPr>
        <w:rPr>
          <w:b/>
          <w:bCs/>
          <w:sz w:val="32"/>
          <w:szCs w:val="32"/>
          <w:u w:val="single"/>
        </w:rPr>
      </w:pPr>
    </w:p>
    <w:p w14:paraId="21DC868E" w14:textId="77777777" w:rsidR="001A76C9" w:rsidRDefault="001A76C9">
      <w:pPr>
        <w:rPr>
          <w:b/>
          <w:bCs/>
          <w:sz w:val="32"/>
          <w:szCs w:val="32"/>
          <w:u w:val="single"/>
        </w:rPr>
      </w:pPr>
    </w:p>
    <w:p w14:paraId="65AA83B5" w14:textId="77777777" w:rsidR="001A76C9" w:rsidRDefault="001A76C9">
      <w:pPr>
        <w:rPr>
          <w:b/>
          <w:bCs/>
          <w:sz w:val="32"/>
          <w:szCs w:val="32"/>
          <w:u w:val="single"/>
        </w:rPr>
      </w:pPr>
    </w:p>
    <w:p w14:paraId="5EFC91ED" w14:textId="77777777" w:rsidR="001A76C9" w:rsidRDefault="001A76C9">
      <w:pPr>
        <w:rPr>
          <w:b/>
          <w:bCs/>
          <w:sz w:val="32"/>
          <w:szCs w:val="32"/>
          <w:u w:val="single"/>
        </w:rPr>
      </w:pPr>
    </w:p>
    <w:p w14:paraId="65D6F4BE" w14:textId="77777777" w:rsidR="001A76C9" w:rsidRDefault="001A76C9">
      <w:pPr>
        <w:rPr>
          <w:b/>
          <w:bCs/>
          <w:sz w:val="32"/>
          <w:szCs w:val="32"/>
          <w:u w:val="single"/>
        </w:rPr>
      </w:pPr>
    </w:p>
    <w:p w14:paraId="52D584F6" w14:textId="77777777" w:rsidR="001A76C9" w:rsidRDefault="001A76C9">
      <w:pPr>
        <w:rPr>
          <w:b/>
          <w:bCs/>
          <w:sz w:val="32"/>
          <w:szCs w:val="32"/>
          <w:u w:val="single"/>
        </w:rPr>
      </w:pPr>
    </w:p>
    <w:p w14:paraId="05081D33" w14:textId="77777777" w:rsidR="001A76C9" w:rsidRDefault="001A76C9">
      <w:pPr>
        <w:rPr>
          <w:b/>
          <w:bCs/>
          <w:sz w:val="32"/>
          <w:szCs w:val="32"/>
          <w:u w:val="single"/>
        </w:rPr>
      </w:pPr>
    </w:p>
    <w:p w14:paraId="0BFDA162" w14:textId="77777777" w:rsidR="001A76C9" w:rsidRDefault="001A76C9">
      <w:pPr>
        <w:rPr>
          <w:b/>
          <w:bCs/>
          <w:sz w:val="32"/>
          <w:szCs w:val="32"/>
          <w:u w:val="single"/>
        </w:rPr>
      </w:pPr>
    </w:p>
    <w:p w14:paraId="4BC10771" w14:textId="77777777" w:rsidR="001A76C9" w:rsidRDefault="001A76C9">
      <w:pPr>
        <w:rPr>
          <w:b/>
          <w:bCs/>
          <w:sz w:val="32"/>
          <w:szCs w:val="32"/>
          <w:u w:val="single"/>
        </w:rPr>
      </w:pPr>
    </w:p>
    <w:p w14:paraId="1492B8B6" w14:textId="77777777" w:rsidR="001A76C9" w:rsidRDefault="001A76C9">
      <w:pPr>
        <w:rPr>
          <w:b/>
          <w:bCs/>
          <w:sz w:val="32"/>
          <w:szCs w:val="32"/>
          <w:u w:val="single"/>
        </w:rPr>
      </w:pPr>
    </w:p>
    <w:p w14:paraId="775B0936" w14:textId="77777777" w:rsidR="00347113" w:rsidRDefault="00347113">
      <w:pPr>
        <w:rPr>
          <w:b/>
          <w:bCs/>
          <w:sz w:val="32"/>
          <w:szCs w:val="32"/>
          <w:u w:val="single"/>
        </w:rPr>
      </w:pPr>
    </w:p>
    <w:p w14:paraId="332E5AC4" w14:textId="1F9EDA51" w:rsidR="00347113" w:rsidRDefault="00347113">
      <w:pPr>
        <w:rPr>
          <w:b/>
          <w:bCs/>
          <w:sz w:val="32"/>
          <w:szCs w:val="32"/>
          <w:u w:val="single"/>
        </w:rPr>
      </w:pPr>
      <w:r>
        <w:rPr>
          <w:b/>
          <w:bCs/>
          <w:sz w:val="32"/>
          <w:szCs w:val="32"/>
          <w:u w:val="single"/>
        </w:rPr>
        <w:lastRenderedPageBreak/>
        <w:t>Glossar</w:t>
      </w:r>
      <w:r w:rsidR="001A76C9">
        <w:rPr>
          <w:b/>
          <w:bCs/>
          <w:sz w:val="32"/>
          <w:szCs w:val="32"/>
          <w:u w:val="single"/>
        </w:rPr>
        <w:t>y</w:t>
      </w:r>
    </w:p>
    <w:p w14:paraId="2D3B6C40" w14:textId="77777777" w:rsidR="001A76C9" w:rsidRPr="001A76C9" w:rsidRDefault="001A76C9" w:rsidP="001A76C9">
      <w:pPr>
        <w:rPr>
          <w:sz w:val="32"/>
          <w:szCs w:val="32"/>
        </w:rPr>
      </w:pPr>
      <w:r w:rsidRPr="001A76C9">
        <w:rPr>
          <w:b/>
          <w:bCs/>
          <w:sz w:val="32"/>
          <w:szCs w:val="32"/>
        </w:rPr>
        <w:t>Adverse Childhood Experiences (ACEs):</w:t>
      </w:r>
      <w:r w:rsidRPr="001A76C9">
        <w:rPr>
          <w:sz w:val="32"/>
          <w:szCs w:val="32"/>
        </w:rPr>
        <w:br/>
        <w:t>Potentially traumatic events occurring in childhood (e.g., abuse, neglect, household dysfunction) that are linked to negative long-term health and social outcomes.</w:t>
      </w:r>
    </w:p>
    <w:p w14:paraId="5BB4A239" w14:textId="77777777" w:rsidR="001A76C9" w:rsidRPr="001A76C9" w:rsidRDefault="001A76C9" w:rsidP="001A76C9">
      <w:pPr>
        <w:rPr>
          <w:sz w:val="32"/>
          <w:szCs w:val="32"/>
        </w:rPr>
      </w:pPr>
      <w:r w:rsidRPr="001A76C9">
        <w:rPr>
          <w:b/>
          <w:bCs/>
          <w:sz w:val="32"/>
          <w:szCs w:val="32"/>
        </w:rPr>
        <w:t>Chronic Disease:</w:t>
      </w:r>
      <w:r w:rsidRPr="001A76C9">
        <w:rPr>
          <w:sz w:val="32"/>
          <w:szCs w:val="32"/>
        </w:rPr>
        <w:br/>
        <w:t>A long-lasting condition that typically progresses slowly, such as heart disease, diabetes, or cancer.</w:t>
      </w:r>
    </w:p>
    <w:p w14:paraId="3BC04FC8" w14:textId="78FA0829" w:rsidR="001A76C9" w:rsidRPr="001A76C9" w:rsidRDefault="001A76C9" w:rsidP="001A76C9">
      <w:pPr>
        <w:rPr>
          <w:sz w:val="32"/>
          <w:szCs w:val="32"/>
        </w:rPr>
      </w:pPr>
      <w:r w:rsidRPr="001A76C9">
        <w:rPr>
          <w:b/>
          <w:bCs/>
          <w:sz w:val="32"/>
          <w:szCs w:val="32"/>
        </w:rPr>
        <w:t>Health Inequality:</w:t>
      </w:r>
      <w:r w:rsidRPr="001A76C9">
        <w:rPr>
          <w:sz w:val="32"/>
          <w:szCs w:val="32"/>
        </w:rPr>
        <w:br/>
        <w:t>Differences in health status or the distribution of health resources between different population groups, arising from social conditions.</w:t>
      </w:r>
    </w:p>
    <w:p w14:paraId="5BC174C9" w14:textId="77777777" w:rsidR="001A76C9" w:rsidRPr="001A76C9" w:rsidRDefault="001A76C9" w:rsidP="001A76C9">
      <w:pPr>
        <w:rPr>
          <w:sz w:val="32"/>
          <w:szCs w:val="32"/>
        </w:rPr>
      </w:pPr>
      <w:r w:rsidRPr="001A76C9">
        <w:rPr>
          <w:b/>
          <w:bCs/>
          <w:sz w:val="32"/>
          <w:szCs w:val="32"/>
        </w:rPr>
        <w:t>Life Course Approach:</w:t>
      </w:r>
      <w:r w:rsidRPr="001A76C9">
        <w:rPr>
          <w:sz w:val="32"/>
          <w:szCs w:val="32"/>
        </w:rPr>
        <w:br/>
        <w:t>A perspective that considers how health is shaped by biological, behavioural, and social factors throughout a person’s life, from prenatal development to old age.</w:t>
      </w:r>
    </w:p>
    <w:p w14:paraId="27AA27A6" w14:textId="77777777" w:rsidR="001A76C9" w:rsidRPr="001A76C9" w:rsidRDefault="001A76C9" w:rsidP="001A76C9">
      <w:pPr>
        <w:rPr>
          <w:sz w:val="32"/>
          <w:szCs w:val="32"/>
        </w:rPr>
      </w:pPr>
      <w:r w:rsidRPr="001A76C9">
        <w:rPr>
          <w:b/>
          <w:bCs/>
          <w:sz w:val="32"/>
          <w:szCs w:val="32"/>
        </w:rPr>
        <w:t>Lifestyle Factors:</w:t>
      </w:r>
      <w:r w:rsidRPr="001A76C9">
        <w:rPr>
          <w:sz w:val="32"/>
          <w:szCs w:val="32"/>
        </w:rPr>
        <w:br/>
        <w:t>Daily behaviours and habits—such as diet, physical activity, sleep, and substance use—that influence an individual’s physical and mental health.</w:t>
      </w:r>
    </w:p>
    <w:p w14:paraId="45BFE2F9" w14:textId="3239134B" w:rsidR="001A76C9" w:rsidRPr="001A76C9" w:rsidRDefault="001A76C9" w:rsidP="001A76C9">
      <w:pPr>
        <w:rPr>
          <w:sz w:val="32"/>
          <w:szCs w:val="32"/>
        </w:rPr>
      </w:pPr>
      <w:r w:rsidRPr="001A76C9">
        <w:rPr>
          <w:b/>
          <w:bCs/>
          <w:sz w:val="32"/>
          <w:szCs w:val="32"/>
        </w:rPr>
        <w:t>Mental Health:</w:t>
      </w:r>
      <w:r w:rsidRPr="001A76C9">
        <w:rPr>
          <w:sz w:val="32"/>
          <w:szCs w:val="32"/>
        </w:rPr>
        <w:br/>
        <w:t>A person’s emotional, psychological, and social well</w:t>
      </w:r>
      <w:r>
        <w:rPr>
          <w:sz w:val="32"/>
          <w:szCs w:val="32"/>
        </w:rPr>
        <w:t>-being</w:t>
      </w:r>
      <w:r w:rsidRPr="001A76C9">
        <w:rPr>
          <w:sz w:val="32"/>
          <w:szCs w:val="32"/>
        </w:rPr>
        <w:t xml:space="preserve"> </w:t>
      </w:r>
      <w:r>
        <w:rPr>
          <w:sz w:val="32"/>
          <w:szCs w:val="32"/>
        </w:rPr>
        <w:t>significantly impa</w:t>
      </w:r>
      <w:r w:rsidRPr="001A76C9">
        <w:rPr>
          <w:sz w:val="32"/>
          <w:szCs w:val="32"/>
        </w:rPr>
        <w:t>ct</w:t>
      </w:r>
      <w:r>
        <w:rPr>
          <w:sz w:val="32"/>
          <w:szCs w:val="32"/>
        </w:rPr>
        <w:t>s</w:t>
      </w:r>
      <w:r w:rsidRPr="001A76C9">
        <w:rPr>
          <w:sz w:val="32"/>
          <w:szCs w:val="32"/>
        </w:rPr>
        <w:t xml:space="preserve"> how they think, feel, and </w:t>
      </w:r>
      <w:r>
        <w:rPr>
          <w:sz w:val="32"/>
          <w:szCs w:val="32"/>
        </w:rPr>
        <w:t>behave</w:t>
      </w:r>
      <w:r w:rsidRPr="001A76C9">
        <w:rPr>
          <w:sz w:val="32"/>
          <w:szCs w:val="32"/>
        </w:rPr>
        <w:t>.</w:t>
      </w:r>
    </w:p>
    <w:p w14:paraId="6D7331DC" w14:textId="77777777" w:rsidR="001A76C9" w:rsidRPr="001A76C9" w:rsidRDefault="001A76C9" w:rsidP="001A76C9">
      <w:pPr>
        <w:rPr>
          <w:sz w:val="32"/>
          <w:szCs w:val="32"/>
        </w:rPr>
      </w:pPr>
      <w:r w:rsidRPr="001A76C9">
        <w:rPr>
          <w:b/>
          <w:bCs/>
          <w:sz w:val="32"/>
          <w:szCs w:val="32"/>
        </w:rPr>
        <w:t>Non-Communicable Diseases (NCDs):</w:t>
      </w:r>
      <w:r w:rsidRPr="001A76C9">
        <w:rPr>
          <w:sz w:val="32"/>
          <w:szCs w:val="32"/>
        </w:rPr>
        <w:br/>
        <w:t>Diseases that are not infectious or transmissible between people, including conditions like cancer, diabetes, and cardiovascular disease.</w:t>
      </w:r>
    </w:p>
    <w:p w14:paraId="774CC918" w14:textId="77777777" w:rsidR="001A76C9" w:rsidRPr="001A76C9" w:rsidRDefault="001A76C9" w:rsidP="001A76C9">
      <w:pPr>
        <w:rPr>
          <w:sz w:val="32"/>
          <w:szCs w:val="32"/>
        </w:rPr>
      </w:pPr>
      <w:r w:rsidRPr="001A76C9">
        <w:rPr>
          <w:b/>
          <w:bCs/>
          <w:sz w:val="32"/>
          <w:szCs w:val="32"/>
        </w:rPr>
        <w:lastRenderedPageBreak/>
        <w:t>Preventive Health:</w:t>
      </w:r>
      <w:r w:rsidRPr="001A76C9">
        <w:rPr>
          <w:sz w:val="32"/>
          <w:szCs w:val="32"/>
        </w:rPr>
        <w:br/>
        <w:t>Practices aimed at preventing illness and promoting health, such as vaccinations, health screenings, and healthy lifestyle choices.</w:t>
      </w:r>
    </w:p>
    <w:p w14:paraId="57CB8771" w14:textId="656CE652" w:rsidR="001A76C9" w:rsidRPr="001A76C9" w:rsidRDefault="001A76C9" w:rsidP="001A76C9">
      <w:pPr>
        <w:rPr>
          <w:sz w:val="32"/>
          <w:szCs w:val="32"/>
        </w:rPr>
      </w:pPr>
      <w:r w:rsidRPr="001A76C9">
        <w:rPr>
          <w:b/>
          <w:bCs/>
          <w:sz w:val="32"/>
          <w:szCs w:val="32"/>
        </w:rPr>
        <w:t>Social Determinants of Health:</w:t>
      </w:r>
      <w:r w:rsidRPr="001A76C9">
        <w:rPr>
          <w:sz w:val="32"/>
          <w:szCs w:val="32"/>
        </w:rPr>
        <w:br/>
        <w:t>The conditions in which people are born, grow, live, work, and age—such as education, income, housing, and access to healthcare—</w:t>
      </w:r>
      <w:r>
        <w:rPr>
          <w:sz w:val="32"/>
          <w:szCs w:val="32"/>
        </w:rPr>
        <w:t xml:space="preserve">significantly </w:t>
      </w:r>
      <w:r w:rsidRPr="001A76C9">
        <w:rPr>
          <w:sz w:val="32"/>
          <w:szCs w:val="32"/>
        </w:rPr>
        <w:t xml:space="preserve">impact </w:t>
      </w:r>
      <w:r>
        <w:rPr>
          <w:sz w:val="32"/>
          <w:szCs w:val="32"/>
        </w:rPr>
        <w:t xml:space="preserve">their </w:t>
      </w:r>
      <w:r w:rsidRPr="001A76C9">
        <w:rPr>
          <w:sz w:val="32"/>
          <w:szCs w:val="32"/>
        </w:rPr>
        <w:t>health outcomes.</w:t>
      </w:r>
    </w:p>
    <w:p w14:paraId="3617DF48" w14:textId="77777777" w:rsidR="001A76C9" w:rsidRPr="001A76C9" w:rsidRDefault="001A76C9" w:rsidP="001A76C9">
      <w:pPr>
        <w:rPr>
          <w:sz w:val="32"/>
          <w:szCs w:val="32"/>
        </w:rPr>
      </w:pPr>
      <w:r w:rsidRPr="001A76C9">
        <w:rPr>
          <w:b/>
          <w:bCs/>
          <w:sz w:val="32"/>
          <w:szCs w:val="32"/>
        </w:rPr>
        <w:t>Wellbeing:</w:t>
      </w:r>
      <w:r w:rsidRPr="001A76C9">
        <w:rPr>
          <w:sz w:val="32"/>
          <w:szCs w:val="32"/>
        </w:rPr>
        <w:br/>
        <w:t>A holistic concept encompassing physical, mental, emotional, and social health, contributing to overall quality of life.</w:t>
      </w:r>
    </w:p>
    <w:p w14:paraId="65D7BE3D" w14:textId="77777777" w:rsidR="001A76C9" w:rsidRPr="001A76C9" w:rsidRDefault="001A76C9">
      <w:pPr>
        <w:rPr>
          <w:sz w:val="32"/>
          <w:szCs w:val="32"/>
        </w:rPr>
      </w:pPr>
    </w:p>
    <w:p w14:paraId="18C3E39A" w14:textId="77777777" w:rsidR="00347113" w:rsidRDefault="00347113">
      <w:pPr>
        <w:rPr>
          <w:b/>
          <w:bCs/>
          <w:sz w:val="32"/>
          <w:szCs w:val="32"/>
          <w:u w:val="single"/>
        </w:rPr>
      </w:pPr>
      <w:r>
        <w:rPr>
          <w:b/>
          <w:bCs/>
          <w:sz w:val="32"/>
          <w:szCs w:val="32"/>
          <w:u w:val="single"/>
        </w:rPr>
        <w:br w:type="page"/>
      </w:r>
    </w:p>
    <w:p w14:paraId="113F72AB" w14:textId="645430A3" w:rsidR="00347113" w:rsidRDefault="00347113">
      <w:pPr>
        <w:rPr>
          <w:b/>
          <w:bCs/>
          <w:sz w:val="32"/>
          <w:szCs w:val="32"/>
          <w:u w:val="single"/>
        </w:rPr>
      </w:pPr>
      <w:r>
        <w:rPr>
          <w:b/>
          <w:bCs/>
          <w:sz w:val="32"/>
          <w:szCs w:val="32"/>
          <w:u w:val="single"/>
        </w:rPr>
        <w:lastRenderedPageBreak/>
        <w:t>Contents</w:t>
      </w:r>
    </w:p>
    <w:p w14:paraId="3E196B8E" w14:textId="43197BD2" w:rsidR="00347113" w:rsidRDefault="00347113" w:rsidP="00347113">
      <w:pPr>
        <w:pStyle w:val="ListParagraph"/>
        <w:numPr>
          <w:ilvl w:val="0"/>
          <w:numId w:val="1"/>
        </w:numPr>
        <w:rPr>
          <w:sz w:val="32"/>
          <w:szCs w:val="32"/>
        </w:rPr>
      </w:pPr>
      <w:r>
        <w:rPr>
          <w:sz w:val="32"/>
          <w:szCs w:val="32"/>
        </w:rPr>
        <w:t xml:space="preserve"> Introduction……………………………………………………………</w:t>
      </w:r>
      <w:r w:rsidR="001A76C9">
        <w:rPr>
          <w:sz w:val="32"/>
          <w:szCs w:val="32"/>
        </w:rPr>
        <w:t>….</w:t>
      </w:r>
    </w:p>
    <w:p w14:paraId="13DDC384" w14:textId="2DEE9F43" w:rsidR="00347113" w:rsidRDefault="00347113" w:rsidP="00347113">
      <w:pPr>
        <w:pStyle w:val="ListParagraph"/>
        <w:numPr>
          <w:ilvl w:val="0"/>
          <w:numId w:val="1"/>
        </w:numPr>
        <w:rPr>
          <w:sz w:val="32"/>
          <w:szCs w:val="32"/>
        </w:rPr>
      </w:pPr>
      <w:r>
        <w:rPr>
          <w:sz w:val="32"/>
          <w:szCs w:val="32"/>
        </w:rPr>
        <w:t>Main findings……………………………………………………………….</w:t>
      </w:r>
    </w:p>
    <w:p w14:paraId="35399E8A" w14:textId="070B178A" w:rsidR="00347113" w:rsidRDefault="00347113" w:rsidP="00347113">
      <w:pPr>
        <w:pStyle w:val="ListParagraph"/>
        <w:rPr>
          <w:sz w:val="32"/>
          <w:szCs w:val="32"/>
        </w:rPr>
      </w:pPr>
      <w:r>
        <w:rPr>
          <w:sz w:val="32"/>
          <w:szCs w:val="32"/>
        </w:rPr>
        <w:t>2.1</w:t>
      </w:r>
      <w:r w:rsidR="001A76C9">
        <w:rPr>
          <w:sz w:val="32"/>
          <w:szCs w:val="32"/>
        </w:rPr>
        <w:t xml:space="preserve"> Early Life (conception to childhood)</w:t>
      </w:r>
    </w:p>
    <w:p w14:paraId="19C73F23" w14:textId="3ABDB3DD" w:rsidR="00347113" w:rsidRDefault="00347113" w:rsidP="00347113">
      <w:pPr>
        <w:pStyle w:val="ListParagraph"/>
        <w:rPr>
          <w:sz w:val="32"/>
          <w:szCs w:val="32"/>
        </w:rPr>
      </w:pPr>
      <w:r>
        <w:rPr>
          <w:sz w:val="32"/>
          <w:szCs w:val="32"/>
        </w:rPr>
        <w:t>2.2</w:t>
      </w:r>
      <w:r w:rsidR="001A76C9">
        <w:rPr>
          <w:sz w:val="32"/>
          <w:szCs w:val="32"/>
        </w:rPr>
        <w:t xml:space="preserve"> Adolescence</w:t>
      </w:r>
    </w:p>
    <w:p w14:paraId="5EBABED9" w14:textId="5A0FFC26" w:rsidR="00347113" w:rsidRDefault="00347113" w:rsidP="00347113">
      <w:pPr>
        <w:pStyle w:val="ListParagraph"/>
        <w:rPr>
          <w:sz w:val="32"/>
          <w:szCs w:val="32"/>
        </w:rPr>
      </w:pPr>
      <w:r>
        <w:rPr>
          <w:sz w:val="32"/>
          <w:szCs w:val="32"/>
        </w:rPr>
        <w:t>2.3</w:t>
      </w:r>
      <w:r w:rsidR="001A76C9">
        <w:rPr>
          <w:sz w:val="32"/>
          <w:szCs w:val="32"/>
        </w:rPr>
        <w:t xml:space="preserve"> Adulthood</w:t>
      </w:r>
    </w:p>
    <w:p w14:paraId="48FED980" w14:textId="6D79E2DB" w:rsidR="001A76C9" w:rsidRDefault="001A76C9" w:rsidP="00347113">
      <w:pPr>
        <w:pStyle w:val="ListParagraph"/>
        <w:rPr>
          <w:sz w:val="32"/>
          <w:szCs w:val="32"/>
        </w:rPr>
      </w:pPr>
      <w:r>
        <w:rPr>
          <w:sz w:val="32"/>
          <w:szCs w:val="32"/>
        </w:rPr>
        <w:t>2.4 Older Adulthood</w:t>
      </w:r>
    </w:p>
    <w:p w14:paraId="33E8A34B" w14:textId="78C7ABF6" w:rsidR="001A76C9" w:rsidRPr="001A76C9" w:rsidRDefault="001A76C9" w:rsidP="001A76C9">
      <w:pPr>
        <w:pStyle w:val="ListParagraph"/>
        <w:rPr>
          <w:sz w:val="32"/>
          <w:szCs w:val="32"/>
        </w:rPr>
      </w:pPr>
      <w:r>
        <w:rPr>
          <w:sz w:val="32"/>
          <w:szCs w:val="32"/>
        </w:rPr>
        <w:t>2.5 Social Determinants of Health</w:t>
      </w:r>
    </w:p>
    <w:p w14:paraId="5502D8BF" w14:textId="721345AA" w:rsidR="00347113" w:rsidRDefault="00347113" w:rsidP="00347113">
      <w:pPr>
        <w:pStyle w:val="ListParagraph"/>
        <w:numPr>
          <w:ilvl w:val="0"/>
          <w:numId w:val="1"/>
        </w:numPr>
        <w:rPr>
          <w:sz w:val="32"/>
          <w:szCs w:val="32"/>
        </w:rPr>
      </w:pPr>
      <w:r>
        <w:rPr>
          <w:sz w:val="32"/>
          <w:szCs w:val="32"/>
        </w:rPr>
        <w:t>Recommendations……………………………………………………….</w:t>
      </w:r>
    </w:p>
    <w:p w14:paraId="73453BC5" w14:textId="751499E5" w:rsidR="00347113" w:rsidRDefault="00347113" w:rsidP="00347113">
      <w:pPr>
        <w:pStyle w:val="ListParagraph"/>
        <w:numPr>
          <w:ilvl w:val="0"/>
          <w:numId w:val="1"/>
        </w:numPr>
        <w:rPr>
          <w:sz w:val="32"/>
          <w:szCs w:val="32"/>
        </w:rPr>
      </w:pPr>
      <w:r>
        <w:rPr>
          <w:sz w:val="32"/>
          <w:szCs w:val="32"/>
        </w:rPr>
        <w:t>Conclusion………………………………………………………………….</w:t>
      </w:r>
    </w:p>
    <w:p w14:paraId="486859FA" w14:textId="515EE9B6" w:rsidR="00347113" w:rsidRDefault="00347113" w:rsidP="00347113">
      <w:pPr>
        <w:pStyle w:val="ListParagraph"/>
        <w:numPr>
          <w:ilvl w:val="0"/>
          <w:numId w:val="1"/>
        </w:numPr>
        <w:rPr>
          <w:sz w:val="32"/>
          <w:szCs w:val="32"/>
        </w:rPr>
      </w:pPr>
      <w:r>
        <w:rPr>
          <w:sz w:val="32"/>
          <w:szCs w:val="32"/>
        </w:rPr>
        <w:t>Appendices………………………………………………………………</w:t>
      </w:r>
      <w:r w:rsidR="001A76C9">
        <w:rPr>
          <w:sz w:val="32"/>
          <w:szCs w:val="32"/>
        </w:rPr>
        <w:t>….</w:t>
      </w:r>
    </w:p>
    <w:p w14:paraId="40CF502C" w14:textId="3E608454" w:rsidR="00347113" w:rsidRDefault="00347113" w:rsidP="00347113">
      <w:pPr>
        <w:pStyle w:val="ListParagraph"/>
        <w:numPr>
          <w:ilvl w:val="0"/>
          <w:numId w:val="1"/>
        </w:numPr>
        <w:rPr>
          <w:sz w:val="32"/>
          <w:szCs w:val="32"/>
        </w:rPr>
      </w:pPr>
      <w:r>
        <w:rPr>
          <w:sz w:val="32"/>
          <w:szCs w:val="32"/>
        </w:rPr>
        <w:t>Reference list……………………………………………………………….</w:t>
      </w:r>
    </w:p>
    <w:p w14:paraId="629D1233" w14:textId="4B8F5050" w:rsidR="00347113" w:rsidRDefault="00347113">
      <w:pPr>
        <w:rPr>
          <w:sz w:val="32"/>
          <w:szCs w:val="32"/>
        </w:rPr>
      </w:pPr>
      <w:r>
        <w:rPr>
          <w:sz w:val="32"/>
          <w:szCs w:val="32"/>
        </w:rPr>
        <w:br w:type="page"/>
      </w:r>
    </w:p>
    <w:p w14:paraId="2324305F" w14:textId="45031E5A" w:rsidR="00347113" w:rsidRDefault="001E4A3A" w:rsidP="00347113">
      <w:pPr>
        <w:rPr>
          <w:b/>
          <w:bCs/>
          <w:sz w:val="32"/>
          <w:szCs w:val="32"/>
          <w:u w:val="single"/>
        </w:rPr>
      </w:pPr>
      <w:r w:rsidRPr="00347113">
        <w:rPr>
          <w:b/>
          <w:bCs/>
          <w:sz w:val="32"/>
          <w:szCs w:val="32"/>
          <w:u w:val="single"/>
        </w:rPr>
        <w:lastRenderedPageBreak/>
        <w:t>I</w:t>
      </w:r>
      <w:r w:rsidR="00347113" w:rsidRPr="00347113">
        <w:rPr>
          <w:b/>
          <w:bCs/>
          <w:sz w:val="32"/>
          <w:szCs w:val="32"/>
          <w:u w:val="single"/>
        </w:rPr>
        <w:t>ntroduction</w:t>
      </w:r>
    </w:p>
    <w:p w14:paraId="42E7CDF0" w14:textId="1A572025" w:rsidR="001A76C9" w:rsidRDefault="001A76C9" w:rsidP="00347113">
      <w:pPr>
        <w:rPr>
          <w:sz w:val="32"/>
          <w:szCs w:val="32"/>
        </w:rPr>
      </w:pPr>
      <w:r>
        <w:rPr>
          <w:sz w:val="32"/>
          <w:szCs w:val="32"/>
        </w:rPr>
        <w:t xml:space="preserve">Health and well-being are greatly influenced by the environments </w:t>
      </w:r>
      <w:r w:rsidRPr="001A76C9">
        <w:rPr>
          <w:sz w:val="32"/>
          <w:szCs w:val="32"/>
        </w:rPr>
        <w:t>in which individuals live, the behaviours and choices people make throughout their lives;</w:t>
      </w:r>
      <w:r>
        <w:rPr>
          <w:sz w:val="32"/>
          <w:szCs w:val="32"/>
        </w:rPr>
        <w:t xml:space="preserve"> they are not solely determined by medical care or inherited through genetics. The life course approach emphasises that health is influenced by both immediate and accumulated experiences across all stages of life, from before birth to old age (World Health Organisation,2023). This </w:t>
      </w:r>
      <w:r w:rsidRPr="001A76C9">
        <w:rPr>
          <w:sz w:val="32"/>
          <w:szCs w:val="32"/>
        </w:rPr>
        <w:t>perspective highlights the critical role that the timing and order of lifestyle decisions, such as an individual's diet, physical activity and mental health habits, can play in</w:t>
      </w:r>
      <w:r>
        <w:rPr>
          <w:sz w:val="32"/>
          <w:szCs w:val="32"/>
        </w:rPr>
        <w:t xml:space="preserve"> shaping long-term health outcomes.</w:t>
      </w:r>
    </w:p>
    <w:p w14:paraId="36711A72" w14:textId="77777777" w:rsidR="001A76C9" w:rsidRPr="001A76C9" w:rsidRDefault="001A76C9" w:rsidP="00347113">
      <w:pPr>
        <w:rPr>
          <w:sz w:val="32"/>
          <w:szCs w:val="32"/>
        </w:rPr>
      </w:pPr>
    </w:p>
    <w:p w14:paraId="4F36C04D" w14:textId="19CC4CAB" w:rsidR="00347113" w:rsidRDefault="00347113" w:rsidP="00347113">
      <w:pPr>
        <w:rPr>
          <w:b/>
          <w:bCs/>
          <w:sz w:val="32"/>
          <w:szCs w:val="32"/>
          <w:u w:val="single"/>
        </w:rPr>
      </w:pPr>
      <w:r>
        <w:rPr>
          <w:b/>
          <w:bCs/>
          <w:sz w:val="32"/>
          <w:szCs w:val="32"/>
          <w:u w:val="single"/>
        </w:rPr>
        <w:t>main findings</w:t>
      </w:r>
    </w:p>
    <w:p w14:paraId="70F9DCDB" w14:textId="6B097519" w:rsidR="001A76C9" w:rsidRDefault="001A76C9" w:rsidP="00347113">
      <w:pPr>
        <w:rPr>
          <w:b/>
          <w:bCs/>
          <w:sz w:val="32"/>
          <w:szCs w:val="32"/>
          <w:u w:val="single"/>
        </w:rPr>
      </w:pPr>
      <w:r>
        <w:rPr>
          <w:b/>
          <w:bCs/>
          <w:sz w:val="32"/>
          <w:szCs w:val="32"/>
          <w:u w:val="single"/>
        </w:rPr>
        <w:t>2.1 early life (conception to childhood)</w:t>
      </w:r>
    </w:p>
    <w:p w14:paraId="0683F3A8" w14:textId="18711A95" w:rsidR="001A76C9" w:rsidRDefault="001A76C9" w:rsidP="00347113">
      <w:pPr>
        <w:rPr>
          <w:sz w:val="32"/>
          <w:szCs w:val="32"/>
        </w:rPr>
      </w:pPr>
      <w:r>
        <w:rPr>
          <w:sz w:val="32"/>
          <w:szCs w:val="32"/>
        </w:rPr>
        <w:t>Even before birth, prenatal care lays the foundation for long-term health. Foetal development and birth outcomes are significantly impacted by maternal actions during pregnancy, including stress, alcohol consumption, smoking and diet. Low birth weight brought on by inadequate maternal nutrition is associated with an increased risk of adult obesity, diabetes, and cardiovascular disease, according to Barker’s theory (Barker, 1998). This theory supports the life course principle, which states that early exposures can have lasting impacts.</w:t>
      </w:r>
    </w:p>
    <w:p w14:paraId="03CF4B04" w14:textId="72045354" w:rsidR="001A76C9" w:rsidRDefault="001A76C9" w:rsidP="00347113">
      <w:pPr>
        <w:rPr>
          <w:sz w:val="32"/>
          <w:szCs w:val="32"/>
        </w:rPr>
      </w:pPr>
      <w:r>
        <w:rPr>
          <w:sz w:val="32"/>
          <w:szCs w:val="32"/>
        </w:rPr>
        <w:t xml:space="preserve">For healthy development in early childhood, proper nutrition, emotional support, and stimulation are essential. Childhood obesity, which is closely linked to chronic conditions like type 2 diabetes, asthma, and hypertension in later life, can result from </w:t>
      </w:r>
      <w:r>
        <w:rPr>
          <w:sz w:val="32"/>
          <w:szCs w:val="32"/>
        </w:rPr>
        <w:lastRenderedPageBreak/>
        <w:t xml:space="preserve">poor food choices during this time (Public Health England, 2021). In addition to </w:t>
      </w:r>
      <w:r w:rsidRPr="001A76C9">
        <w:rPr>
          <w:sz w:val="32"/>
          <w:szCs w:val="32"/>
        </w:rPr>
        <w:t xml:space="preserve">promoting physical health, early childhood experiences, including stable attachments and positive carer relationships, </w:t>
      </w:r>
      <w:r>
        <w:rPr>
          <w:sz w:val="32"/>
          <w:szCs w:val="32"/>
        </w:rPr>
        <w:t>promote cognitive development and emotional control. In contrast, children who experience adverse childhood experiences (ACEs), such as parental mental illness, neglect, or abuse, are more likely to experience mental health issues, substance misuse and chronic illnesses as adults later in life (Felitti et al., 1998).</w:t>
      </w:r>
    </w:p>
    <w:p w14:paraId="4717385F" w14:textId="7DA076DB" w:rsidR="001A76C9" w:rsidRDefault="001A76C9" w:rsidP="00347113">
      <w:pPr>
        <w:rPr>
          <w:sz w:val="32"/>
          <w:szCs w:val="32"/>
        </w:rPr>
      </w:pPr>
      <w:r>
        <w:rPr>
          <w:sz w:val="32"/>
          <w:szCs w:val="32"/>
        </w:rPr>
        <w:t>Access to education, secure housing, healthcare, and a supportive environment are key social determinants of health that play a crucial role in shaping outcomes during early life. Children from disadvantaged backgrounds are more likely to face multiple barriers to healthy development, such as inadequate nutrition, reduced healthcare access and increased exposure to environmental toxins.</w:t>
      </w:r>
    </w:p>
    <w:p w14:paraId="38955827" w14:textId="77777777" w:rsidR="001A76C9" w:rsidRDefault="001A76C9" w:rsidP="00347113">
      <w:pPr>
        <w:rPr>
          <w:sz w:val="32"/>
          <w:szCs w:val="32"/>
        </w:rPr>
      </w:pPr>
    </w:p>
    <w:p w14:paraId="6A567A29" w14:textId="18E72116" w:rsidR="001A76C9" w:rsidRDefault="001A76C9" w:rsidP="00347113">
      <w:pPr>
        <w:rPr>
          <w:b/>
          <w:bCs/>
          <w:sz w:val="32"/>
          <w:szCs w:val="32"/>
          <w:u w:val="single"/>
        </w:rPr>
      </w:pPr>
      <w:r w:rsidRPr="001A76C9">
        <w:rPr>
          <w:b/>
          <w:bCs/>
          <w:sz w:val="32"/>
          <w:szCs w:val="32"/>
          <w:u w:val="single"/>
        </w:rPr>
        <w:t>2.2 Adolescence</w:t>
      </w:r>
    </w:p>
    <w:p w14:paraId="22C8F4CC" w14:textId="0DD9B236" w:rsidR="001A76C9" w:rsidRDefault="001A76C9" w:rsidP="00347113">
      <w:pPr>
        <w:rPr>
          <w:sz w:val="32"/>
          <w:szCs w:val="32"/>
        </w:rPr>
      </w:pPr>
      <w:r>
        <w:rPr>
          <w:sz w:val="32"/>
          <w:szCs w:val="32"/>
        </w:rPr>
        <w:t>Adolescence is a critical transitional stage characterised by growing independence, identity formation and increased influence from peers. Health behaviours established during this period, such as dietary choices, physical activity, mental health management, and substance use, often continue into adulthood (Craigie et al., 2011).</w:t>
      </w:r>
    </w:p>
    <w:p w14:paraId="4E78B56B" w14:textId="0AD70CB0" w:rsidR="001A76C9" w:rsidRDefault="001A76C9" w:rsidP="00347113">
      <w:pPr>
        <w:rPr>
          <w:sz w:val="32"/>
          <w:szCs w:val="32"/>
        </w:rPr>
      </w:pPr>
      <w:r>
        <w:rPr>
          <w:sz w:val="32"/>
          <w:szCs w:val="32"/>
        </w:rPr>
        <w:t xml:space="preserve">Adolescents who establish unhealthy habits run the risk of developing long-term health issues as well as short-term ones. Many young people consume high amounts of sugary drinks and fast food while engaging in limited physical activity. Only 45% of teenagers in the UK meet the recommended activity levels </w:t>
      </w:r>
      <w:r>
        <w:rPr>
          <w:sz w:val="32"/>
          <w:szCs w:val="32"/>
        </w:rPr>
        <w:lastRenderedPageBreak/>
        <w:t>(Sports England, 2021). Later in life, these habits and patterns will increase the risk of overweight, obesity, and chronic diseases.</w:t>
      </w:r>
    </w:p>
    <w:p w14:paraId="4457BB69" w14:textId="58854414" w:rsidR="001A76C9" w:rsidRDefault="001A76C9" w:rsidP="00347113">
      <w:pPr>
        <w:rPr>
          <w:sz w:val="32"/>
          <w:szCs w:val="32"/>
        </w:rPr>
      </w:pPr>
      <w:r>
        <w:rPr>
          <w:sz w:val="32"/>
          <w:szCs w:val="32"/>
        </w:rPr>
        <w:t xml:space="preserve">Mental health is an increasing concern during adolescence. In the UK, one in six young people experiences and is affected by mental health disorders like anxiety, depression, and/or eating disorders (Mental Health Foundation, 2023). These problems can affect and impact academic performance and social </w:t>
      </w:r>
      <w:proofErr w:type="gramStart"/>
      <w:r>
        <w:rPr>
          <w:sz w:val="32"/>
          <w:szCs w:val="32"/>
        </w:rPr>
        <w:t>development, and</w:t>
      </w:r>
      <w:proofErr w:type="gramEnd"/>
      <w:r>
        <w:rPr>
          <w:sz w:val="32"/>
          <w:szCs w:val="32"/>
        </w:rPr>
        <w:t xml:space="preserve"> may continue into adulthood. Factors such as family relationships, positive school environment, and peer support are crucial in maintaining good mental well-being.</w:t>
      </w:r>
    </w:p>
    <w:p w14:paraId="4A21AB26" w14:textId="32F41479" w:rsidR="001A76C9" w:rsidRDefault="001A76C9" w:rsidP="00347113">
      <w:pPr>
        <w:rPr>
          <w:sz w:val="32"/>
          <w:szCs w:val="32"/>
        </w:rPr>
      </w:pPr>
      <w:r>
        <w:rPr>
          <w:sz w:val="32"/>
          <w:szCs w:val="32"/>
        </w:rPr>
        <w:t xml:space="preserve">Adolescence is also a time when substance use often begins. Early exposure to tobacco, alcohol or drugs can lead to serious long-term health problems such as addiction, liver damage, and mental illness. Preventive </w:t>
      </w:r>
      <w:r w:rsidRPr="001A76C9">
        <w:rPr>
          <w:sz w:val="32"/>
          <w:szCs w:val="32"/>
        </w:rPr>
        <w:t>measures, such as parental guidance, health education, and supportive school programs, can have</w:t>
      </w:r>
      <w:r>
        <w:rPr>
          <w:sz w:val="32"/>
          <w:szCs w:val="32"/>
        </w:rPr>
        <w:t xml:space="preserve"> a powerful impact across the life course.</w:t>
      </w:r>
    </w:p>
    <w:p w14:paraId="7456397E" w14:textId="77777777" w:rsidR="001A76C9" w:rsidRDefault="001A76C9" w:rsidP="00347113">
      <w:pPr>
        <w:rPr>
          <w:sz w:val="32"/>
          <w:szCs w:val="32"/>
        </w:rPr>
      </w:pPr>
    </w:p>
    <w:p w14:paraId="49E7C5A1" w14:textId="77777777" w:rsidR="001A76C9" w:rsidRDefault="001A76C9" w:rsidP="00347113">
      <w:pPr>
        <w:rPr>
          <w:b/>
          <w:bCs/>
          <w:sz w:val="32"/>
          <w:szCs w:val="32"/>
          <w:u w:val="single"/>
        </w:rPr>
      </w:pPr>
      <w:r>
        <w:rPr>
          <w:sz w:val="32"/>
          <w:szCs w:val="32"/>
        </w:rPr>
        <w:t xml:space="preserve"> </w:t>
      </w:r>
      <w:r w:rsidRPr="001A76C9">
        <w:rPr>
          <w:b/>
          <w:bCs/>
          <w:sz w:val="32"/>
          <w:szCs w:val="32"/>
          <w:u w:val="single"/>
        </w:rPr>
        <w:t>2.3 adulthood</w:t>
      </w:r>
    </w:p>
    <w:p w14:paraId="06A7FD80" w14:textId="17CC3C01" w:rsidR="001A76C9" w:rsidRDefault="001A76C9" w:rsidP="00347113">
      <w:pPr>
        <w:rPr>
          <w:sz w:val="32"/>
          <w:szCs w:val="32"/>
        </w:rPr>
      </w:pPr>
      <w:r w:rsidRPr="001A76C9">
        <w:rPr>
          <w:sz w:val="32"/>
          <w:szCs w:val="32"/>
        </w:rPr>
        <w:t>Adulthood is typically when long-term lifestyle patterns are firmly established. This</w:t>
      </w:r>
      <w:r>
        <w:rPr>
          <w:sz w:val="32"/>
          <w:szCs w:val="32"/>
        </w:rPr>
        <w:t xml:space="preserve"> stage in life is characterised by significant life events, such as starting a career, becoming a parent, or caring for others. These can shape health behaviours and stress levels.  Choices related to diet, physical activity, alcohol consumption, and mental health during this time play a crucial role and have a strong influence on the risk of chronic disease later in life.</w:t>
      </w:r>
    </w:p>
    <w:p w14:paraId="31EB6E2A" w14:textId="357D5204" w:rsidR="001A76C9" w:rsidRDefault="001A76C9" w:rsidP="00347113">
      <w:pPr>
        <w:rPr>
          <w:sz w:val="32"/>
          <w:szCs w:val="32"/>
        </w:rPr>
      </w:pPr>
      <w:r>
        <w:rPr>
          <w:sz w:val="32"/>
          <w:szCs w:val="32"/>
        </w:rPr>
        <w:t xml:space="preserve">Adults </w:t>
      </w:r>
      <w:r w:rsidRPr="001A76C9">
        <w:rPr>
          <w:sz w:val="32"/>
          <w:szCs w:val="32"/>
        </w:rPr>
        <w:t>often juggle multiple responsibilities, which can make it challenging</w:t>
      </w:r>
      <w:r>
        <w:rPr>
          <w:sz w:val="32"/>
          <w:szCs w:val="32"/>
        </w:rPr>
        <w:t xml:space="preserve"> to maintain healthy habits: desk-based jobs and poor sleep. Processed foods and lack of exercise contribute to rising </w:t>
      </w:r>
      <w:r>
        <w:rPr>
          <w:sz w:val="32"/>
          <w:szCs w:val="32"/>
        </w:rPr>
        <w:lastRenderedPageBreak/>
        <w:t>levels of non-communicable diseases such as cardiovascular diseases (heart diseases), Type 2 diabetes and some cancers (World Health Organisation, 2022). mental health can also suffer due to long work hours, financial stress and limited social support. Chronic stress may lead to higher cortisol levels, a weakened immune system and faster ageing (McEwen, 2006).</w:t>
      </w:r>
    </w:p>
    <w:p w14:paraId="37227A10" w14:textId="21DD9F29" w:rsidR="001A76C9" w:rsidRDefault="001A76C9" w:rsidP="00347113">
      <w:pPr>
        <w:rPr>
          <w:sz w:val="32"/>
          <w:szCs w:val="32"/>
        </w:rPr>
      </w:pPr>
      <w:r>
        <w:rPr>
          <w:sz w:val="32"/>
          <w:szCs w:val="32"/>
        </w:rPr>
        <w:t>Health inequalities often become more visible in adulthood, for example, those from lower-income backgrounds are more likely to work irregular or physically demanding jobs, have less access to healthy foods or safe places to exercise and face greater financial pressure. These social factors lead to growing gaps in health outcomes.</w:t>
      </w:r>
    </w:p>
    <w:p w14:paraId="644F0819" w14:textId="282DF2D8" w:rsidR="001A76C9" w:rsidRDefault="001A76C9" w:rsidP="00347113">
      <w:pPr>
        <w:rPr>
          <w:sz w:val="32"/>
          <w:szCs w:val="32"/>
        </w:rPr>
      </w:pPr>
      <w:r>
        <w:rPr>
          <w:sz w:val="32"/>
          <w:szCs w:val="32"/>
        </w:rPr>
        <w:t>However, despite these challenges, adulthood also presents opportunities for positive change. Preventive behaviours, such as attending regular check-ups, quitting smoking, increasing physical activity, and staying active, can significantly reduce disease risk. Public health campaigns and workplace wellness programs can support healthier lifestyles.</w:t>
      </w:r>
    </w:p>
    <w:p w14:paraId="105AB392" w14:textId="77777777" w:rsidR="001A76C9" w:rsidRDefault="001A76C9" w:rsidP="00347113">
      <w:pPr>
        <w:rPr>
          <w:sz w:val="32"/>
          <w:szCs w:val="32"/>
        </w:rPr>
      </w:pPr>
    </w:p>
    <w:p w14:paraId="083C9126" w14:textId="4822BBB9" w:rsidR="001A76C9" w:rsidRDefault="001A76C9" w:rsidP="00347113">
      <w:pPr>
        <w:rPr>
          <w:b/>
          <w:bCs/>
          <w:sz w:val="32"/>
          <w:szCs w:val="32"/>
          <w:u w:val="single"/>
        </w:rPr>
      </w:pPr>
      <w:r w:rsidRPr="001A76C9">
        <w:rPr>
          <w:b/>
          <w:bCs/>
          <w:sz w:val="32"/>
          <w:szCs w:val="32"/>
          <w:u w:val="single"/>
        </w:rPr>
        <w:t>2.4 Older Adulthood</w:t>
      </w:r>
    </w:p>
    <w:p w14:paraId="251F070E" w14:textId="0E0D9F23" w:rsidR="001A76C9" w:rsidRDefault="001A76C9" w:rsidP="00347113">
      <w:pPr>
        <w:rPr>
          <w:sz w:val="32"/>
          <w:szCs w:val="32"/>
        </w:rPr>
      </w:pPr>
      <w:r>
        <w:rPr>
          <w:sz w:val="32"/>
          <w:szCs w:val="32"/>
        </w:rPr>
        <w:t>The effects of lifestyle choices made earlier in life become most apparent in older adulthood. A natural decline in physical strength, bone density, cognitive function and immune function often marks this stage. However, people who have maintained healthy habits throughout their lives are more likely to enjoy “healthy ageing”, staying independent, mentally alert and socially connected.</w:t>
      </w:r>
    </w:p>
    <w:p w14:paraId="201AB97F" w14:textId="565F75B9" w:rsidR="001A76C9" w:rsidRDefault="001A76C9" w:rsidP="00347113">
      <w:pPr>
        <w:rPr>
          <w:sz w:val="32"/>
          <w:szCs w:val="32"/>
        </w:rPr>
      </w:pPr>
      <w:r>
        <w:rPr>
          <w:sz w:val="32"/>
          <w:szCs w:val="32"/>
        </w:rPr>
        <w:lastRenderedPageBreak/>
        <w:t>Regular physical activity and staying physically active help older adults improve mobility, balance and cardiovascular health, reducing the risk of falls and hospitalisation. A nutrient-rich diet supports bone health and prevents malnutrition, which is common in later years. Staying socially connected and continuing to learn can also help reduce the risk of cognitive decline and dementia (Livingston et al., 2020).</w:t>
      </w:r>
    </w:p>
    <w:p w14:paraId="60D49FD7" w14:textId="6DE2A7E7" w:rsidR="001A76C9" w:rsidRDefault="001A76C9" w:rsidP="00347113">
      <w:pPr>
        <w:rPr>
          <w:sz w:val="32"/>
          <w:szCs w:val="32"/>
        </w:rPr>
      </w:pPr>
      <w:r>
        <w:rPr>
          <w:sz w:val="32"/>
          <w:szCs w:val="32"/>
        </w:rPr>
        <w:t xml:space="preserve">However, ageing is not experienced equally, and not everyone experiences ageing in the same way. Individuals from disadvantaged backgrounds, or those who experienced lifelong stress and poor health behaviours, are more likely to suffer from multiple illnesses, disabilities and social isolation. Limited access to healthcare, safe </w:t>
      </w:r>
      <w:r w:rsidRPr="001A76C9">
        <w:rPr>
          <w:sz w:val="32"/>
          <w:szCs w:val="32"/>
        </w:rPr>
        <w:t>transportation, and suitable housing often intensifies and exacerbates challenges in old age. To support wellbeing in later life, it is essential to have policies that promote age-friendly communities, offer support networks,</w:t>
      </w:r>
      <w:r>
        <w:rPr>
          <w:sz w:val="32"/>
          <w:szCs w:val="32"/>
        </w:rPr>
        <w:t xml:space="preserve"> and ensure access to necessary health services.</w:t>
      </w:r>
    </w:p>
    <w:p w14:paraId="50DC665F" w14:textId="77777777" w:rsidR="001A76C9" w:rsidRDefault="001A76C9" w:rsidP="00347113">
      <w:pPr>
        <w:rPr>
          <w:sz w:val="32"/>
          <w:szCs w:val="32"/>
        </w:rPr>
      </w:pPr>
    </w:p>
    <w:p w14:paraId="2C249DCD" w14:textId="5804F29D" w:rsidR="001A76C9" w:rsidRDefault="001A76C9" w:rsidP="00347113">
      <w:pPr>
        <w:rPr>
          <w:b/>
          <w:bCs/>
          <w:sz w:val="32"/>
          <w:szCs w:val="32"/>
          <w:u w:val="single"/>
        </w:rPr>
      </w:pPr>
      <w:r w:rsidRPr="001A76C9">
        <w:rPr>
          <w:b/>
          <w:bCs/>
          <w:sz w:val="32"/>
          <w:szCs w:val="32"/>
          <w:u w:val="single"/>
        </w:rPr>
        <w:t>2.5 social determinants of health: a lifelong influence</w:t>
      </w:r>
    </w:p>
    <w:p w14:paraId="221C0FFE" w14:textId="79675338" w:rsidR="001A76C9" w:rsidRPr="001A76C9" w:rsidRDefault="001A76C9" w:rsidP="001A76C9">
      <w:pPr>
        <w:rPr>
          <w:sz w:val="32"/>
          <w:szCs w:val="32"/>
        </w:rPr>
      </w:pPr>
      <w:r w:rsidRPr="001A76C9">
        <w:rPr>
          <w:sz w:val="32"/>
          <w:szCs w:val="32"/>
        </w:rPr>
        <w:t>Health is shaped by social factors</w:t>
      </w:r>
      <w:r>
        <w:rPr>
          <w:sz w:val="32"/>
          <w:szCs w:val="32"/>
        </w:rPr>
        <w:t>,</w:t>
      </w:r>
      <w:r w:rsidRPr="001A76C9">
        <w:rPr>
          <w:sz w:val="32"/>
          <w:szCs w:val="32"/>
        </w:rPr>
        <w:t xml:space="preserve"> </w:t>
      </w:r>
      <w:r>
        <w:rPr>
          <w:sz w:val="32"/>
          <w:szCs w:val="32"/>
        </w:rPr>
        <w:t>including</w:t>
      </w:r>
      <w:r w:rsidRPr="001A76C9">
        <w:rPr>
          <w:sz w:val="32"/>
          <w:szCs w:val="32"/>
        </w:rPr>
        <w:t xml:space="preserve"> income, education, housing, </w:t>
      </w:r>
      <w:r>
        <w:rPr>
          <w:sz w:val="32"/>
          <w:szCs w:val="32"/>
        </w:rPr>
        <w:t>employment</w:t>
      </w:r>
      <w:r w:rsidRPr="001A76C9">
        <w:rPr>
          <w:sz w:val="32"/>
          <w:szCs w:val="32"/>
        </w:rPr>
        <w:t xml:space="preserve">, and access to healthcare. These </w:t>
      </w:r>
      <w:r>
        <w:rPr>
          <w:sz w:val="32"/>
          <w:szCs w:val="32"/>
        </w:rPr>
        <w:t xml:space="preserve">factors affect and influence a person’s </w:t>
      </w:r>
      <w:r w:rsidRPr="001A76C9">
        <w:rPr>
          <w:sz w:val="32"/>
          <w:szCs w:val="32"/>
        </w:rPr>
        <w:t xml:space="preserve">health throughout their lives, from early childhood to old age. People who grow up in poverty, attend poorly funded schools, or live in unsafe </w:t>
      </w:r>
      <w:r>
        <w:rPr>
          <w:sz w:val="32"/>
          <w:szCs w:val="32"/>
        </w:rPr>
        <w:t>area</w:t>
      </w:r>
      <w:r w:rsidRPr="001A76C9">
        <w:rPr>
          <w:sz w:val="32"/>
          <w:szCs w:val="32"/>
        </w:rPr>
        <w:t>s often face</w:t>
      </w:r>
      <w:r>
        <w:rPr>
          <w:sz w:val="32"/>
          <w:szCs w:val="32"/>
        </w:rPr>
        <w:t xml:space="preserve"> challenges</w:t>
      </w:r>
      <w:r w:rsidRPr="001A76C9">
        <w:rPr>
          <w:sz w:val="32"/>
          <w:szCs w:val="32"/>
        </w:rPr>
        <w:t xml:space="preserve"> to healthy living. These challenges can limit access to nutritious food, safe spaces for exercise, good jobs, and quality healthcare.</w:t>
      </w:r>
    </w:p>
    <w:p w14:paraId="299E3926" w14:textId="6D86F6BB" w:rsidR="001A76C9" w:rsidRPr="001A76C9" w:rsidRDefault="001A76C9" w:rsidP="001A76C9">
      <w:pPr>
        <w:rPr>
          <w:sz w:val="32"/>
          <w:szCs w:val="32"/>
        </w:rPr>
      </w:pPr>
      <w:r w:rsidRPr="001A76C9">
        <w:rPr>
          <w:sz w:val="32"/>
          <w:szCs w:val="32"/>
        </w:rPr>
        <w:t>Because of this, unhealthy behaviours may develop</w:t>
      </w:r>
      <w:r>
        <w:rPr>
          <w:sz w:val="32"/>
          <w:szCs w:val="32"/>
        </w:rPr>
        <w:t xml:space="preserve"> </w:t>
      </w:r>
      <w:r w:rsidRPr="001A76C9">
        <w:rPr>
          <w:sz w:val="32"/>
          <w:szCs w:val="32"/>
        </w:rPr>
        <w:t xml:space="preserve">not </w:t>
      </w:r>
      <w:r>
        <w:rPr>
          <w:sz w:val="32"/>
          <w:szCs w:val="32"/>
        </w:rPr>
        <w:t>due to</w:t>
      </w:r>
      <w:r w:rsidRPr="001A76C9">
        <w:rPr>
          <w:sz w:val="32"/>
          <w:szCs w:val="32"/>
        </w:rPr>
        <w:t xml:space="preserve"> poor choices, but from limited options. The Marmot Review </w:t>
      </w:r>
      <w:r w:rsidRPr="001A76C9">
        <w:rPr>
          <w:sz w:val="32"/>
          <w:szCs w:val="32"/>
        </w:rPr>
        <w:lastRenderedPageBreak/>
        <w:t>(2010) advocates for the concept of “proportionate universalism,” which entails making health services accessible and available to all</w:t>
      </w:r>
      <w:r>
        <w:rPr>
          <w:sz w:val="32"/>
          <w:szCs w:val="32"/>
        </w:rPr>
        <w:t>.</w:t>
      </w:r>
      <w:r w:rsidRPr="001A76C9">
        <w:rPr>
          <w:sz w:val="32"/>
          <w:szCs w:val="32"/>
        </w:rPr>
        <w:t xml:space="preserve"> </w:t>
      </w:r>
      <w:r>
        <w:rPr>
          <w:sz w:val="32"/>
          <w:szCs w:val="32"/>
        </w:rPr>
        <w:t>Still,</w:t>
      </w:r>
      <w:r w:rsidRPr="001A76C9">
        <w:rPr>
          <w:sz w:val="32"/>
          <w:szCs w:val="32"/>
        </w:rPr>
        <w:t xml:space="preserve"> </w:t>
      </w:r>
      <w:r>
        <w:rPr>
          <w:sz w:val="32"/>
          <w:szCs w:val="32"/>
        </w:rPr>
        <w:t>the level does not adjust</w:t>
      </w:r>
      <w:r w:rsidRPr="001A76C9">
        <w:rPr>
          <w:sz w:val="32"/>
          <w:szCs w:val="32"/>
        </w:rPr>
        <w:t xml:space="preserve"> in strength depending on people’s needs.</w:t>
      </w:r>
    </w:p>
    <w:p w14:paraId="36033149" w14:textId="5D8B481E" w:rsidR="001A76C9" w:rsidRPr="001A76C9" w:rsidRDefault="001A76C9" w:rsidP="001A76C9">
      <w:pPr>
        <w:rPr>
          <w:sz w:val="32"/>
          <w:szCs w:val="32"/>
        </w:rPr>
      </w:pPr>
      <w:r w:rsidRPr="001A76C9">
        <w:rPr>
          <w:sz w:val="32"/>
          <w:szCs w:val="32"/>
        </w:rPr>
        <w:t xml:space="preserve">To reduce health inequalities, </w:t>
      </w:r>
      <w:r>
        <w:rPr>
          <w:sz w:val="32"/>
          <w:szCs w:val="32"/>
        </w:rPr>
        <w:t>it’s essential to enhance support in early childhood</w:t>
      </w:r>
      <w:r w:rsidRPr="001A76C9">
        <w:rPr>
          <w:sz w:val="32"/>
          <w:szCs w:val="32"/>
        </w:rPr>
        <w:t xml:space="preserve">, education, </w:t>
      </w:r>
      <w:r>
        <w:rPr>
          <w:sz w:val="32"/>
          <w:szCs w:val="32"/>
        </w:rPr>
        <w:t>employment</w:t>
      </w:r>
      <w:r w:rsidRPr="001A76C9">
        <w:rPr>
          <w:sz w:val="32"/>
          <w:szCs w:val="32"/>
        </w:rPr>
        <w:t xml:space="preserve">, and housing. The life course approach reminds us that good health depends not just on </w:t>
      </w:r>
      <w:r>
        <w:rPr>
          <w:sz w:val="32"/>
          <w:szCs w:val="32"/>
        </w:rPr>
        <w:t>personal choice</w:t>
      </w:r>
      <w:r w:rsidRPr="001A76C9">
        <w:rPr>
          <w:sz w:val="32"/>
          <w:szCs w:val="32"/>
        </w:rPr>
        <w:t xml:space="preserve">, but also on changing the systems and environments </w:t>
      </w:r>
      <w:r>
        <w:rPr>
          <w:sz w:val="32"/>
          <w:szCs w:val="32"/>
        </w:rPr>
        <w:t xml:space="preserve">in which </w:t>
      </w:r>
      <w:r w:rsidRPr="001A76C9">
        <w:rPr>
          <w:sz w:val="32"/>
          <w:szCs w:val="32"/>
        </w:rPr>
        <w:t>people live.</w:t>
      </w:r>
    </w:p>
    <w:p w14:paraId="42308331" w14:textId="33868620" w:rsidR="001A76C9" w:rsidRDefault="001A76C9" w:rsidP="00347113">
      <w:pPr>
        <w:rPr>
          <w:sz w:val="32"/>
          <w:szCs w:val="32"/>
        </w:rPr>
      </w:pPr>
    </w:p>
    <w:p w14:paraId="3C6D2705" w14:textId="0189507A" w:rsidR="001A76C9" w:rsidRDefault="001A76C9" w:rsidP="00347113">
      <w:pPr>
        <w:rPr>
          <w:b/>
          <w:bCs/>
          <w:sz w:val="32"/>
          <w:szCs w:val="32"/>
          <w:u w:val="single"/>
        </w:rPr>
      </w:pPr>
      <w:r w:rsidRPr="001A76C9">
        <w:rPr>
          <w:b/>
          <w:bCs/>
          <w:sz w:val="32"/>
          <w:szCs w:val="32"/>
          <w:u w:val="single"/>
        </w:rPr>
        <w:t>conclusion</w:t>
      </w:r>
    </w:p>
    <w:p w14:paraId="31E24933" w14:textId="75B12D14" w:rsidR="001A76C9" w:rsidRDefault="001A76C9" w:rsidP="00347113">
      <w:pPr>
        <w:rPr>
          <w:sz w:val="32"/>
          <w:szCs w:val="32"/>
        </w:rPr>
      </w:pPr>
      <w:r>
        <w:rPr>
          <w:sz w:val="32"/>
          <w:szCs w:val="32"/>
        </w:rPr>
        <w:t>The life course approach offers a valuable framework for understanding how lifestyle choices at various life stages impact long-term health and well-being. From conception to old age, each life stage presents both development opportunities and risks. Habits related to nutrition, exercise, mental health and substance use are shaped not just by biology but also by socioeconomic conditions.</w:t>
      </w:r>
    </w:p>
    <w:p w14:paraId="28AE5A87" w14:textId="625FC978" w:rsidR="001A76C9" w:rsidRDefault="001A76C9" w:rsidP="00347113">
      <w:pPr>
        <w:rPr>
          <w:sz w:val="32"/>
          <w:szCs w:val="32"/>
        </w:rPr>
      </w:pPr>
      <w:r w:rsidRPr="001A76C9">
        <w:rPr>
          <w:sz w:val="32"/>
          <w:szCs w:val="32"/>
        </w:rPr>
        <w:t xml:space="preserve">These behaviours develop within </w:t>
      </w:r>
      <w:r>
        <w:rPr>
          <w:sz w:val="32"/>
          <w:szCs w:val="32"/>
        </w:rPr>
        <w:t>wider</w:t>
      </w:r>
      <w:r w:rsidRPr="001A76C9">
        <w:rPr>
          <w:sz w:val="32"/>
          <w:szCs w:val="32"/>
        </w:rPr>
        <w:t xml:space="preserve"> systems. Social determinants</w:t>
      </w:r>
      <w:r>
        <w:rPr>
          <w:sz w:val="32"/>
          <w:szCs w:val="32"/>
        </w:rPr>
        <w:t>, s</w:t>
      </w:r>
      <w:r w:rsidRPr="001A76C9">
        <w:rPr>
          <w:sz w:val="32"/>
          <w:szCs w:val="32"/>
        </w:rPr>
        <w:t>uch as income, education, housing, and access to services</w:t>
      </w:r>
      <w:r>
        <w:rPr>
          <w:sz w:val="32"/>
          <w:szCs w:val="32"/>
        </w:rPr>
        <w:t xml:space="preserve">, </w:t>
      </w:r>
      <w:r w:rsidRPr="001A76C9">
        <w:rPr>
          <w:sz w:val="32"/>
          <w:szCs w:val="32"/>
        </w:rPr>
        <w:t xml:space="preserve">either enable or limit the ability to live </w:t>
      </w:r>
      <w:r>
        <w:rPr>
          <w:sz w:val="32"/>
          <w:szCs w:val="32"/>
        </w:rPr>
        <w:t>a healthy life</w:t>
      </w:r>
      <w:r w:rsidRPr="001A76C9">
        <w:rPr>
          <w:sz w:val="32"/>
          <w:szCs w:val="32"/>
        </w:rPr>
        <w:t xml:space="preserve">. Health inequalities often stem from long-standing systemic disadvantage, rather than poor personal choices. </w:t>
      </w:r>
    </w:p>
    <w:p w14:paraId="4809727E" w14:textId="60BBBE2C" w:rsidR="00347113" w:rsidRPr="001A76C9" w:rsidRDefault="001A76C9" w:rsidP="00347113">
      <w:pPr>
        <w:rPr>
          <w:sz w:val="32"/>
          <w:szCs w:val="32"/>
        </w:rPr>
      </w:pPr>
      <w:r w:rsidRPr="001A76C9">
        <w:rPr>
          <w:sz w:val="32"/>
          <w:szCs w:val="32"/>
        </w:rPr>
        <w:t>Improving health across the life span requires more than encouraging individuals to change their behaviours. It demands investment in equitable, community-wide strategies</w:t>
      </w:r>
      <w:r>
        <w:rPr>
          <w:sz w:val="32"/>
          <w:szCs w:val="32"/>
        </w:rPr>
        <w:t xml:space="preserve"> </w:t>
      </w:r>
      <w:r w:rsidRPr="001A76C9">
        <w:rPr>
          <w:sz w:val="32"/>
          <w:szCs w:val="32"/>
        </w:rPr>
        <w:t xml:space="preserve">nurturing early environments, inclusive education, supportive workplaces, and age-friendly policies. A life course-based public health </w:t>
      </w:r>
      <w:r w:rsidRPr="001A76C9">
        <w:rPr>
          <w:sz w:val="32"/>
          <w:szCs w:val="32"/>
        </w:rPr>
        <w:lastRenderedPageBreak/>
        <w:t>approach recognises that both individual choices and structural conditions must be addressed to improve overall health outcomes.</w:t>
      </w:r>
    </w:p>
    <w:p w14:paraId="48A7DFE9" w14:textId="77777777" w:rsidR="00347113" w:rsidRDefault="00347113">
      <w:pPr>
        <w:rPr>
          <w:b/>
          <w:bCs/>
          <w:sz w:val="32"/>
          <w:szCs w:val="32"/>
          <w:u w:val="single"/>
        </w:rPr>
      </w:pPr>
      <w:r>
        <w:rPr>
          <w:b/>
          <w:bCs/>
          <w:sz w:val="32"/>
          <w:szCs w:val="32"/>
          <w:u w:val="single"/>
        </w:rPr>
        <w:br w:type="page"/>
      </w:r>
    </w:p>
    <w:p w14:paraId="4365FAA5" w14:textId="2FC948E0" w:rsidR="00347113" w:rsidRDefault="00347113" w:rsidP="00347113">
      <w:pPr>
        <w:rPr>
          <w:b/>
          <w:bCs/>
          <w:sz w:val="32"/>
          <w:szCs w:val="32"/>
          <w:u w:val="single"/>
        </w:rPr>
      </w:pPr>
      <w:r>
        <w:rPr>
          <w:b/>
          <w:bCs/>
          <w:sz w:val="32"/>
          <w:szCs w:val="32"/>
          <w:u w:val="single"/>
        </w:rPr>
        <w:lastRenderedPageBreak/>
        <w:t>references</w:t>
      </w:r>
    </w:p>
    <w:p w14:paraId="4C7018AD" w14:textId="6029AFDC" w:rsidR="001A76C9" w:rsidRPr="001A76C9" w:rsidRDefault="001A76C9" w:rsidP="001A76C9">
      <w:pPr>
        <w:pStyle w:val="ListParagraph"/>
        <w:numPr>
          <w:ilvl w:val="0"/>
          <w:numId w:val="2"/>
        </w:numPr>
        <w:rPr>
          <w:sz w:val="32"/>
          <w:szCs w:val="32"/>
        </w:rPr>
      </w:pPr>
      <w:r w:rsidRPr="001A76C9">
        <w:rPr>
          <w:sz w:val="32"/>
          <w:szCs w:val="32"/>
        </w:rPr>
        <w:t>Barker, D.J. (1998). </w:t>
      </w:r>
      <w:r w:rsidRPr="001A76C9">
        <w:rPr>
          <w:i/>
          <w:iCs/>
          <w:sz w:val="32"/>
          <w:szCs w:val="32"/>
        </w:rPr>
        <w:t xml:space="preserve">Mothers, </w:t>
      </w:r>
      <w:r>
        <w:rPr>
          <w:i/>
          <w:iCs/>
          <w:sz w:val="32"/>
          <w:szCs w:val="32"/>
        </w:rPr>
        <w:t>Babies,</w:t>
      </w:r>
      <w:r w:rsidRPr="001A76C9">
        <w:rPr>
          <w:i/>
          <w:iCs/>
          <w:sz w:val="32"/>
          <w:szCs w:val="32"/>
        </w:rPr>
        <w:t xml:space="preserve"> and </w:t>
      </w:r>
      <w:proofErr w:type="spellStart"/>
      <w:r>
        <w:rPr>
          <w:i/>
          <w:iCs/>
          <w:sz w:val="32"/>
          <w:szCs w:val="32"/>
        </w:rPr>
        <w:t>LH</w:t>
      </w:r>
      <w:r w:rsidRPr="001A76C9">
        <w:rPr>
          <w:i/>
          <w:iCs/>
          <w:sz w:val="32"/>
          <w:szCs w:val="32"/>
        </w:rPr>
        <w:t>ealth</w:t>
      </w:r>
      <w:proofErr w:type="spellEnd"/>
      <w:r w:rsidRPr="001A76C9">
        <w:rPr>
          <w:i/>
          <w:iCs/>
          <w:sz w:val="32"/>
          <w:szCs w:val="32"/>
        </w:rPr>
        <w:t xml:space="preserve"> in later </w:t>
      </w:r>
      <w:r>
        <w:rPr>
          <w:i/>
          <w:iCs/>
          <w:sz w:val="32"/>
          <w:szCs w:val="32"/>
        </w:rPr>
        <w:t>L</w:t>
      </w:r>
      <w:r w:rsidRPr="001A76C9">
        <w:rPr>
          <w:i/>
          <w:iCs/>
          <w:sz w:val="32"/>
          <w:szCs w:val="32"/>
        </w:rPr>
        <w:t>ife</w:t>
      </w:r>
      <w:r w:rsidRPr="001A76C9">
        <w:rPr>
          <w:sz w:val="32"/>
          <w:szCs w:val="32"/>
        </w:rPr>
        <w:t>. Churchill Livingstone.</w:t>
      </w:r>
      <w:r w:rsidRPr="001A76C9">
        <w:rPr>
          <w:rFonts w:ascii="Times New Roman" w:eastAsia="Times New Roman" w:hAnsi="Times New Roman" w:cs="Times New Roman"/>
          <w:color w:val="000000"/>
          <w:kern w:val="0"/>
          <w:lang w:eastAsia="en-GB"/>
          <w14:ligatures w14:val="none"/>
        </w:rPr>
        <w:t xml:space="preserve"> </w:t>
      </w:r>
    </w:p>
    <w:p w14:paraId="480FE771" w14:textId="4B2458D1" w:rsidR="001A76C9" w:rsidRPr="001A76C9" w:rsidRDefault="001A76C9" w:rsidP="001A76C9">
      <w:pPr>
        <w:pStyle w:val="ListParagraph"/>
        <w:numPr>
          <w:ilvl w:val="0"/>
          <w:numId w:val="2"/>
        </w:numPr>
        <w:rPr>
          <w:sz w:val="32"/>
          <w:szCs w:val="32"/>
        </w:rPr>
      </w:pPr>
      <w:r w:rsidRPr="001A76C9">
        <w:rPr>
          <w:sz w:val="32"/>
          <w:szCs w:val="32"/>
        </w:rPr>
        <w:t>Craigie, A. M. et al. (2011). Tracking of obesity-related behaviours from childhood to adulthood: A systematic review. </w:t>
      </w:r>
      <w:proofErr w:type="spellStart"/>
      <w:r w:rsidRPr="001A76C9">
        <w:rPr>
          <w:i/>
          <w:iCs/>
          <w:sz w:val="32"/>
          <w:szCs w:val="32"/>
        </w:rPr>
        <w:t>Maturitas</w:t>
      </w:r>
      <w:proofErr w:type="spellEnd"/>
      <w:r w:rsidRPr="001A76C9">
        <w:rPr>
          <w:sz w:val="32"/>
          <w:szCs w:val="32"/>
        </w:rPr>
        <w:t>, 70(3), 266–284.</w:t>
      </w:r>
    </w:p>
    <w:p w14:paraId="252EA38F" w14:textId="1AE6A762" w:rsidR="001A76C9" w:rsidRPr="001A76C9" w:rsidRDefault="001A76C9" w:rsidP="001A76C9">
      <w:pPr>
        <w:pStyle w:val="ListParagraph"/>
        <w:numPr>
          <w:ilvl w:val="0"/>
          <w:numId w:val="2"/>
        </w:numPr>
        <w:rPr>
          <w:sz w:val="32"/>
          <w:szCs w:val="32"/>
        </w:rPr>
      </w:pPr>
      <w:proofErr w:type="spellStart"/>
      <w:r w:rsidRPr="001A76C9">
        <w:rPr>
          <w:sz w:val="32"/>
          <w:szCs w:val="32"/>
        </w:rPr>
        <w:t>elitti</w:t>
      </w:r>
      <w:proofErr w:type="spellEnd"/>
      <w:r w:rsidRPr="001A76C9">
        <w:rPr>
          <w:sz w:val="32"/>
          <w:szCs w:val="32"/>
        </w:rPr>
        <w:t>, V. J. et al. (1998). Relationship of childhood abuse and household dysfunction to many of the leading causes of death in adults. </w:t>
      </w:r>
      <w:r w:rsidRPr="001A76C9">
        <w:rPr>
          <w:i/>
          <w:iCs/>
          <w:sz w:val="32"/>
          <w:szCs w:val="32"/>
        </w:rPr>
        <w:t>American Journal of Preventive Medicine</w:t>
      </w:r>
      <w:r w:rsidRPr="001A76C9">
        <w:rPr>
          <w:sz w:val="32"/>
          <w:szCs w:val="32"/>
        </w:rPr>
        <w:t>, 14(4), 245–258.</w:t>
      </w:r>
    </w:p>
    <w:p w14:paraId="566BCFBE" w14:textId="211343DE" w:rsidR="001A76C9" w:rsidRDefault="001A76C9" w:rsidP="001A76C9">
      <w:pPr>
        <w:pStyle w:val="ListParagraph"/>
        <w:numPr>
          <w:ilvl w:val="0"/>
          <w:numId w:val="2"/>
        </w:numPr>
        <w:rPr>
          <w:sz w:val="32"/>
          <w:szCs w:val="32"/>
        </w:rPr>
      </w:pPr>
      <w:r w:rsidRPr="001A76C9">
        <w:rPr>
          <w:sz w:val="32"/>
          <w:szCs w:val="32"/>
        </w:rPr>
        <w:t>Marmot, M. (2010). </w:t>
      </w:r>
      <w:r w:rsidRPr="001A76C9">
        <w:rPr>
          <w:i/>
          <w:iCs/>
          <w:sz w:val="32"/>
          <w:szCs w:val="32"/>
        </w:rPr>
        <w:t>Fair Society, Healthy Lives: The Marmot Review</w:t>
      </w:r>
      <w:r w:rsidRPr="001A76C9">
        <w:rPr>
          <w:sz w:val="32"/>
          <w:szCs w:val="32"/>
        </w:rPr>
        <w:t>. The Strategic Review of Health Inequalities in England post-2010.</w:t>
      </w:r>
    </w:p>
    <w:p w14:paraId="44138BDC" w14:textId="0138DF7A" w:rsidR="001A76C9" w:rsidRDefault="001A76C9" w:rsidP="001A76C9">
      <w:pPr>
        <w:pStyle w:val="ListParagraph"/>
        <w:numPr>
          <w:ilvl w:val="0"/>
          <w:numId w:val="2"/>
        </w:numPr>
        <w:rPr>
          <w:sz w:val="32"/>
          <w:szCs w:val="32"/>
        </w:rPr>
      </w:pPr>
      <w:r w:rsidRPr="001A76C9">
        <w:rPr>
          <w:sz w:val="32"/>
          <w:szCs w:val="32"/>
        </w:rPr>
        <w:t>Marmot, M. (2020). </w:t>
      </w:r>
      <w:r w:rsidRPr="001A76C9">
        <w:rPr>
          <w:i/>
          <w:iCs/>
          <w:sz w:val="32"/>
          <w:szCs w:val="32"/>
        </w:rPr>
        <w:t>Build Back Fairer: The COVID-19 Marmot Review</w:t>
      </w:r>
      <w:r w:rsidRPr="001A76C9">
        <w:rPr>
          <w:sz w:val="32"/>
          <w:szCs w:val="32"/>
        </w:rPr>
        <w:t>. UCL Institute of Health Equity.</w:t>
      </w:r>
    </w:p>
    <w:p w14:paraId="7CF452EF" w14:textId="51294C3A" w:rsidR="001A76C9" w:rsidRDefault="001A76C9" w:rsidP="001A76C9">
      <w:pPr>
        <w:pStyle w:val="ListParagraph"/>
        <w:numPr>
          <w:ilvl w:val="0"/>
          <w:numId w:val="2"/>
        </w:numPr>
        <w:rPr>
          <w:sz w:val="32"/>
          <w:szCs w:val="32"/>
        </w:rPr>
      </w:pPr>
      <w:r w:rsidRPr="001A76C9">
        <w:rPr>
          <w:sz w:val="32"/>
          <w:szCs w:val="32"/>
        </w:rPr>
        <w:t>Mental Health Foundation. (2023). </w:t>
      </w:r>
      <w:r w:rsidRPr="001A76C9">
        <w:rPr>
          <w:i/>
          <w:iCs/>
          <w:sz w:val="32"/>
          <w:szCs w:val="32"/>
        </w:rPr>
        <w:t xml:space="preserve">Mental </w:t>
      </w:r>
      <w:r>
        <w:rPr>
          <w:i/>
          <w:iCs/>
          <w:sz w:val="32"/>
          <w:szCs w:val="32"/>
        </w:rPr>
        <w:t>H</w:t>
      </w:r>
      <w:r w:rsidRPr="001A76C9">
        <w:rPr>
          <w:i/>
          <w:iCs/>
          <w:sz w:val="32"/>
          <w:szCs w:val="32"/>
        </w:rPr>
        <w:t xml:space="preserve">ealth </w:t>
      </w:r>
      <w:r>
        <w:rPr>
          <w:i/>
          <w:iCs/>
          <w:sz w:val="32"/>
          <w:szCs w:val="32"/>
        </w:rPr>
        <w:t>S</w:t>
      </w:r>
      <w:r w:rsidRPr="001A76C9">
        <w:rPr>
          <w:i/>
          <w:iCs/>
          <w:sz w:val="32"/>
          <w:szCs w:val="32"/>
        </w:rPr>
        <w:t xml:space="preserve">tatistics: </w:t>
      </w:r>
      <w:r>
        <w:rPr>
          <w:i/>
          <w:iCs/>
          <w:sz w:val="32"/>
          <w:szCs w:val="32"/>
        </w:rPr>
        <w:t>C</w:t>
      </w:r>
      <w:r w:rsidRPr="001A76C9">
        <w:rPr>
          <w:i/>
          <w:iCs/>
          <w:sz w:val="32"/>
          <w:szCs w:val="32"/>
        </w:rPr>
        <w:t xml:space="preserve">hildren and </w:t>
      </w:r>
      <w:r>
        <w:rPr>
          <w:i/>
          <w:iCs/>
          <w:sz w:val="32"/>
          <w:szCs w:val="32"/>
        </w:rPr>
        <w:t>Y</w:t>
      </w:r>
      <w:r w:rsidRPr="001A76C9">
        <w:rPr>
          <w:i/>
          <w:iCs/>
          <w:sz w:val="32"/>
          <w:szCs w:val="32"/>
        </w:rPr>
        <w:t xml:space="preserve">oung </w:t>
      </w:r>
      <w:r>
        <w:rPr>
          <w:i/>
          <w:iCs/>
          <w:sz w:val="32"/>
          <w:szCs w:val="32"/>
        </w:rPr>
        <w:t>P</w:t>
      </w:r>
      <w:r w:rsidRPr="001A76C9">
        <w:rPr>
          <w:i/>
          <w:iCs/>
          <w:sz w:val="32"/>
          <w:szCs w:val="32"/>
        </w:rPr>
        <w:t>eople</w:t>
      </w:r>
      <w:r w:rsidRPr="001A76C9">
        <w:rPr>
          <w:sz w:val="32"/>
          <w:szCs w:val="32"/>
        </w:rPr>
        <w:t>. </w:t>
      </w:r>
      <w:hyperlink r:id="rId5" w:tgtFrame="_new" w:history="1">
        <w:r w:rsidRPr="001A76C9">
          <w:rPr>
            <w:rStyle w:val="Hyperlink"/>
            <w:sz w:val="32"/>
            <w:szCs w:val="32"/>
          </w:rPr>
          <w:t>https://www.mentalhealth.org</w:t>
        </w:r>
      </w:hyperlink>
    </w:p>
    <w:p w14:paraId="0411788F" w14:textId="0F4B8435" w:rsidR="001A76C9" w:rsidRDefault="001A76C9" w:rsidP="001A76C9">
      <w:pPr>
        <w:pStyle w:val="ListParagraph"/>
        <w:numPr>
          <w:ilvl w:val="0"/>
          <w:numId w:val="2"/>
        </w:numPr>
        <w:rPr>
          <w:sz w:val="32"/>
          <w:szCs w:val="32"/>
        </w:rPr>
      </w:pPr>
      <w:r w:rsidRPr="001A76C9">
        <w:rPr>
          <w:sz w:val="32"/>
          <w:szCs w:val="32"/>
        </w:rPr>
        <w:t>NHS Digital. (2022). </w:t>
      </w:r>
      <w:r w:rsidRPr="001A76C9">
        <w:rPr>
          <w:i/>
          <w:iCs/>
          <w:sz w:val="32"/>
          <w:szCs w:val="32"/>
        </w:rPr>
        <w:t>Health Survey for England 2021</w:t>
      </w:r>
      <w:r w:rsidRPr="001A76C9">
        <w:rPr>
          <w:sz w:val="32"/>
          <w:szCs w:val="32"/>
        </w:rPr>
        <w:t>.</w:t>
      </w:r>
    </w:p>
    <w:p w14:paraId="7AFFE653" w14:textId="1543A8A0" w:rsidR="001A76C9" w:rsidRDefault="001A76C9" w:rsidP="001A76C9">
      <w:pPr>
        <w:pStyle w:val="ListParagraph"/>
        <w:numPr>
          <w:ilvl w:val="0"/>
          <w:numId w:val="2"/>
        </w:numPr>
        <w:rPr>
          <w:sz w:val="32"/>
          <w:szCs w:val="32"/>
        </w:rPr>
      </w:pPr>
      <w:r w:rsidRPr="001A76C9">
        <w:rPr>
          <w:sz w:val="32"/>
          <w:szCs w:val="32"/>
        </w:rPr>
        <w:t>Public Health England. (2021). </w:t>
      </w:r>
      <w:r w:rsidRPr="001A76C9">
        <w:rPr>
          <w:i/>
          <w:iCs/>
          <w:sz w:val="32"/>
          <w:szCs w:val="32"/>
        </w:rPr>
        <w:t>Childhood obesity: applying All Our Health</w:t>
      </w:r>
      <w:r w:rsidRPr="001A76C9">
        <w:rPr>
          <w:sz w:val="32"/>
          <w:szCs w:val="32"/>
        </w:rPr>
        <w:t>.</w:t>
      </w:r>
    </w:p>
    <w:p w14:paraId="0DFE328B" w14:textId="4FAA36F4" w:rsidR="001A76C9" w:rsidRPr="001A76C9" w:rsidRDefault="001A76C9" w:rsidP="001A76C9">
      <w:pPr>
        <w:pStyle w:val="ListParagraph"/>
        <w:numPr>
          <w:ilvl w:val="0"/>
          <w:numId w:val="2"/>
        </w:numPr>
        <w:rPr>
          <w:sz w:val="32"/>
          <w:szCs w:val="32"/>
        </w:rPr>
      </w:pPr>
      <w:r w:rsidRPr="001A76C9">
        <w:rPr>
          <w:sz w:val="32"/>
          <w:szCs w:val="32"/>
        </w:rPr>
        <w:t>Sport England. (2021). </w:t>
      </w:r>
      <w:r w:rsidRPr="001A76C9">
        <w:rPr>
          <w:i/>
          <w:iCs/>
          <w:sz w:val="32"/>
          <w:szCs w:val="32"/>
        </w:rPr>
        <w:t>Active Lives Children and Young People Survey</w:t>
      </w:r>
      <w:r w:rsidRPr="001A76C9">
        <w:rPr>
          <w:sz w:val="32"/>
          <w:szCs w:val="32"/>
        </w:rPr>
        <w:t>.</w:t>
      </w:r>
    </w:p>
    <w:p w14:paraId="361C681A" w14:textId="2E7C6AF5" w:rsidR="001A76C9" w:rsidRPr="001A76C9" w:rsidRDefault="001A76C9" w:rsidP="001A76C9">
      <w:pPr>
        <w:pStyle w:val="ListParagraph"/>
        <w:numPr>
          <w:ilvl w:val="0"/>
          <w:numId w:val="2"/>
        </w:numPr>
        <w:rPr>
          <w:sz w:val="32"/>
          <w:szCs w:val="32"/>
        </w:rPr>
      </w:pPr>
      <w:r w:rsidRPr="001A76C9">
        <w:rPr>
          <w:sz w:val="32"/>
          <w:szCs w:val="32"/>
        </w:rPr>
        <w:t>World Health Organi</w:t>
      </w:r>
      <w:r>
        <w:rPr>
          <w:sz w:val="32"/>
          <w:szCs w:val="32"/>
        </w:rPr>
        <w:t>s</w:t>
      </w:r>
      <w:r w:rsidRPr="001A76C9">
        <w:rPr>
          <w:sz w:val="32"/>
          <w:szCs w:val="32"/>
        </w:rPr>
        <w:t>ation (WHO). (2023). </w:t>
      </w:r>
      <w:r w:rsidRPr="001A76C9">
        <w:rPr>
          <w:i/>
          <w:iCs/>
          <w:sz w:val="32"/>
          <w:szCs w:val="32"/>
        </w:rPr>
        <w:t>Life course approach to health</w:t>
      </w:r>
      <w:r w:rsidRPr="001A76C9">
        <w:rPr>
          <w:sz w:val="32"/>
          <w:szCs w:val="32"/>
        </w:rPr>
        <w:t>. </w:t>
      </w:r>
      <w:hyperlink r:id="rId6" w:tgtFrame="_new" w:history="1">
        <w:r w:rsidRPr="001A76C9">
          <w:rPr>
            <w:rStyle w:val="Hyperlink"/>
            <w:sz w:val="32"/>
            <w:szCs w:val="32"/>
          </w:rPr>
          <w:t>https://www.who.int</w:t>
        </w:r>
      </w:hyperlink>
    </w:p>
    <w:p w14:paraId="1B30B1A9" w14:textId="77777777" w:rsidR="001A76C9" w:rsidRDefault="001A76C9" w:rsidP="001A76C9">
      <w:pPr>
        <w:pStyle w:val="ListParagraph"/>
        <w:rPr>
          <w:sz w:val="32"/>
          <w:szCs w:val="32"/>
        </w:rPr>
      </w:pPr>
    </w:p>
    <w:p w14:paraId="041EF52C" w14:textId="77777777" w:rsidR="001A76C9" w:rsidRPr="001A76C9" w:rsidRDefault="001A76C9" w:rsidP="001A76C9">
      <w:pPr>
        <w:pStyle w:val="ListParagraph"/>
        <w:rPr>
          <w:sz w:val="32"/>
          <w:szCs w:val="32"/>
        </w:rPr>
      </w:pPr>
    </w:p>
    <w:sectPr w:rsidR="001A76C9" w:rsidRPr="001A76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140E11"/>
    <w:multiLevelType w:val="multilevel"/>
    <w:tmpl w:val="A850A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DC12EF"/>
    <w:multiLevelType w:val="hybridMultilevel"/>
    <w:tmpl w:val="2F1A4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67751D"/>
    <w:multiLevelType w:val="hybridMultilevel"/>
    <w:tmpl w:val="2A8CAC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8143797">
    <w:abstractNumId w:val="1"/>
  </w:num>
  <w:num w:numId="2" w16cid:durableId="485516890">
    <w:abstractNumId w:val="2"/>
  </w:num>
  <w:num w:numId="3" w16cid:durableId="1324238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113"/>
    <w:rsid w:val="001A76C9"/>
    <w:rsid w:val="001E4A3A"/>
    <w:rsid w:val="0020417E"/>
    <w:rsid w:val="00347113"/>
    <w:rsid w:val="004312D1"/>
    <w:rsid w:val="00EB7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E9B11F"/>
  <w15:chartTrackingRefBased/>
  <w15:docId w15:val="{380E9C6E-DFF6-2741-81A0-95CCCBD3D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7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7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7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7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7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7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113"/>
    <w:rPr>
      <w:rFonts w:eastAsiaTheme="majorEastAsia" w:cstheme="majorBidi"/>
      <w:color w:val="272727" w:themeColor="text1" w:themeTint="D8"/>
    </w:rPr>
  </w:style>
  <w:style w:type="paragraph" w:styleId="Title">
    <w:name w:val="Title"/>
    <w:basedOn w:val="Normal"/>
    <w:next w:val="Normal"/>
    <w:link w:val="TitleChar"/>
    <w:uiPriority w:val="10"/>
    <w:qFormat/>
    <w:rsid w:val="00347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113"/>
    <w:pPr>
      <w:spacing w:before="160"/>
      <w:jc w:val="center"/>
    </w:pPr>
    <w:rPr>
      <w:i/>
      <w:iCs/>
      <w:color w:val="404040" w:themeColor="text1" w:themeTint="BF"/>
    </w:rPr>
  </w:style>
  <w:style w:type="character" w:customStyle="1" w:styleId="QuoteChar">
    <w:name w:val="Quote Char"/>
    <w:basedOn w:val="DefaultParagraphFont"/>
    <w:link w:val="Quote"/>
    <w:uiPriority w:val="29"/>
    <w:rsid w:val="00347113"/>
    <w:rPr>
      <w:i/>
      <w:iCs/>
      <w:color w:val="404040" w:themeColor="text1" w:themeTint="BF"/>
    </w:rPr>
  </w:style>
  <w:style w:type="paragraph" w:styleId="ListParagraph">
    <w:name w:val="List Paragraph"/>
    <w:basedOn w:val="Normal"/>
    <w:uiPriority w:val="34"/>
    <w:qFormat/>
    <w:rsid w:val="00347113"/>
    <w:pPr>
      <w:ind w:left="720"/>
      <w:contextualSpacing/>
    </w:pPr>
  </w:style>
  <w:style w:type="character" w:styleId="IntenseEmphasis">
    <w:name w:val="Intense Emphasis"/>
    <w:basedOn w:val="DefaultParagraphFont"/>
    <w:uiPriority w:val="21"/>
    <w:qFormat/>
    <w:rsid w:val="00347113"/>
    <w:rPr>
      <w:i/>
      <w:iCs/>
      <w:color w:val="0F4761" w:themeColor="accent1" w:themeShade="BF"/>
    </w:rPr>
  </w:style>
  <w:style w:type="paragraph" w:styleId="IntenseQuote">
    <w:name w:val="Intense Quote"/>
    <w:basedOn w:val="Normal"/>
    <w:next w:val="Normal"/>
    <w:link w:val="IntenseQuoteChar"/>
    <w:uiPriority w:val="30"/>
    <w:qFormat/>
    <w:rsid w:val="00347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113"/>
    <w:rPr>
      <w:i/>
      <w:iCs/>
      <w:color w:val="0F4761" w:themeColor="accent1" w:themeShade="BF"/>
    </w:rPr>
  </w:style>
  <w:style w:type="character" w:styleId="IntenseReference">
    <w:name w:val="Intense Reference"/>
    <w:basedOn w:val="DefaultParagraphFont"/>
    <w:uiPriority w:val="32"/>
    <w:qFormat/>
    <w:rsid w:val="00347113"/>
    <w:rPr>
      <w:b/>
      <w:bCs/>
      <w:smallCaps/>
      <w:color w:val="0F4761" w:themeColor="accent1" w:themeShade="BF"/>
      <w:spacing w:val="5"/>
    </w:rPr>
  </w:style>
  <w:style w:type="paragraph" w:styleId="NormalWeb">
    <w:name w:val="Normal (Web)"/>
    <w:basedOn w:val="Normal"/>
    <w:uiPriority w:val="99"/>
    <w:semiHidden/>
    <w:unhideWhenUsed/>
    <w:rsid w:val="001A76C9"/>
    <w:rPr>
      <w:rFonts w:ascii="Times New Roman" w:hAnsi="Times New Roman" w:cs="Times New Roman"/>
    </w:rPr>
  </w:style>
  <w:style w:type="character" w:styleId="Hyperlink">
    <w:name w:val="Hyperlink"/>
    <w:basedOn w:val="DefaultParagraphFont"/>
    <w:uiPriority w:val="99"/>
    <w:unhideWhenUsed/>
    <w:rsid w:val="001A76C9"/>
    <w:rPr>
      <w:color w:val="467886" w:themeColor="hyperlink"/>
      <w:u w:val="single"/>
    </w:rPr>
  </w:style>
  <w:style w:type="character" w:styleId="UnresolvedMention">
    <w:name w:val="Unresolved Mention"/>
    <w:basedOn w:val="DefaultParagraphFont"/>
    <w:uiPriority w:val="99"/>
    <w:semiHidden/>
    <w:unhideWhenUsed/>
    <w:rsid w:val="001A76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868746">
      <w:bodyDiv w:val="1"/>
      <w:marLeft w:val="0"/>
      <w:marRight w:val="0"/>
      <w:marTop w:val="0"/>
      <w:marBottom w:val="0"/>
      <w:divBdr>
        <w:top w:val="none" w:sz="0" w:space="0" w:color="auto"/>
        <w:left w:val="none" w:sz="0" w:space="0" w:color="auto"/>
        <w:bottom w:val="none" w:sz="0" w:space="0" w:color="auto"/>
        <w:right w:val="none" w:sz="0" w:space="0" w:color="auto"/>
      </w:divBdr>
    </w:div>
    <w:div w:id="244653927">
      <w:bodyDiv w:val="1"/>
      <w:marLeft w:val="0"/>
      <w:marRight w:val="0"/>
      <w:marTop w:val="0"/>
      <w:marBottom w:val="0"/>
      <w:divBdr>
        <w:top w:val="none" w:sz="0" w:space="0" w:color="auto"/>
        <w:left w:val="none" w:sz="0" w:space="0" w:color="auto"/>
        <w:bottom w:val="none" w:sz="0" w:space="0" w:color="auto"/>
        <w:right w:val="none" w:sz="0" w:space="0" w:color="auto"/>
      </w:divBdr>
    </w:div>
    <w:div w:id="275332501">
      <w:bodyDiv w:val="1"/>
      <w:marLeft w:val="0"/>
      <w:marRight w:val="0"/>
      <w:marTop w:val="0"/>
      <w:marBottom w:val="0"/>
      <w:divBdr>
        <w:top w:val="none" w:sz="0" w:space="0" w:color="auto"/>
        <w:left w:val="none" w:sz="0" w:space="0" w:color="auto"/>
        <w:bottom w:val="none" w:sz="0" w:space="0" w:color="auto"/>
        <w:right w:val="none" w:sz="0" w:space="0" w:color="auto"/>
      </w:divBdr>
    </w:div>
    <w:div w:id="275793311">
      <w:bodyDiv w:val="1"/>
      <w:marLeft w:val="0"/>
      <w:marRight w:val="0"/>
      <w:marTop w:val="0"/>
      <w:marBottom w:val="0"/>
      <w:divBdr>
        <w:top w:val="none" w:sz="0" w:space="0" w:color="auto"/>
        <w:left w:val="none" w:sz="0" w:space="0" w:color="auto"/>
        <w:bottom w:val="none" w:sz="0" w:space="0" w:color="auto"/>
        <w:right w:val="none" w:sz="0" w:space="0" w:color="auto"/>
      </w:divBdr>
    </w:div>
    <w:div w:id="358900693">
      <w:bodyDiv w:val="1"/>
      <w:marLeft w:val="0"/>
      <w:marRight w:val="0"/>
      <w:marTop w:val="0"/>
      <w:marBottom w:val="0"/>
      <w:divBdr>
        <w:top w:val="none" w:sz="0" w:space="0" w:color="auto"/>
        <w:left w:val="none" w:sz="0" w:space="0" w:color="auto"/>
        <w:bottom w:val="none" w:sz="0" w:space="0" w:color="auto"/>
        <w:right w:val="none" w:sz="0" w:space="0" w:color="auto"/>
      </w:divBdr>
    </w:div>
    <w:div w:id="873271857">
      <w:bodyDiv w:val="1"/>
      <w:marLeft w:val="0"/>
      <w:marRight w:val="0"/>
      <w:marTop w:val="0"/>
      <w:marBottom w:val="0"/>
      <w:divBdr>
        <w:top w:val="none" w:sz="0" w:space="0" w:color="auto"/>
        <w:left w:val="none" w:sz="0" w:space="0" w:color="auto"/>
        <w:bottom w:val="none" w:sz="0" w:space="0" w:color="auto"/>
        <w:right w:val="none" w:sz="0" w:space="0" w:color="auto"/>
      </w:divBdr>
    </w:div>
    <w:div w:id="1035498405">
      <w:bodyDiv w:val="1"/>
      <w:marLeft w:val="0"/>
      <w:marRight w:val="0"/>
      <w:marTop w:val="0"/>
      <w:marBottom w:val="0"/>
      <w:divBdr>
        <w:top w:val="none" w:sz="0" w:space="0" w:color="auto"/>
        <w:left w:val="none" w:sz="0" w:space="0" w:color="auto"/>
        <w:bottom w:val="none" w:sz="0" w:space="0" w:color="auto"/>
        <w:right w:val="none" w:sz="0" w:space="0" w:color="auto"/>
      </w:divBdr>
    </w:div>
    <w:div w:id="1071733297">
      <w:bodyDiv w:val="1"/>
      <w:marLeft w:val="0"/>
      <w:marRight w:val="0"/>
      <w:marTop w:val="0"/>
      <w:marBottom w:val="0"/>
      <w:divBdr>
        <w:top w:val="none" w:sz="0" w:space="0" w:color="auto"/>
        <w:left w:val="none" w:sz="0" w:space="0" w:color="auto"/>
        <w:bottom w:val="none" w:sz="0" w:space="0" w:color="auto"/>
        <w:right w:val="none" w:sz="0" w:space="0" w:color="auto"/>
      </w:divBdr>
    </w:div>
    <w:div w:id="1428771559">
      <w:bodyDiv w:val="1"/>
      <w:marLeft w:val="0"/>
      <w:marRight w:val="0"/>
      <w:marTop w:val="0"/>
      <w:marBottom w:val="0"/>
      <w:divBdr>
        <w:top w:val="none" w:sz="0" w:space="0" w:color="auto"/>
        <w:left w:val="none" w:sz="0" w:space="0" w:color="auto"/>
        <w:bottom w:val="none" w:sz="0" w:space="0" w:color="auto"/>
        <w:right w:val="none" w:sz="0" w:space="0" w:color="auto"/>
      </w:divBdr>
    </w:div>
    <w:div w:id="1483694544">
      <w:bodyDiv w:val="1"/>
      <w:marLeft w:val="0"/>
      <w:marRight w:val="0"/>
      <w:marTop w:val="0"/>
      <w:marBottom w:val="0"/>
      <w:divBdr>
        <w:top w:val="none" w:sz="0" w:space="0" w:color="auto"/>
        <w:left w:val="none" w:sz="0" w:space="0" w:color="auto"/>
        <w:bottom w:val="none" w:sz="0" w:space="0" w:color="auto"/>
        <w:right w:val="none" w:sz="0" w:space="0" w:color="auto"/>
      </w:divBdr>
    </w:div>
    <w:div w:id="1673412893">
      <w:bodyDiv w:val="1"/>
      <w:marLeft w:val="0"/>
      <w:marRight w:val="0"/>
      <w:marTop w:val="0"/>
      <w:marBottom w:val="0"/>
      <w:divBdr>
        <w:top w:val="none" w:sz="0" w:space="0" w:color="auto"/>
        <w:left w:val="none" w:sz="0" w:space="0" w:color="auto"/>
        <w:bottom w:val="none" w:sz="0" w:space="0" w:color="auto"/>
        <w:right w:val="none" w:sz="0" w:space="0" w:color="auto"/>
      </w:divBdr>
    </w:div>
    <w:div w:id="1740636490">
      <w:bodyDiv w:val="1"/>
      <w:marLeft w:val="0"/>
      <w:marRight w:val="0"/>
      <w:marTop w:val="0"/>
      <w:marBottom w:val="0"/>
      <w:divBdr>
        <w:top w:val="none" w:sz="0" w:space="0" w:color="auto"/>
        <w:left w:val="none" w:sz="0" w:space="0" w:color="auto"/>
        <w:bottom w:val="none" w:sz="0" w:space="0" w:color="auto"/>
        <w:right w:val="none" w:sz="0" w:space="0" w:color="auto"/>
      </w:divBdr>
    </w:div>
    <w:div w:id="1802380348">
      <w:bodyDiv w:val="1"/>
      <w:marLeft w:val="0"/>
      <w:marRight w:val="0"/>
      <w:marTop w:val="0"/>
      <w:marBottom w:val="0"/>
      <w:divBdr>
        <w:top w:val="none" w:sz="0" w:space="0" w:color="auto"/>
        <w:left w:val="none" w:sz="0" w:space="0" w:color="auto"/>
        <w:bottom w:val="none" w:sz="0" w:space="0" w:color="auto"/>
        <w:right w:val="none" w:sz="0" w:space="0" w:color="auto"/>
      </w:divBdr>
    </w:div>
    <w:div w:id="1963726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 TargetMode="External"/><Relationship Id="rId5" Type="http://schemas.openxmlformats.org/officeDocument/2006/relationships/hyperlink" Target="https://www.mentalhealth.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13</Pages>
  <Words>2024</Words>
  <Characters>11543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 (2407735)</dc:creator>
  <cp:keywords/>
  <dc:description/>
  <cp:lastModifiedBy>Katie Thomas (2407735)</cp:lastModifiedBy>
  <cp:revision>2</cp:revision>
  <dcterms:created xsi:type="dcterms:W3CDTF">2025-05-01T19:21:00Z</dcterms:created>
  <dcterms:modified xsi:type="dcterms:W3CDTF">2025-07-18T21:16:00Z</dcterms:modified>
</cp:coreProperties>
</file>