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6093" w:rsidRPr="00D81F05" w:rsidRDefault="00E66093" w:rsidP="006F7199">
      <w:pPr>
        <w:spacing w:after="0" w:line="240" w:lineRule="auto"/>
        <w:rPr>
          <w:rFonts w:ascii="Georgia" w:hAnsi="Georgia" w:cs="Georgia"/>
          <w:sz w:val="24"/>
          <w:szCs w:val="24"/>
          <w:lang w:eastAsia="en-GB"/>
        </w:rPr>
      </w:pPr>
    </w:p>
    <w:p w:rsidR="00E66093" w:rsidRPr="00D81F05" w:rsidRDefault="00E66093" w:rsidP="009C4D16">
      <w:pPr>
        <w:spacing w:after="0" w:line="360" w:lineRule="auto"/>
        <w:jc w:val="both"/>
        <w:rPr>
          <w:rFonts w:ascii="Georgia" w:hAnsi="Georgia" w:cs="Georgia"/>
          <w:sz w:val="24"/>
          <w:szCs w:val="24"/>
          <w:lang w:eastAsia="en-GB"/>
        </w:rPr>
      </w:pPr>
      <w:r>
        <w:rPr>
          <w:rFonts w:ascii="Georgia" w:hAnsi="Georgia" w:cs="Georgia"/>
          <w:sz w:val="24"/>
          <w:szCs w:val="24"/>
          <w:lang w:eastAsia="en-GB"/>
        </w:rPr>
        <w:t>E</w:t>
      </w:r>
      <w:r w:rsidRPr="00D81F05">
        <w:rPr>
          <w:rFonts w:ascii="Georgia" w:hAnsi="Georgia" w:cs="Georgia"/>
          <w:sz w:val="24"/>
          <w:szCs w:val="24"/>
          <w:lang w:eastAsia="en-GB"/>
        </w:rPr>
        <w:t>mbodiment</w:t>
      </w:r>
      <w:r>
        <w:rPr>
          <w:rFonts w:ascii="Georgia" w:hAnsi="Georgia" w:cs="Georgia"/>
          <w:sz w:val="24"/>
          <w:szCs w:val="24"/>
          <w:lang w:eastAsia="en-GB"/>
        </w:rPr>
        <w:t xml:space="preserve"> within the context of anthropology</w:t>
      </w:r>
      <w:r w:rsidRPr="00D81F05">
        <w:rPr>
          <w:rFonts w:ascii="Georgia" w:hAnsi="Georgia" w:cs="Georgia"/>
          <w:sz w:val="24"/>
          <w:szCs w:val="24"/>
          <w:lang w:eastAsia="en-GB"/>
        </w:rPr>
        <w:t xml:space="preserve"> is very similar to A</w:t>
      </w:r>
      <w:r>
        <w:rPr>
          <w:rFonts w:ascii="Georgia" w:hAnsi="Georgia" w:cs="Georgia"/>
          <w:sz w:val="24"/>
          <w:szCs w:val="24"/>
          <w:lang w:eastAsia="en-GB"/>
        </w:rPr>
        <w:t xml:space="preserve">ctor </w:t>
      </w:r>
      <w:r w:rsidRPr="00D81F05">
        <w:rPr>
          <w:rFonts w:ascii="Georgia" w:hAnsi="Georgia" w:cs="Georgia"/>
          <w:sz w:val="24"/>
          <w:szCs w:val="24"/>
          <w:lang w:eastAsia="en-GB"/>
        </w:rPr>
        <w:t>N</w:t>
      </w:r>
      <w:r>
        <w:rPr>
          <w:rFonts w:ascii="Georgia" w:hAnsi="Georgia" w:cs="Georgia"/>
          <w:sz w:val="24"/>
          <w:szCs w:val="24"/>
          <w:lang w:eastAsia="en-GB"/>
        </w:rPr>
        <w:t xml:space="preserve">etwork </w:t>
      </w:r>
      <w:r w:rsidRPr="00D81F05">
        <w:rPr>
          <w:rFonts w:ascii="Georgia" w:hAnsi="Georgia" w:cs="Georgia"/>
          <w:sz w:val="24"/>
          <w:szCs w:val="24"/>
          <w:lang w:eastAsia="en-GB"/>
        </w:rPr>
        <w:t>T</w:t>
      </w:r>
      <w:r>
        <w:rPr>
          <w:rFonts w:ascii="Georgia" w:hAnsi="Georgia" w:cs="Georgia"/>
          <w:sz w:val="24"/>
          <w:szCs w:val="24"/>
          <w:lang w:eastAsia="en-GB"/>
        </w:rPr>
        <w:t>heory</w:t>
      </w:r>
      <w:r w:rsidRPr="00D81F05">
        <w:rPr>
          <w:rFonts w:ascii="Georgia" w:hAnsi="Georgia" w:cs="Georgia"/>
          <w:sz w:val="24"/>
          <w:szCs w:val="24"/>
          <w:lang w:eastAsia="en-GB"/>
        </w:rPr>
        <w:t xml:space="preserve">. The major difference </w:t>
      </w:r>
      <w:r>
        <w:rPr>
          <w:rFonts w:ascii="Georgia" w:hAnsi="Georgia" w:cs="Georgia"/>
          <w:sz w:val="24"/>
          <w:szCs w:val="24"/>
          <w:lang w:eastAsia="en-GB"/>
        </w:rPr>
        <w:t>is</w:t>
      </w:r>
      <w:r w:rsidRPr="00D81F05">
        <w:rPr>
          <w:rFonts w:ascii="Georgia" w:hAnsi="Georgia" w:cs="Georgia"/>
          <w:sz w:val="24"/>
          <w:szCs w:val="24"/>
          <w:lang w:eastAsia="en-GB"/>
        </w:rPr>
        <w:t xml:space="preserve"> that it is not an object that shapes us physically and mentally as humans but instead culture</w:t>
      </w:r>
      <w:r>
        <w:rPr>
          <w:rFonts w:ascii="Georgia" w:hAnsi="Georgia" w:cs="Georgia"/>
          <w:sz w:val="24"/>
          <w:szCs w:val="24"/>
          <w:lang w:eastAsia="en-GB"/>
        </w:rPr>
        <w:t>,</w:t>
      </w:r>
      <w:r w:rsidRPr="00D81F05">
        <w:rPr>
          <w:rFonts w:ascii="Georgia" w:hAnsi="Georgia" w:cs="Georgia"/>
          <w:sz w:val="24"/>
          <w:szCs w:val="24"/>
          <w:lang w:eastAsia="en-GB"/>
        </w:rPr>
        <w:t xml:space="preserve"> </w:t>
      </w:r>
      <w:r>
        <w:rPr>
          <w:rFonts w:ascii="Georgia" w:hAnsi="Georgia" w:cs="Georgia"/>
          <w:sz w:val="24"/>
          <w:szCs w:val="24"/>
          <w:lang w:eastAsia="en-GB"/>
        </w:rPr>
        <w:t>t</w:t>
      </w:r>
      <w:r w:rsidRPr="00D81F05">
        <w:rPr>
          <w:rFonts w:ascii="Georgia" w:hAnsi="Georgia" w:cs="Georgia"/>
          <w:sz w:val="24"/>
          <w:szCs w:val="24"/>
          <w:lang w:eastAsia="en-GB"/>
        </w:rPr>
        <w:t xml:space="preserve">hereby instilling a kind of cultural muscle memory. </w:t>
      </w:r>
      <w:r>
        <w:rPr>
          <w:rFonts w:ascii="Georgia" w:hAnsi="Georgia" w:cs="Georgia"/>
          <w:sz w:val="24"/>
          <w:szCs w:val="24"/>
          <w:lang w:eastAsia="en-GB"/>
        </w:rPr>
        <w:t>E</w:t>
      </w:r>
      <w:r w:rsidRPr="00D81F05">
        <w:rPr>
          <w:rFonts w:ascii="Georgia" w:hAnsi="Georgia" w:cs="Georgia"/>
          <w:sz w:val="24"/>
          <w:szCs w:val="24"/>
          <w:lang w:eastAsia="en-GB"/>
        </w:rPr>
        <w:t>mbodied practices vary between different cultural fields</w:t>
      </w:r>
      <w:r>
        <w:rPr>
          <w:rFonts w:ascii="Georgia" w:hAnsi="Georgia" w:cs="Georgia"/>
          <w:sz w:val="24"/>
          <w:szCs w:val="24"/>
          <w:lang w:eastAsia="en-GB"/>
        </w:rPr>
        <w:t xml:space="preserve"> and</w:t>
      </w:r>
      <w:r w:rsidRPr="00D81F05">
        <w:rPr>
          <w:rFonts w:ascii="Georgia" w:hAnsi="Georgia" w:cs="Georgia"/>
          <w:sz w:val="24"/>
          <w:szCs w:val="24"/>
          <w:lang w:eastAsia="en-GB"/>
        </w:rPr>
        <w:t xml:space="preserve"> are reflexive because they influence our thinking and perception through repetition but also influence our socio-cultural environment or that of others. This is explained within Bo</w:t>
      </w:r>
      <w:r>
        <w:rPr>
          <w:rFonts w:ascii="Georgia" w:hAnsi="Georgia" w:cs="Georgia"/>
          <w:sz w:val="24"/>
          <w:szCs w:val="24"/>
          <w:lang w:eastAsia="en-GB"/>
        </w:rPr>
        <w:t>u</w:t>
      </w:r>
      <w:r w:rsidRPr="00D81F05">
        <w:rPr>
          <w:rFonts w:ascii="Georgia" w:hAnsi="Georgia" w:cs="Georgia"/>
          <w:sz w:val="24"/>
          <w:szCs w:val="24"/>
          <w:lang w:eastAsia="en-GB"/>
        </w:rPr>
        <w:t xml:space="preserve">rdieu's </w:t>
      </w:r>
      <w:r w:rsidRPr="00D81F05">
        <w:rPr>
          <w:rFonts w:ascii="Georgia" w:hAnsi="Georgia" w:cs="Georgia"/>
          <w:i/>
          <w:iCs/>
          <w:sz w:val="24"/>
          <w:szCs w:val="24"/>
          <w:lang w:eastAsia="en-GB"/>
        </w:rPr>
        <w:t>Theory of Practice</w:t>
      </w:r>
      <w:r w:rsidRPr="00D81F05">
        <w:rPr>
          <w:rFonts w:ascii="Georgia" w:hAnsi="Georgia" w:cs="Georgia"/>
          <w:sz w:val="24"/>
          <w:szCs w:val="24"/>
          <w:lang w:eastAsia="en-GB"/>
        </w:rPr>
        <w:t xml:space="preserve"> </w:t>
      </w:r>
      <w:r>
        <w:rPr>
          <w:rFonts w:ascii="Georgia" w:hAnsi="Georgia" w:cs="Georgia"/>
          <w:sz w:val="24"/>
          <w:szCs w:val="24"/>
          <w:lang w:eastAsia="en-GB"/>
        </w:rPr>
        <w:t xml:space="preserve">(1997) </w:t>
      </w:r>
      <w:r w:rsidRPr="00D81F05">
        <w:rPr>
          <w:rFonts w:ascii="Georgia" w:hAnsi="Georgia" w:cs="Georgia"/>
          <w:sz w:val="24"/>
          <w:szCs w:val="24"/>
          <w:lang w:eastAsia="en-GB"/>
        </w:rPr>
        <w:t xml:space="preserve">via the concept of "habitus"; a set of habits, </w:t>
      </w:r>
      <w:proofErr w:type="gramStart"/>
      <w:r w:rsidRPr="00D81F05">
        <w:rPr>
          <w:rFonts w:ascii="Georgia" w:hAnsi="Georgia" w:cs="Georgia"/>
          <w:sz w:val="24"/>
          <w:szCs w:val="24"/>
          <w:lang w:eastAsia="en-GB"/>
        </w:rPr>
        <w:t>rules</w:t>
      </w:r>
      <w:proofErr w:type="gramEnd"/>
      <w:r w:rsidRPr="00D81F05">
        <w:rPr>
          <w:rFonts w:ascii="Georgia" w:hAnsi="Georgia" w:cs="Georgia"/>
          <w:sz w:val="24"/>
          <w:szCs w:val="24"/>
          <w:lang w:eastAsia="en-GB"/>
        </w:rPr>
        <w:t xml:space="preserve"> and ways of being and acting in the world that are perpetuated by the society around us. For example, if going into a place of worship to pray, </w:t>
      </w:r>
      <w:r>
        <w:rPr>
          <w:rFonts w:ascii="Georgia" w:hAnsi="Georgia" w:cs="Georgia"/>
          <w:sz w:val="24"/>
          <w:szCs w:val="24"/>
          <w:lang w:eastAsia="en-GB"/>
        </w:rPr>
        <w:t>a</w:t>
      </w:r>
      <w:r w:rsidRPr="00D81F05">
        <w:rPr>
          <w:rFonts w:ascii="Georgia" w:hAnsi="Georgia" w:cs="Georgia"/>
          <w:sz w:val="24"/>
          <w:szCs w:val="24"/>
          <w:lang w:eastAsia="en-GB"/>
        </w:rPr>
        <w:t xml:space="preserve"> person would most likely take the time to dress </w:t>
      </w:r>
      <w:r>
        <w:rPr>
          <w:rFonts w:ascii="Georgia" w:hAnsi="Georgia" w:cs="Georgia"/>
          <w:sz w:val="24"/>
          <w:szCs w:val="24"/>
          <w:lang w:eastAsia="en-GB"/>
        </w:rPr>
        <w:t>appropriately for the wider socio-cultural setting</w:t>
      </w:r>
      <w:r w:rsidRPr="00D81F05">
        <w:rPr>
          <w:rFonts w:ascii="Georgia" w:hAnsi="Georgia" w:cs="Georgia"/>
          <w:sz w:val="24"/>
          <w:szCs w:val="24"/>
          <w:lang w:eastAsia="en-GB"/>
        </w:rPr>
        <w:t xml:space="preserve"> and show respect as that is what they have been culturally brought up to do. These practices become ingrained into the psyche and are normalised in the everyday routines that are studied by anthropologists in </w:t>
      </w:r>
      <w:proofErr w:type="gramStart"/>
      <w:r w:rsidRPr="00D81F05">
        <w:rPr>
          <w:rFonts w:ascii="Georgia" w:hAnsi="Georgia" w:cs="Georgia"/>
          <w:sz w:val="24"/>
          <w:szCs w:val="24"/>
          <w:lang w:eastAsia="en-GB"/>
        </w:rPr>
        <w:t>great detail</w:t>
      </w:r>
      <w:proofErr w:type="gramEnd"/>
      <w:r w:rsidRPr="00D81F05">
        <w:rPr>
          <w:rFonts w:ascii="Georgia" w:hAnsi="Georgia" w:cs="Georgia"/>
          <w:sz w:val="24"/>
          <w:szCs w:val="24"/>
          <w:lang w:eastAsia="en-GB"/>
        </w:rPr>
        <w:t xml:space="preserve">. </w:t>
      </w:r>
    </w:p>
    <w:p w:rsidR="00E66093" w:rsidRPr="00D81F05" w:rsidRDefault="00E66093" w:rsidP="009C4D16">
      <w:pPr>
        <w:spacing w:after="0" w:line="360" w:lineRule="auto"/>
        <w:jc w:val="both"/>
        <w:rPr>
          <w:rFonts w:ascii="Georgia" w:hAnsi="Georgia" w:cs="Georgia"/>
          <w:sz w:val="24"/>
          <w:szCs w:val="24"/>
          <w:lang w:eastAsia="en-GB"/>
        </w:rPr>
      </w:pPr>
    </w:p>
    <w:p w:rsidR="00E66093" w:rsidRPr="00D81F05" w:rsidRDefault="00E66093" w:rsidP="009C4D16">
      <w:pPr>
        <w:spacing w:after="0" w:line="360" w:lineRule="auto"/>
        <w:jc w:val="both"/>
        <w:rPr>
          <w:rFonts w:ascii="Georgia" w:hAnsi="Georgia" w:cs="Georgia"/>
          <w:sz w:val="24"/>
          <w:szCs w:val="24"/>
          <w:lang w:eastAsia="en-GB"/>
        </w:rPr>
      </w:pPr>
      <w:proofErr w:type="spellStart"/>
      <w:r w:rsidRPr="00D81F05">
        <w:rPr>
          <w:rFonts w:ascii="Georgia" w:hAnsi="Georgia" w:cs="Georgia"/>
          <w:sz w:val="24"/>
          <w:szCs w:val="24"/>
          <w:lang w:eastAsia="en-GB"/>
        </w:rPr>
        <w:t>Connerton's</w:t>
      </w:r>
      <w:proofErr w:type="spellEnd"/>
      <w:r w:rsidRPr="00D81F05">
        <w:rPr>
          <w:rFonts w:ascii="Georgia" w:hAnsi="Georgia" w:cs="Georgia"/>
          <w:sz w:val="24"/>
          <w:szCs w:val="24"/>
          <w:lang w:eastAsia="en-GB"/>
        </w:rPr>
        <w:t xml:space="preserve"> ideas on "Incorporating Practice" are again similar in that the actions and gestures one makes in society or specific situation become subconscious. For example, within most armed forces a person of a lower rank would be expected to salute their superiors. After the person has entered the military and has received training, this action becomes part of daily life and subconscious on the part of the actor. It could be argued that a salute is in fact a ritual performance and a symbol that conveys information regarding the status of both parties. </w:t>
      </w:r>
      <w:r>
        <w:rPr>
          <w:rFonts w:ascii="Georgia" w:hAnsi="Georgia" w:cs="Georgia"/>
          <w:sz w:val="24"/>
          <w:szCs w:val="24"/>
          <w:lang w:eastAsia="en-GB"/>
        </w:rPr>
        <w:t>The anthropologist</w:t>
      </w:r>
      <w:r w:rsidRPr="00D81F05">
        <w:rPr>
          <w:rFonts w:ascii="Georgia" w:hAnsi="Georgia" w:cs="Georgia"/>
          <w:sz w:val="24"/>
          <w:szCs w:val="24"/>
          <w:lang w:eastAsia="en-GB"/>
        </w:rPr>
        <w:t xml:space="preserve"> Mary Douglas has drawn attention to the idea of the body as a medium through which social and cultural ideas are expressed, and that the body can be seen as a physical fo</w:t>
      </w:r>
      <w:r>
        <w:rPr>
          <w:rFonts w:ascii="Georgia" w:hAnsi="Georgia" w:cs="Georgia"/>
          <w:sz w:val="24"/>
          <w:szCs w:val="24"/>
          <w:lang w:eastAsia="en-GB"/>
        </w:rPr>
        <w:t>r</w:t>
      </w:r>
      <w:r w:rsidRPr="00D81F05">
        <w:rPr>
          <w:rFonts w:ascii="Georgia" w:hAnsi="Georgia" w:cs="Georgia"/>
          <w:sz w:val="24"/>
          <w:szCs w:val="24"/>
          <w:lang w:eastAsia="en-GB"/>
        </w:rPr>
        <w:t>m and a social symbol (</w:t>
      </w:r>
      <w:proofErr w:type="spellStart"/>
      <w:proofErr w:type="gramStart"/>
      <w:r w:rsidRPr="00D81F05">
        <w:rPr>
          <w:rFonts w:ascii="Georgia" w:hAnsi="Georgia" w:cs="Georgia"/>
          <w:sz w:val="24"/>
          <w:szCs w:val="24"/>
          <w:lang w:eastAsia="en-GB"/>
        </w:rPr>
        <w:t>Csordas</w:t>
      </w:r>
      <w:proofErr w:type="spellEnd"/>
      <w:r w:rsidRPr="00D81F05">
        <w:rPr>
          <w:rFonts w:ascii="Georgia" w:hAnsi="Georgia" w:cs="Georgia"/>
          <w:sz w:val="24"/>
          <w:szCs w:val="24"/>
          <w:lang w:eastAsia="en-GB"/>
        </w:rPr>
        <w:t xml:space="preserve">  1999</w:t>
      </w:r>
      <w:proofErr w:type="gramEnd"/>
      <w:r w:rsidRPr="00D81F05">
        <w:rPr>
          <w:rFonts w:ascii="Georgia" w:hAnsi="Georgia" w:cs="Georgia"/>
          <w:sz w:val="24"/>
          <w:szCs w:val="24"/>
          <w:lang w:eastAsia="en-GB"/>
        </w:rPr>
        <w:t>, p 176)</w:t>
      </w:r>
      <w:r>
        <w:rPr>
          <w:rFonts w:ascii="Georgia" w:hAnsi="Georgia" w:cs="Georgia"/>
          <w:sz w:val="24"/>
          <w:szCs w:val="24"/>
          <w:lang w:eastAsia="en-GB"/>
        </w:rPr>
        <w:t>, whilst others studying the social field have discussed embodied practices in terms of performances (Goffman (2008) and theatre (Turner 2008).</w:t>
      </w:r>
    </w:p>
    <w:p w:rsidR="00E66093" w:rsidRPr="00D81F05" w:rsidRDefault="00E66093" w:rsidP="009C4D16">
      <w:pPr>
        <w:spacing w:after="0" w:line="360" w:lineRule="auto"/>
        <w:jc w:val="both"/>
        <w:rPr>
          <w:rFonts w:ascii="Georgia" w:hAnsi="Georgia" w:cs="Georgia"/>
          <w:sz w:val="24"/>
          <w:szCs w:val="24"/>
          <w:lang w:eastAsia="en-GB"/>
        </w:rPr>
      </w:pPr>
    </w:p>
    <w:p w:rsidR="00E66093" w:rsidRPr="00D81F05" w:rsidRDefault="00E66093" w:rsidP="00E81343">
      <w:pPr>
        <w:spacing w:after="0" w:line="360" w:lineRule="auto"/>
        <w:jc w:val="both"/>
        <w:rPr>
          <w:rFonts w:ascii="Georgia" w:hAnsi="Georgia" w:cs="Georgia"/>
          <w:sz w:val="24"/>
          <w:szCs w:val="24"/>
        </w:rPr>
      </w:pPr>
      <w:r w:rsidRPr="00D81F05">
        <w:rPr>
          <w:rFonts w:ascii="Georgia" w:hAnsi="Georgia" w:cs="Georgia"/>
          <w:sz w:val="24"/>
          <w:szCs w:val="24"/>
          <w:lang w:eastAsia="en-GB"/>
        </w:rPr>
        <w:t xml:space="preserve">Expanding on the above theories, I intend to show how embodied practices may inform our understanding of ritual actions and engagement with the material world in the mortuary arena in the East Mediterranean during the second millennium BC. I will specifically be focusing upon entrances within the built environment. </w:t>
      </w:r>
      <w:r w:rsidRPr="00D81F05">
        <w:rPr>
          <w:rFonts w:ascii="Georgia" w:hAnsi="Georgia" w:cs="Georgia"/>
          <w:sz w:val="24"/>
          <w:szCs w:val="24"/>
        </w:rPr>
        <w:t xml:space="preserve">Archaeological evidence from all over the Eastern Mediterranean as pertaining to mortuary practices indicate that while specific practices may have differed, the dead </w:t>
      </w:r>
      <w:r w:rsidRPr="00D81F05">
        <w:rPr>
          <w:rFonts w:ascii="Georgia" w:hAnsi="Georgia" w:cs="Georgia"/>
          <w:sz w:val="24"/>
          <w:szCs w:val="24"/>
        </w:rPr>
        <w:lastRenderedPageBreak/>
        <w:t>were in some way, either by memory or a more tangible means incorporated into the world of the living.</w:t>
      </w:r>
      <w:r w:rsidR="00A20DD0">
        <w:rPr>
          <w:rFonts w:ascii="Georgia" w:hAnsi="Georgia" w:cs="Georgia"/>
          <w:sz w:val="24"/>
          <w:szCs w:val="24"/>
        </w:rPr>
        <w:t xml:space="preserve"> </w:t>
      </w:r>
      <w:r w:rsidRPr="00D81F05">
        <w:rPr>
          <w:rFonts w:ascii="Georgia" w:hAnsi="Georgia" w:cs="Georgia"/>
          <w:sz w:val="24"/>
          <w:szCs w:val="24"/>
        </w:rPr>
        <w:t xml:space="preserve">This essay argues that the people of the Bronze Age Mediterranean either believed in an afterlife or carried out rituals as a form of remembrance </w:t>
      </w:r>
      <w:proofErr w:type="gramStart"/>
      <w:r w:rsidRPr="00D81F05">
        <w:rPr>
          <w:rFonts w:ascii="Georgia" w:hAnsi="Georgia" w:cs="Georgia"/>
          <w:sz w:val="24"/>
          <w:szCs w:val="24"/>
        </w:rPr>
        <w:t>in order to</w:t>
      </w:r>
      <w:proofErr w:type="gramEnd"/>
      <w:r w:rsidRPr="00D81F05">
        <w:rPr>
          <w:rFonts w:ascii="Georgia" w:hAnsi="Georgia" w:cs="Georgia"/>
          <w:sz w:val="24"/>
          <w:szCs w:val="24"/>
        </w:rPr>
        <w:t xml:space="preserve"> gain comfort for and from the people they had lost. </w:t>
      </w:r>
    </w:p>
    <w:p w:rsidR="00E66093" w:rsidRPr="00D81F05" w:rsidRDefault="00E66093" w:rsidP="009C4D16">
      <w:pPr>
        <w:spacing w:line="360" w:lineRule="auto"/>
        <w:jc w:val="both"/>
        <w:rPr>
          <w:rFonts w:ascii="Georgia" w:hAnsi="Georgia" w:cs="Georgia"/>
          <w:sz w:val="24"/>
          <w:szCs w:val="24"/>
        </w:rPr>
      </w:pPr>
      <w:r w:rsidRPr="00D81F05">
        <w:rPr>
          <w:rFonts w:ascii="Georgia" w:hAnsi="Georgia" w:cs="Georgia"/>
          <w:sz w:val="24"/>
          <w:szCs w:val="24"/>
        </w:rPr>
        <w:t xml:space="preserve">The wreck of the Uluburun found off the coast of Turkey near </w:t>
      </w:r>
      <w:r w:rsidR="00A20DD0" w:rsidRPr="00D81F05">
        <w:rPr>
          <w:rFonts w:ascii="Georgia" w:hAnsi="Georgia" w:cs="Georgia"/>
          <w:sz w:val="24"/>
          <w:szCs w:val="24"/>
        </w:rPr>
        <w:t>Ka</w:t>
      </w:r>
      <w:r w:rsidR="00A20DD0" w:rsidRPr="00D81F05">
        <w:rPr>
          <w:rFonts w:ascii="Cambria" w:hAnsi="Cambria" w:cs="Cambria"/>
          <w:sz w:val="24"/>
          <w:szCs w:val="24"/>
        </w:rPr>
        <w:t>ṣ</w:t>
      </w:r>
      <w:r w:rsidRPr="00D81F05">
        <w:rPr>
          <w:rFonts w:ascii="Georgia" w:hAnsi="Georgia" w:cs="Georgia"/>
          <w:sz w:val="24"/>
          <w:szCs w:val="24"/>
        </w:rPr>
        <w:t xml:space="preserve"> had an abundant cargo originating from various places in the Mediterranean, </w:t>
      </w:r>
      <w:proofErr w:type="gramStart"/>
      <w:r w:rsidRPr="00D81F05">
        <w:rPr>
          <w:rFonts w:ascii="Georgia" w:hAnsi="Georgia" w:cs="Georgia"/>
          <w:sz w:val="24"/>
          <w:szCs w:val="24"/>
        </w:rPr>
        <w:t>Egypt</w:t>
      </w:r>
      <w:proofErr w:type="gramEnd"/>
      <w:r w:rsidRPr="00D81F05">
        <w:rPr>
          <w:rFonts w:ascii="Georgia" w:hAnsi="Georgia" w:cs="Georgia"/>
          <w:sz w:val="24"/>
          <w:szCs w:val="24"/>
        </w:rPr>
        <w:t xml:space="preserve"> and Central Africa. This indicates that the people of the Bronze Age, while initially having their own secular culture, had been exposed to the people and beliefs of many different socio-cultural groups. This perhaps indicates why the practices that have been left in the archaeological record are </w:t>
      </w:r>
      <w:r w:rsidR="00A20DD0" w:rsidRPr="00D81F05">
        <w:rPr>
          <w:rFonts w:ascii="Georgia" w:hAnsi="Georgia" w:cs="Georgia"/>
          <w:sz w:val="24"/>
          <w:szCs w:val="24"/>
        </w:rPr>
        <w:t>diverse but</w:t>
      </w:r>
      <w:r w:rsidRPr="00D81F05">
        <w:rPr>
          <w:rFonts w:ascii="Georgia" w:hAnsi="Georgia" w:cs="Georgia"/>
          <w:sz w:val="24"/>
          <w:szCs w:val="24"/>
        </w:rPr>
        <w:t xml:space="preserve"> also showing hybridity and the existence of heterogeneous networks. Given what we know about the Egyptian beliefs during the second </w:t>
      </w:r>
      <w:r w:rsidR="00A20DD0" w:rsidRPr="00D81F05">
        <w:rPr>
          <w:rFonts w:ascii="Georgia" w:hAnsi="Georgia" w:cs="Georgia"/>
          <w:sz w:val="24"/>
          <w:szCs w:val="24"/>
        </w:rPr>
        <w:t>millennium</w:t>
      </w:r>
      <w:r w:rsidRPr="00D81F05">
        <w:rPr>
          <w:rFonts w:ascii="Georgia" w:hAnsi="Georgia" w:cs="Georgia"/>
          <w:sz w:val="24"/>
          <w:szCs w:val="24"/>
        </w:rPr>
        <w:t xml:space="preserve"> BC regarding the afterlife and the fact that people believed that death was just another step in the journey and that life carried on, it is </w:t>
      </w:r>
      <w:proofErr w:type="gramStart"/>
      <w:r w:rsidRPr="00D81F05">
        <w:rPr>
          <w:rFonts w:ascii="Georgia" w:hAnsi="Georgia" w:cs="Georgia"/>
          <w:sz w:val="24"/>
          <w:szCs w:val="24"/>
        </w:rPr>
        <w:t>not unreasonable</w:t>
      </w:r>
      <w:proofErr w:type="gramEnd"/>
      <w:r w:rsidRPr="00D81F05">
        <w:rPr>
          <w:rFonts w:ascii="Georgia" w:hAnsi="Georgia" w:cs="Georgia"/>
          <w:sz w:val="24"/>
          <w:szCs w:val="24"/>
        </w:rPr>
        <w:t xml:space="preserve"> to think that the Bronze Age East Mediterranean peoples may have been influenced by these ideas. According to Knapp (2009, p 82 - 87) these ideologies of ancestor cults and sumptuous burial and mortuary practices had been developing since the third millennium BC. The premise of ancestor cults presupposes the belief that the soul is immortal and therefore the ancestor in question may have "god-like" abilities to influence the living world (</w:t>
      </w:r>
      <w:proofErr w:type="spellStart"/>
      <w:r w:rsidRPr="00D81F05">
        <w:rPr>
          <w:rFonts w:ascii="Georgia" w:hAnsi="Georgia" w:cs="Georgia"/>
          <w:sz w:val="24"/>
          <w:szCs w:val="24"/>
        </w:rPr>
        <w:t>Gallou</w:t>
      </w:r>
      <w:proofErr w:type="spellEnd"/>
      <w:r w:rsidRPr="00D81F05">
        <w:rPr>
          <w:rFonts w:ascii="Georgia" w:hAnsi="Georgia" w:cs="Georgia"/>
          <w:sz w:val="24"/>
          <w:szCs w:val="24"/>
        </w:rPr>
        <w:t xml:space="preserve"> &amp; </w:t>
      </w:r>
      <w:proofErr w:type="spellStart"/>
      <w:r w:rsidRPr="00D81F05">
        <w:rPr>
          <w:rFonts w:ascii="Georgia" w:hAnsi="Georgia" w:cs="Georgia"/>
          <w:sz w:val="24"/>
          <w:szCs w:val="24"/>
        </w:rPr>
        <w:t>Georgiadis</w:t>
      </w:r>
      <w:proofErr w:type="spellEnd"/>
      <w:r w:rsidRPr="00D81F05">
        <w:rPr>
          <w:rFonts w:ascii="Georgia" w:hAnsi="Georgia" w:cs="Georgia"/>
          <w:sz w:val="24"/>
          <w:szCs w:val="24"/>
        </w:rPr>
        <w:t xml:space="preserve">, 2010). </w:t>
      </w:r>
    </w:p>
    <w:p w:rsidR="00E66093" w:rsidRPr="00D81F05" w:rsidRDefault="00E66093" w:rsidP="009C4D16">
      <w:pPr>
        <w:spacing w:line="360" w:lineRule="auto"/>
        <w:jc w:val="both"/>
        <w:rPr>
          <w:rFonts w:ascii="Georgia" w:hAnsi="Georgia" w:cs="Georgia"/>
          <w:sz w:val="24"/>
          <w:szCs w:val="24"/>
        </w:rPr>
      </w:pPr>
      <w:r w:rsidRPr="00D81F05">
        <w:rPr>
          <w:rFonts w:ascii="Georgia" w:hAnsi="Georgia" w:cs="Georgia"/>
          <w:sz w:val="24"/>
          <w:szCs w:val="24"/>
        </w:rPr>
        <w:t xml:space="preserve">However, according to Steel (2005, p 58 – 59) there is debate that perhaps the use of ancestor cults to explain archaeological evidence has been too heavily relied upon. Yet Steel (2005) </w:t>
      </w:r>
      <w:proofErr w:type="gramStart"/>
      <w:r w:rsidRPr="00D81F05">
        <w:rPr>
          <w:rFonts w:ascii="Georgia" w:hAnsi="Georgia" w:cs="Georgia"/>
          <w:sz w:val="24"/>
          <w:szCs w:val="24"/>
        </w:rPr>
        <w:t>is in disagreement</w:t>
      </w:r>
      <w:proofErr w:type="gramEnd"/>
      <w:r w:rsidRPr="00D81F05">
        <w:rPr>
          <w:rFonts w:ascii="Georgia" w:hAnsi="Georgia" w:cs="Georgia"/>
          <w:sz w:val="24"/>
          <w:szCs w:val="24"/>
        </w:rPr>
        <w:t xml:space="preserve"> with this stance and is of the opinion that in Cyprus, at least, ancestor cult practices were highly likely in the early to middle second millennium BC. Steel (20</w:t>
      </w:r>
      <w:r w:rsidR="00A20DD0">
        <w:rPr>
          <w:rFonts w:ascii="Georgia" w:hAnsi="Georgia" w:cs="Georgia"/>
          <w:sz w:val="24"/>
          <w:szCs w:val="24"/>
        </w:rPr>
        <w:t>13</w:t>
      </w:r>
      <w:r w:rsidRPr="00D81F05">
        <w:rPr>
          <w:rFonts w:ascii="Georgia" w:hAnsi="Georgia" w:cs="Georgia"/>
          <w:sz w:val="24"/>
          <w:szCs w:val="24"/>
        </w:rPr>
        <w:t xml:space="preserve">) uses the </w:t>
      </w:r>
      <w:proofErr w:type="spellStart"/>
      <w:r w:rsidRPr="00D81F05">
        <w:rPr>
          <w:rFonts w:ascii="Georgia" w:hAnsi="Georgia" w:cs="Georgia"/>
          <w:sz w:val="24"/>
          <w:szCs w:val="24"/>
        </w:rPr>
        <w:t>Vounous</w:t>
      </w:r>
      <w:proofErr w:type="spellEnd"/>
      <w:r w:rsidRPr="00D81F05">
        <w:rPr>
          <w:rFonts w:ascii="Georgia" w:hAnsi="Georgia" w:cs="Georgia"/>
          <w:sz w:val="24"/>
          <w:szCs w:val="24"/>
        </w:rPr>
        <w:t xml:space="preserve"> Bowl to reflect upon the possible existence of an ancestor cult within the mortuary practices conducted within Cyprus at this time. The figures in the bowl are good to think with in terms of their positioning within the scene; "the posture of the figures and their gestures might convey information." (Steel 20</w:t>
      </w:r>
      <w:r w:rsidR="00A20DD0">
        <w:rPr>
          <w:rFonts w:ascii="Georgia" w:hAnsi="Georgia" w:cs="Georgia"/>
          <w:sz w:val="24"/>
          <w:szCs w:val="24"/>
        </w:rPr>
        <w:t>13</w:t>
      </w:r>
      <w:r w:rsidRPr="00D81F05">
        <w:rPr>
          <w:rFonts w:ascii="Georgia" w:hAnsi="Georgia" w:cs="Georgia"/>
          <w:sz w:val="24"/>
          <w:szCs w:val="24"/>
        </w:rPr>
        <w:t>, p 64)</w:t>
      </w:r>
      <w:proofErr w:type="gramStart"/>
      <w:r w:rsidRPr="00D81F05">
        <w:rPr>
          <w:rFonts w:ascii="Georgia" w:hAnsi="Georgia" w:cs="Georgia"/>
          <w:sz w:val="24"/>
          <w:szCs w:val="24"/>
        </w:rPr>
        <w:t xml:space="preserve">. </w:t>
      </w:r>
      <w:proofErr w:type="gramEnd"/>
      <w:r w:rsidRPr="00D81F05">
        <w:rPr>
          <w:rFonts w:ascii="Georgia" w:hAnsi="Georgia" w:cs="Georgia"/>
          <w:sz w:val="24"/>
          <w:szCs w:val="24"/>
        </w:rPr>
        <w:t xml:space="preserve">One of the most interesting aspects of the </w:t>
      </w:r>
      <w:proofErr w:type="spellStart"/>
      <w:r w:rsidRPr="00D81F05">
        <w:rPr>
          <w:rFonts w:ascii="Georgia" w:hAnsi="Georgia" w:cs="Georgia"/>
          <w:sz w:val="24"/>
          <w:szCs w:val="24"/>
        </w:rPr>
        <w:t>Vounous</w:t>
      </w:r>
      <w:proofErr w:type="spellEnd"/>
      <w:r w:rsidRPr="00D81F05">
        <w:rPr>
          <w:rFonts w:ascii="Georgia" w:hAnsi="Georgia" w:cs="Georgia"/>
          <w:sz w:val="24"/>
          <w:szCs w:val="24"/>
        </w:rPr>
        <w:t xml:space="preserve"> Bowl is the entrance and what is close by it. </w:t>
      </w:r>
      <w:r w:rsidR="00A20DD0">
        <w:rPr>
          <w:rFonts w:ascii="Georgia" w:hAnsi="Georgia" w:cs="Georgia"/>
          <w:sz w:val="24"/>
          <w:szCs w:val="24"/>
        </w:rPr>
        <w:t>S</w:t>
      </w:r>
      <w:r w:rsidRPr="00D81F05">
        <w:rPr>
          <w:rFonts w:ascii="Georgia" w:hAnsi="Georgia" w:cs="Georgia"/>
          <w:sz w:val="24"/>
          <w:szCs w:val="24"/>
        </w:rPr>
        <w:t>teel argues that the figures near to the entrance control access whilst those farthest removed at the centre of the space are likely to have higher social status and "significant cultural knowledge". (ibid., p 65)</w:t>
      </w:r>
    </w:p>
    <w:p w:rsidR="00E66093" w:rsidRDefault="00E66093" w:rsidP="009C4D16">
      <w:pPr>
        <w:spacing w:line="360" w:lineRule="auto"/>
        <w:jc w:val="both"/>
        <w:rPr>
          <w:rFonts w:ascii="Georgia" w:hAnsi="Georgia" w:cs="Georgia"/>
          <w:sz w:val="24"/>
          <w:szCs w:val="24"/>
        </w:rPr>
      </w:pPr>
      <w:r w:rsidRPr="00D81F05">
        <w:rPr>
          <w:rFonts w:ascii="Georgia" w:hAnsi="Georgia" w:cs="Georgia"/>
          <w:sz w:val="24"/>
          <w:szCs w:val="24"/>
        </w:rPr>
        <w:lastRenderedPageBreak/>
        <w:t xml:space="preserve">The bulls inside the entrance of the </w:t>
      </w:r>
      <w:proofErr w:type="spellStart"/>
      <w:r w:rsidRPr="00D81F05">
        <w:rPr>
          <w:rFonts w:ascii="Georgia" w:hAnsi="Georgia" w:cs="Georgia"/>
          <w:sz w:val="24"/>
          <w:szCs w:val="24"/>
        </w:rPr>
        <w:t>Vounous</w:t>
      </w:r>
      <w:proofErr w:type="spellEnd"/>
      <w:r w:rsidRPr="00D81F05">
        <w:rPr>
          <w:rFonts w:ascii="Georgia" w:hAnsi="Georgia" w:cs="Georgia"/>
          <w:sz w:val="24"/>
          <w:szCs w:val="24"/>
        </w:rPr>
        <w:t xml:space="preserve"> Bowl are reminiscent of the doorways at Knossos (</w:t>
      </w:r>
      <w:proofErr w:type="spellStart"/>
      <w:r w:rsidRPr="00D81F05">
        <w:rPr>
          <w:rFonts w:ascii="Georgia" w:hAnsi="Georgia" w:cs="Georgia"/>
          <w:sz w:val="24"/>
          <w:szCs w:val="24"/>
        </w:rPr>
        <w:t>Marinatos</w:t>
      </w:r>
      <w:proofErr w:type="spellEnd"/>
      <w:r w:rsidRPr="00D81F05">
        <w:rPr>
          <w:rFonts w:ascii="Georgia" w:hAnsi="Georgia" w:cs="Georgia"/>
          <w:sz w:val="24"/>
          <w:szCs w:val="24"/>
        </w:rPr>
        <w:t>, 1993, p 73)</w:t>
      </w:r>
      <w:proofErr w:type="gramStart"/>
      <w:r w:rsidRPr="00D81F05">
        <w:rPr>
          <w:rFonts w:ascii="Georgia" w:hAnsi="Georgia" w:cs="Georgia"/>
          <w:sz w:val="24"/>
          <w:szCs w:val="24"/>
        </w:rPr>
        <w:t xml:space="preserve">.  </w:t>
      </w:r>
      <w:proofErr w:type="gramEnd"/>
      <w:r w:rsidRPr="00D81F05">
        <w:rPr>
          <w:rFonts w:ascii="Georgia" w:hAnsi="Georgia" w:cs="Georgia"/>
          <w:sz w:val="24"/>
          <w:szCs w:val="24"/>
        </w:rPr>
        <w:t xml:space="preserve">Entrances seem to be important within Minoan cults in general and are a focal point to through which to control people's movement and gaze through their size and decoration. </w:t>
      </w:r>
    </w:p>
    <w:p w:rsidR="00E66093" w:rsidRPr="00D81F05" w:rsidRDefault="00E66093" w:rsidP="00D81F05">
      <w:pPr>
        <w:spacing w:line="360" w:lineRule="auto"/>
        <w:jc w:val="both"/>
        <w:rPr>
          <w:rFonts w:ascii="Georgia" w:hAnsi="Georgia" w:cs="Georgia"/>
          <w:sz w:val="24"/>
          <w:szCs w:val="24"/>
        </w:rPr>
      </w:pPr>
      <w:r w:rsidRPr="00D81F05">
        <w:rPr>
          <w:rFonts w:ascii="Georgia" w:hAnsi="Georgia" w:cs="Georgia"/>
          <w:sz w:val="24"/>
          <w:szCs w:val="24"/>
        </w:rPr>
        <w:t xml:space="preserve">According to </w:t>
      </w:r>
      <w:proofErr w:type="spellStart"/>
      <w:r w:rsidRPr="00D81F05">
        <w:rPr>
          <w:rFonts w:ascii="Georgia" w:hAnsi="Georgia" w:cs="Georgia"/>
          <w:sz w:val="24"/>
          <w:szCs w:val="24"/>
        </w:rPr>
        <w:t>Marinotis</w:t>
      </w:r>
      <w:proofErr w:type="spellEnd"/>
      <w:r w:rsidRPr="00D81F05">
        <w:rPr>
          <w:rFonts w:ascii="Georgia" w:hAnsi="Georgia" w:cs="Georgia"/>
          <w:sz w:val="24"/>
          <w:szCs w:val="24"/>
        </w:rPr>
        <w:t xml:space="preserve"> (1993), pillar rooms may well have been part of the ritual of ancestor cults. However, a circular tomb at </w:t>
      </w:r>
      <w:proofErr w:type="spellStart"/>
      <w:r w:rsidRPr="00D81F05">
        <w:rPr>
          <w:rFonts w:ascii="Georgia" w:hAnsi="Georgia" w:cs="Georgia"/>
          <w:sz w:val="24"/>
          <w:szCs w:val="24"/>
        </w:rPr>
        <w:t>Apesokari</w:t>
      </w:r>
      <w:proofErr w:type="spellEnd"/>
      <w:r w:rsidRPr="00D81F05">
        <w:rPr>
          <w:rFonts w:ascii="Georgia" w:hAnsi="Georgia" w:cs="Georgia"/>
          <w:sz w:val="24"/>
          <w:szCs w:val="24"/>
        </w:rPr>
        <w:t xml:space="preserve"> (ibid., p 88) had depictions of a human form indicating that perhaps this was an ancestor while conversely at </w:t>
      </w:r>
      <w:proofErr w:type="spellStart"/>
      <w:r w:rsidRPr="00D81F05">
        <w:rPr>
          <w:rFonts w:ascii="Georgia" w:hAnsi="Georgia" w:cs="Georgia"/>
          <w:sz w:val="24"/>
          <w:szCs w:val="24"/>
        </w:rPr>
        <w:t>Archanes</w:t>
      </w:r>
      <w:proofErr w:type="spellEnd"/>
      <w:r w:rsidRPr="00D81F05">
        <w:rPr>
          <w:rFonts w:ascii="Georgia" w:hAnsi="Georgia" w:cs="Georgia"/>
          <w:sz w:val="24"/>
          <w:szCs w:val="24"/>
        </w:rPr>
        <w:t xml:space="preserve">: Tholos B, a room that was situated above the pillar room which had unfortunately collapsed shows evidence of fresco painted walls and human and animal bones. This indicates that either food was being left for the ancestors or that perhaps the living </w:t>
      </w:r>
      <w:proofErr w:type="gramStart"/>
      <w:r w:rsidRPr="00D81F05">
        <w:rPr>
          <w:rFonts w:ascii="Georgia" w:hAnsi="Georgia" w:cs="Georgia"/>
          <w:sz w:val="24"/>
          <w:szCs w:val="24"/>
        </w:rPr>
        <w:t>were</w:t>
      </w:r>
      <w:proofErr w:type="gramEnd"/>
      <w:r w:rsidRPr="00D81F05">
        <w:rPr>
          <w:rFonts w:ascii="Georgia" w:hAnsi="Georgia" w:cs="Georgia"/>
          <w:sz w:val="24"/>
          <w:szCs w:val="24"/>
        </w:rPr>
        <w:t xml:space="preserve"> feasting with the ancestors on a regular basis, thereby through the embodied practice of eating, bringing the dead into the material world. </w:t>
      </w:r>
    </w:p>
    <w:p w:rsidR="00E66093" w:rsidRDefault="00E66093" w:rsidP="00D81F05">
      <w:pPr>
        <w:shd w:val="clear" w:color="auto" w:fill="FFFFFF"/>
        <w:spacing w:after="0" w:line="360" w:lineRule="auto"/>
        <w:jc w:val="both"/>
        <w:rPr>
          <w:rFonts w:ascii="Georgia" w:hAnsi="Georgia" w:cs="Georgia"/>
          <w:sz w:val="24"/>
          <w:szCs w:val="24"/>
          <w:lang w:eastAsia="en-GB"/>
        </w:rPr>
      </w:pPr>
      <w:r w:rsidRPr="00D81F05">
        <w:rPr>
          <w:rFonts w:ascii="Georgia" w:hAnsi="Georgia" w:cs="Georgia"/>
          <w:sz w:val="24"/>
          <w:szCs w:val="24"/>
          <w:lang w:eastAsia="en-GB"/>
        </w:rPr>
        <w:t>If one is considering Minoan and Mycenaean architecture</w:t>
      </w:r>
      <w:r w:rsidR="00A20DD0">
        <w:rPr>
          <w:rFonts w:ascii="Georgia" w:hAnsi="Georgia" w:cs="Georgia"/>
          <w:sz w:val="24"/>
          <w:szCs w:val="24"/>
          <w:lang w:eastAsia="en-GB"/>
        </w:rPr>
        <w:t>,</w:t>
      </w:r>
      <w:r w:rsidRPr="00D81F05">
        <w:rPr>
          <w:rFonts w:ascii="Georgia" w:hAnsi="Georgia" w:cs="Georgia"/>
          <w:sz w:val="24"/>
          <w:szCs w:val="24"/>
          <w:lang w:eastAsia="en-GB"/>
        </w:rPr>
        <w:t xml:space="preserve"> then I think it is fair to argue that </w:t>
      </w:r>
      <w:r w:rsidR="00A20DD0">
        <w:rPr>
          <w:rFonts w:ascii="Georgia" w:hAnsi="Georgia" w:cs="Georgia"/>
          <w:sz w:val="24"/>
          <w:szCs w:val="24"/>
          <w:lang w:eastAsia="en-GB"/>
        </w:rPr>
        <w:t xml:space="preserve">the embodied practices surrounding the use of and experience of </w:t>
      </w:r>
      <w:r w:rsidRPr="00D81F05">
        <w:rPr>
          <w:rFonts w:ascii="Georgia" w:hAnsi="Georgia" w:cs="Georgia"/>
          <w:sz w:val="24"/>
          <w:szCs w:val="24"/>
          <w:lang w:eastAsia="en-GB"/>
        </w:rPr>
        <w:t>entrances were important. This is evidenced in many of the buildings but also in art and mortuary settings. Not all the entrances are “grand” in style but the</w:t>
      </w:r>
      <w:r w:rsidR="00A20DD0">
        <w:rPr>
          <w:rFonts w:ascii="Georgia" w:hAnsi="Georgia" w:cs="Georgia"/>
          <w:sz w:val="24"/>
          <w:szCs w:val="24"/>
          <w:lang w:eastAsia="en-GB"/>
        </w:rPr>
        <w:t>y</w:t>
      </w:r>
      <w:r w:rsidRPr="00D81F05">
        <w:rPr>
          <w:rFonts w:ascii="Georgia" w:hAnsi="Georgia" w:cs="Georgia"/>
          <w:sz w:val="24"/>
          <w:szCs w:val="24"/>
          <w:lang w:eastAsia="en-GB"/>
        </w:rPr>
        <w:t xml:space="preserve"> are substantial </w:t>
      </w:r>
      <w:proofErr w:type="gramStart"/>
      <w:r w:rsidRPr="00D81F05">
        <w:rPr>
          <w:rFonts w:ascii="Georgia" w:hAnsi="Georgia" w:cs="Georgia"/>
          <w:sz w:val="24"/>
          <w:szCs w:val="24"/>
          <w:lang w:eastAsia="en-GB"/>
        </w:rPr>
        <w:t>insofar as</w:t>
      </w:r>
      <w:proofErr w:type="gramEnd"/>
      <w:r w:rsidRPr="00D81F05">
        <w:rPr>
          <w:rFonts w:ascii="Georgia" w:hAnsi="Georgia" w:cs="Georgia"/>
          <w:sz w:val="24"/>
          <w:szCs w:val="24"/>
          <w:lang w:eastAsia="en-GB"/>
        </w:rPr>
        <w:t xml:space="preserve"> there is clear demarcation from one place to another. This is evidenced in ritual settings such as cave sanctuaries where the person would go from a light open area into the dark, cool setting of a cave. The threshold may not be an ornately decorated entrance but in this case</w:t>
      </w:r>
      <w:r w:rsidR="00A20DD0">
        <w:rPr>
          <w:rFonts w:ascii="Georgia" w:hAnsi="Georgia" w:cs="Georgia"/>
          <w:sz w:val="24"/>
          <w:szCs w:val="24"/>
          <w:lang w:eastAsia="en-GB"/>
        </w:rPr>
        <w:t>,</w:t>
      </w:r>
      <w:r w:rsidRPr="00D81F05">
        <w:rPr>
          <w:rFonts w:ascii="Georgia" w:hAnsi="Georgia" w:cs="Georgia"/>
          <w:sz w:val="24"/>
          <w:szCs w:val="24"/>
          <w:lang w:eastAsia="en-GB"/>
        </w:rPr>
        <w:t xml:space="preserve"> the threshold may have felt like a journey to a nether realm changing the state of mind of the person mentally and embodying the experience of a rit</w:t>
      </w:r>
      <w:r w:rsidR="00A20DD0">
        <w:rPr>
          <w:rFonts w:ascii="Georgia" w:hAnsi="Georgia" w:cs="Georgia"/>
          <w:sz w:val="24"/>
          <w:szCs w:val="24"/>
          <w:lang w:eastAsia="en-GB"/>
        </w:rPr>
        <w:t>e</w:t>
      </w:r>
      <w:r w:rsidRPr="00D81F05">
        <w:rPr>
          <w:rFonts w:ascii="Georgia" w:hAnsi="Georgia" w:cs="Georgia"/>
          <w:sz w:val="24"/>
          <w:szCs w:val="24"/>
          <w:lang w:eastAsia="en-GB"/>
        </w:rPr>
        <w:t xml:space="preserve"> of passage as they move through the liminal zone</w:t>
      </w:r>
      <w:r w:rsidR="00A20DD0">
        <w:rPr>
          <w:rFonts w:ascii="Georgia" w:hAnsi="Georgia" w:cs="Georgia"/>
          <w:sz w:val="24"/>
          <w:szCs w:val="24"/>
          <w:lang w:eastAsia="en-GB"/>
        </w:rPr>
        <w:t xml:space="preserve"> around the entrance</w:t>
      </w:r>
      <w:r w:rsidRPr="00D81F05">
        <w:rPr>
          <w:rFonts w:ascii="Georgia" w:hAnsi="Georgia" w:cs="Georgia"/>
          <w:sz w:val="24"/>
          <w:szCs w:val="24"/>
          <w:lang w:eastAsia="en-GB"/>
        </w:rPr>
        <w:t>. Peak sanctuaries however are usually preceded by long ramps up to an entrance, this again indicates that the person while on the ramp may be in liminal state between the living and spiritual world. Alternatively, entrances to the grave circle at Mycenae and to the tombs have definite thresholds visually but would again take the person moving through to a very different setting.</w:t>
      </w:r>
    </w:p>
    <w:p w:rsidR="00A20DD0" w:rsidRPr="00D81F05" w:rsidRDefault="00A20DD0" w:rsidP="00D81F05">
      <w:pPr>
        <w:shd w:val="clear" w:color="auto" w:fill="FFFFFF"/>
        <w:spacing w:after="0" w:line="360" w:lineRule="auto"/>
        <w:jc w:val="both"/>
        <w:rPr>
          <w:rFonts w:ascii="Georgia" w:hAnsi="Georgia" w:cs="Georgia"/>
          <w:sz w:val="24"/>
          <w:szCs w:val="24"/>
          <w:lang w:eastAsia="en-GB"/>
        </w:rPr>
      </w:pPr>
    </w:p>
    <w:p w:rsidR="00E66093" w:rsidRPr="00D81F05" w:rsidRDefault="00E66093" w:rsidP="00D81F05">
      <w:pPr>
        <w:shd w:val="clear" w:color="auto" w:fill="FFFFFF"/>
        <w:spacing w:after="0" w:line="360" w:lineRule="auto"/>
        <w:jc w:val="both"/>
        <w:rPr>
          <w:rFonts w:ascii="Georgia" w:hAnsi="Georgia" w:cs="Georgia"/>
          <w:sz w:val="24"/>
          <w:szCs w:val="24"/>
          <w:lang w:eastAsia="en-GB"/>
        </w:rPr>
      </w:pPr>
      <w:r w:rsidRPr="00D81F05">
        <w:rPr>
          <w:rFonts w:ascii="Georgia" w:hAnsi="Georgia" w:cs="Georgia"/>
          <w:sz w:val="24"/>
          <w:szCs w:val="24"/>
          <w:lang w:eastAsia="en-GB"/>
        </w:rPr>
        <w:t>Symbolically, it seems that the people of the Bronze Age East Mediterranean were enamoured with the idea of mov</w:t>
      </w:r>
      <w:r w:rsidR="00A20DD0">
        <w:rPr>
          <w:rFonts w:ascii="Georgia" w:hAnsi="Georgia" w:cs="Georgia"/>
          <w:sz w:val="24"/>
          <w:szCs w:val="24"/>
          <w:lang w:eastAsia="en-GB"/>
        </w:rPr>
        <w:t>ement as an embodied practice</w:t>
      </w:r>
      <w:r w:rsidRPr="00D81F05">
        <w:rPr>
          <w:rFonts w:ascii="Georgia" w:hAnsi="Georgia" w:cs="Georgia"/>
          <w:sz w:val="24"/>
          <w:szCs w:val="24"/>
          <w:lang w:eastAsia="en-GB"/>
        </w:rPr>
        <w:t xml:space="preserve"> from one state to another with the use of entrances and arches to achieve this. It is possible that the movement through these entrances indicated to the people that a different set of “doxa” (social rules that </w:t>
      </w:r>
      <w:r w:rsidRPr="00A20DD0">
        <w:rPr>
          <w:rFonts w:ascii="Georgia" w:hAnsi="Georgia" w:cs="Georgia"/>
          <w:sz w:val="24"/>
          <w:szCs w:val="24"/>
          <w:lang w:eastAsia="en-GB"/>
        </w:rPr>
        <w:t>govern people</w:t>
      </w:r>
      <w:r w:rsidR="00A20DD0">
        <w:rPr>
          <w:rFonts w:ascii="Georgia" w:hAnsi="Georgia" w:cs="Georgia"/>
          <w:sz w:val="24"/>
          <w:szCs w:val="24"/>
          <w:lang w:eastAsia="en-GB"/>
        </w:rPr>
        <w:t>’</w:t>
      </w:r>
      <w:r w:rsidRPr="00A20DD0">
        <w:rPr>
          <w:rFonts w:ascii="Georgia" w:hAnsi="Georgia" w:cs="Georgia"/>
          <w:sz w:val="24"/>
          <w:szCs w:val="24"/>
          <w:lang w:eastAsia="en-GB"/>
        </w:rPr>
        <w:t xml:space="preserve">s actions) (Bourdieu and Nice, 1997) were </w:t>
      </w:r>
      <w:r w:rsidRPr="00A20DD0">
        <w:rPr>
          <w:rFonts w:ascii="Georgia" w:hAnsi="Georgia" w:cs="Georgia"/>
          <w:sz w:val="24"/>
          <w:szCs w:val="24"/>
          <w:lang w:eastAsia="en-GB"/>
        </w:rPr>
        <w:lastRenderedPageBreak/>
        <w:t>required after the movement through to a different “field” (place) (Bourdieu and Nice, 1997). </w:t>
      </w:r>
      <w:r w:rsidR="00A20DD0" w:rsidRPr="00A20DD0">
        <w:rPr>
          <w:rFonts w:ascii="Georgia" w:hAnsi="Georgia" w:cs="Georgia"/>
          <w:sz w:val="24"/>
          <w:szCs w:val="24"/>
          <w:lang w:eastAsia="en-GB"/>
        </w:rPr>
        <w:t xml:space="preserve"> </w:t>
      </w:r>
      <w:r w:rsidR="00A20DD0" w:rsidRPr="00A20DD0">
        <w:rPr>
          <w:rFonts w:ascii="Georgia" w:hAnsi="Georgia"/>
          <w:sz w:val="24"/>
          <w:szCs w:val="24"/>
        </w:rPr>
        <w:t>While there is evidence for</w:t>
      </w:r>
      <w:r w:rsidR="00A20DD0">
        <w:rPr>
          <w:rFonts w:ascii="Georgia" w:hAnsi="Georgia"/>
          <w:sz w:val="24"/>
          <w:szCs w:val="24"/>
        </w:rPr>
        <w:t xml:space="preserve"> the existence of</w:t>
      </w:r>
      <w:r w:rsidR="00A20DD0" w:rsidRPr="00A20DD0">
        <w:rPr>
          <w:rFonts w:ascii="Georgia" w:hAnsi="Georgia"/>
          <w:sz w:val="24"/>
          <w:szCs w:val="24"/>
        </w:rPr>
        <w:t xml:space="preserve"> ancestor cult</w:t>
      </w:r>
      <w:r w:rsidR="00A20DD0">
        <w:rPr>
          <w:rFonts w:ascii="Georgia" w:hAnsi="Georgia"/>
          <w:sz w:val="24"/>
          <w:szCs w:val="24"/>
        </w:rPr>
        <w:t>s</w:t>
      </w:r>
      <w:r w:rsidR="00A20DD0" w:rsidRPr="00A20DD0">
        <w:rPr>
          <w:rFonts w:ascii="Georgia" w:hAnsi="Georgia"/>
          <w:sz w:val="24"/>
          <w:szCs w:val="24"/>
        </w:rPr>
        <w:t xml:space="preserve"> or at least memorialisation in memory of the dead</w:t>
      </w:r>
      <w:r w:rsidR="00A20DD0">
        <w:rPr>
          <w:rFonts w:ascii="Georgia" w:hAnsi="Georgia"/>
          <w:sz w:val="24"/>
          <w:szCs w:val="24"/>
        </w:rPr>
        <w:t xml:space="preserve"> within the East Mediterranean during the second millennium BC ,</w:t>
      </w:r>
      <w:r w:rsidR="00A20DD0" w:rsidRPr="00A20DD0">
        <w:rPr>
          <w:rFonts w:ascii="Georgia" w:hAnsi="Georgia"/>
          <w:sz w:val="24"/>
          <w:szCs w:val="24"/>
        </w:rPr>
        <w:t xml:space="preserve"> it is clear that the dead became a part of the living world and would have altered the behaviour</w:t>
      </w:r>
      <w:r w:rsidR="00A20DD0">
        <w:rPr>
          <w:rFonts w:ascii="Georgia" w:hAnsi="Georgia"/>
          <w:sz w:val="24"/>
          <w:szCs w:val="24"/>
        </w:rPr>
        <w:t>s and embodied praxis</w:t>
      </w:r>
      <w:r w:rsidR="00A20DD0" w:rsidRPr="00A20DD0">
        <w:rPr>
          <w:rFonts w:ascii="Georgia" w:hAnsi="Georgia"/>
          <w:sz w:val="24"/>
          <w:szCs w:val="24"/>
        </w:rPr>
        <w:t xml:space="preserve"> of those in this realm</w:t>
      </w:r>
      <w:r w:rsidR="00A20DD0">
        <w:rPr>
          <w:rFonts w:ascii="Georgia" w:hAnsi="Georgia"/>
          <w:sz w:val="24"/>
          <w:szCs w:val="24"/>
        </w:rPr>
        <w:t>;</w:t>
      </w:r>
      <w:r w:rsidR="00A20DD0" w:rsidRPr="00A20DD0">
        <w:rPr>
          <w:rFonts w:ascii="Georgia" w:hAnsi="Georgia"/>
          <w:sz w:val="24"/>
          <w:szCs w:val="24"/>
        </w:rPr>
        <w:t xml:space="preserve"> either through a sense of fear that the ancestors would be angry, a sense of hope that the ancestors would be in a position to help or a sense that loved ones were still close and part of daily life.</w:t>
      </w:r>
    </w:p>
    <w:p w:rsidR="00A20DD0" w:rsidRPr="00A20DD0" w:rsidRDefault="00A20DD0" w:rsidP="00A20DD0">
      <w:pPr>
        <w:spacing w:line="360" w:lineRule="auto"/>
        <w:jc w:val="both"/>
        <w:rPr>
          <w:rFonts w:ascii="Georgia" w:hAnsi="Georgia" w:cs="Georgia"/>
          <w:sz w:val="24"/>
          <w:szCs w:val="24"/>
        </w:rPr>
      </w:pPr>
      <w:r>
        <w:rPr>
          <w:rFonts w:ascii="Georgia" w:hAnsi="Georgia" w:cs="Georgia"/>
          <w:sz w:val="24"/>
          <w:szCs w:val="24"/>
        </w:rPr>
        <w:br w:type="page"/>
      </w:r>
      <w:r w:rsidRPr="00A20DD0">
        <w:rPr>
          <w:rFonts w:ascii="Georgia" w:hAnsi="Georgia" w:cs="Georgia"/>
          <w:sz w:val="24"/>
          <w:szCs w:val="24"/>
        </w:rPr>
        <w:lastRenderedPageBreak/>
        <w:t>References</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Bourdieu, P. and Nice, R. (1997). </w:t>
      </w:r>
      <w:r w:rsidRPr="00A20DD0">
        <w:rPr>
          <w:rFonts w:ascii="Georgia" w:hAnsi="Georgia" w:cs="Georgia"/>
          <w:i/>
          <w:iCs/>
          <w:sz w:val="24"/>
          <w:szCs w:val="24"/>
        </w:rPr>
        <w:t>Outline of a theory of practice</w:t>
      </w:r>
      <w:r w:rsidRPr="00A20DD0">
        <w:rPr>
          <w:rFonts w:ascii="Georgia" w:hAnsi="Georgia" w:cs="Georgia"/>
          <w:sz w:val="24"/>
          <w:szCs w:val="24"/>
        </w:rPr>
        <w:t>. Cambridge: Cambridge University Press.</w:t>
      </w:r>
    </w:p>
    <w:p w:rsidR="00A20DD0" w:rsidRPr="00A20DD0" w:rsidRDefault="00A20DD0" w:rsidP="00A20DD0">
      <w:pPr>
        <w:spacing w:line="360" w:lineRule="auto"/>
        <w:jc w:val="both"/>
        <w:rPr>
          <w:rFonts w:ascii="Georgia" w:hAnsi="Georgia" w:cs="Georgia"/>
          <w:sz w:val="24"/>
          <w:szCs w:val="24"/>
        </w:rPr>
      </w:pPr>
      <w:proofErr w:type="spellStart"/>
      <w:r w:rsidRPr="00A20DD0">
        <w:rPr>
          <w:rFonts w:ascii="Georgia" w:hAnsi="Georgia" w:cs="Georgia"/>
          <w:sz w:val="24"/>
          <w:szCs w:val="24"/>
        </w:rPr>
        <w:t>Branigan</w:t>
      </w:r>
      <w:proofErr w:type="spellEnd"/>
      <w:r w:rsidRPr="00A20DD0">
        <w:rPr>
          <w:rFonts w:ascii="Georgia" w:hAnsi="Georgia" w:cs="Georgia"/>
          <w:sz w:val="24"/>
          <w:szCs w:val="24"/>
        </w:rPr>
        <w:t>, K. (1998). </w:t>
      </w:r>
      <w:r w:rsidRPr="00A20DD0">
        <w:rPr>
          <w:rFonts w:ascii="Georgia" w:hAnsi="Georgia" w:cs="Georgia"/>
          <w:i/>
          <w:iCs/>
          <w:sz w:val="24"/>
          <w:szCs w:val="24"/>
        </w:rPr>
        <w:t>Cemetery and society in the Aegean bronze age</w:t>
      </w:r>
      <w:r w:rsidRPr="00A20DD0">
        <w:rPr>
          <w:rFonts w:ascii="Georgia" w:hAnsi="Georgia" w:cs="Georgia"/>
          <w:sz w:val="24"/>
          <w:szCs w:val="24"/>
        </w:rPr>
        <w:t>. Sheffield: Sheffield Academic Press.</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Evans, A. (1921). </w:t>
      </w:r>
      <w:r w:rsidRPr="00A20DD0">
        <w:rPr>
          <w:rFonts w:ascii="Georgia" w:hAnsi="Georgia" w:cs="Georgia"/>
          <w:i/>
          <w:iCs/>
          <w:sz w:val="24"/>
          <w:szCs w:val="24"/>
        </w:rPr>
        <w:t xml:space="preserve">Camp-stool Fresco, long-robed </w:t>
      </w:r>
      <w:proofErr w:type="gramStart"/>
      <w:r w:rsidRPr="00A20DD0">
        <w:rPr>
          <w:rFonts w:ascii="Georgia" w:hAnsi="Georgia" w:cs="Georgia"/>
          <w:i/>
          <w:iCs/>
          <w:sz w:val="24"/>
          <w:szCs w:val="24"/>
        </w:rPr>
        <w:t>priests</w:t>
      </w:r>
      <w:proofErr w:type="gramEnd"/>
      <w:r w:rsidRPr="00A20DD0">
        <w:rPr>
          <w:rFonts w:ascii="Georgia" w:hAnsi="Georgia" w:cs="Georgia"/>
          <w:i/>
          <w:iCs/>
          <w:sz w:val="24"/>
          <w:szCs w:val="24"/>
        </w:rPr>
        <w:t xml:space="preserve"> and beneficent genii [...]</w:t>
      </w:r>
      <w:r w:rsidRPr="00A20DD0">
        <w:rPr>
          <w:rFonts w:ascii="Georgia" w:hAnsi="Georgia" w:cs="Georgia"/>
          <w:sz w:val="24"/>
          <w:szCs w:val="24"/>
        </w:rPr>
        <w:t xml:space="preserve">. London: </w:t>
      </w:r>
      <w:proofErr w:type="spellStart"/>
      <w:r w:rsidRPr="00A20DD0">
        <w:rPr>
          <w:rFonts w:ascii="Georgia" w:hAnsi="Georgia" w:cs="Georgia"/>
          <w:sz w:val="24"/>
          <w:szCs w:val="24"/>
        </w:rPr>
        <w:t>Macmillian</w:t>
      </w:r>
      <w:proofErr w:type="spellEnd"/>
      <w:r w:rsidRPr="00A20DD0">
        <w:rPr>
          <w:rFonts w:ascii="Georgia" w:hAnsi="Georgia" w:cs="Georgia"/>
          <w:sz w:val="24"/>
          <w:szCs w:val="24"/>
        </w:rPr>
        <w:t>.</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Evans, A. (1921). </w:t>
      </w:r>
      <w:r w:rsidRPr="00A20DD0">
        <w:rPr>
          <w:rFonts w:ascii="Georgia" w:hAnsi="Georgia" w:cs="Georgia"/>
          <w:i/>
          <w:iCs/>
          <w:sz w:val="24"/>
          <w:szCs w:val="24"/>
        </w:rPr>
        <w:t>Emergence of outer western enceinte, with new illustrations, artistic and religious, of the Middle Minoan Phase</w:t>
      </w:r>
      <w:r w:rsidRPr="00A20DD0">
        <w:rPr>
          <w:rFonts w:ascii="Georgia" w:hAnsi="Georgia" w:cs="Georgia"/>
          <w:sz w:val="24"/>
          <w:szCs w:val="24"/>
        </w:rPr>
        <w:t>. London: Macmillan.</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Evans, A. (1921). </w:t>
      </w:r>
      <w:r w:rsidRPr="00A20DD0">
        <w:rPr>
          <w:rFonts w:ascii="Georgia" w:hAnsi="Georgia" w:cs="Georgia"/>
          <w:i/>
          <w:iCs/>
          <w:sz w:val="24"/>
          <w:szCs w:val="24"/>
        </w:rPr>
        <w:t>Fresh lights on origins and external relations</w:t>
      </w:r>
      <w:r w:rsidRPr="00A20DD0">
        <w:rPr>
          <w:rFonts w:ascii="Georgia" w:hAnsi="Georgia" w:cs="Georgia"/>
          <w:sz w:val="24"/>
          <w:szCs w:val="24"/>
        </w:rPr>
        <w:t>. London: Macmillan.</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Evans, A. (1921). </w:t>
      </w:r>
      <w:r w:rsidRPr="00A20DD0">
        <w:rPr>
          <w:rFonts w:ascii="Georgia" w:hAnsi="Georgia" w:cs="Georgia"/>
          <w:i/>
          <w:iCs/>
          <w:sz w:val="24"/>
          <w:szCs w:val="24"/>
        </w:rPr>
        <w:t>The great transitional age in the northern and eastern sections of the Palace</w:t>
      </w:r>
      <w:r w:rsidRPr="00A20DD0">
        <w:rPr>
          <w:rFonts w:ascii="Georgia" w:hAnsi="Georgia" w:cs="Georgia"/>
          <w:sz w:val="24"/>
          <w:szCs w:val="24"/>
        </w:rPr>
        <w:t>. London: Macmillan.</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Evans, A. (1921). </w:t>
      </w:r>
      <w:r w:rsidRPr="00A20DD0">
        <w:rPr>
          <w:rFonts w:ascii="Georgia" w:hAnsi="Georgia" w:cs="Georgia"/>
          <w:i/>
          <w:iCs/>
          <w:sz w:val="24"/>
          <w:szCs w:val="24"/>
        </w:rPr>
        <w:t>The Neolithic and Early and Middle Minoan ages</w:t>
      </w:r>
      <w:r w:rsidRPr="00A20DD0">
        <w:rPr>
          <w:rFonts w:ascii="Georgia" w:hAnsi="Georgia" w:cs="Georgia"/>
          <w:sz w:val="24"/>
          <w:szCs w:val="24"/>
        </w:rPr>
        <w:t>. London: MacMillan.</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Evans, A. (1921). </w:t>
      </w:r>
      <w:r w:rsidRPr="00A20DD0">
        <w:rPr>
          <w:rFonts w:ascii="Georgia" w:hAnsi="Georgia" w:cs="Georgia"/>
          <w:i/>
          <w:iCs/>
          <w:sz w:val="24"/>
          <w:szCs w:val="24"/>
        </w:rPr>
        <w:t>Town houses in Knossos of the new era and restored West Palace Section</w:t>
      </w:r>
      <w:r w:rsidRPr="00A20DD0">
        <w:rPr>
          <w:rFonts w:ascii="Georgia" w:hAnsi="Georgia" w:cs="Georgia"/>
          <w:sz w:val="24"/>
          <w:szCs w:val="24"/>
        </w:rPr>
        <w:t>. London: Macmillan.</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Evans, J. and Evans, A. (1936). </w:t>
      </w:r>
      <w:r w:rsidRPr="00A20DD0">
        <w:rPr>
          <w:rFonts w:ascii="Georgia" w:hAnsi="Georgia" w:cs="Georgia"/>
          <w:i/>
          <w:iCs/>
          <w:sz w:val="24"/>
          <w:szCs w:val="24"/>
        </w:rPr>
        <w:t>Index to The Palace of Minos</w:t>
      </w:r>
      <w:r w:rsidRPr="00A20DD0">
        <w:rPr>
          <w:rFonts w:ascii="Georgia" w:hAnsi="Georgia" w:cs="Georgia"/>
          <w:sz w:val="24"/>
          <w:szCs w:val="24"/>
        </w:rPr>
        <w:t>. London: Macmillan.</w:t>
      </w:r>
    </w:p>
    <w:p w:rsidR="00A20DD0" w:rsidRPr="00A20DD0" w:rsidRDefault="00A20DD0" w:rsidP="00A20DD0">
      <w:pPr>
        <w:spacing w:line="360" w:lineRule="auto"/>
        <w:jc w:val="both"/>
        <w:rPr>
          <w:rFonts w:ascii="Georgia" w:hAnsi="Georgia" w:cs="Georgia"/>
          <w:sz w:val="24"/>
          <w:szCs w:val="24"/>
        </w:rPr>
      </w:pPr>
      <w:proofErr w:type="spellStart"/>
      <w:r w:rsidRPr="00A20DD0">
        <w:rPr>
          <w:rFonts w:ascii="Georgia" w:hAnsi="Georgia" w:cs="Georgia"/>
          <w:sz w:val="24"/>
          <w:szCs w:val="24"/>
        </w:rPr>
        <w:t>Gallou</w:t>
      </w:r>
      <w:proofErr w:type="spellEnd"/>
      <w:r w:rsidRPr="00A20DD0">
        <w:rPr>
          <w:rFonts w:ascii="Georgia" w:hAnsi="Georgia" w:cs="Georgia"/>
          <w:sz w:val="24"/>
          <w:szCs w:val="24"/>
        </w:rPr>
        <w:t xml:space="preserve">, C. and </w:t>
      </w:r>
      <w:proofErr w:type="spellStart"/>
      <w:r w:rsidRPr="00A20DD0">
        <w:rPr>
          <w:rFonts w:ascii="Georgia" w:hAnsi="Georgia" w:cs="Georgia"/>
          <w:sz w:val="24"/>
          <w:szCs w:val="24"/>
        </w:rPr>
        <w:t>Georgiadis</w:t>
      </w:r>
      <w:proofErr w:type="spellEnd"/>
      <w:r w:rsidRPr="00A20DD0">
        <w:rPr>
          <w:rFonts w:ascii="Georgia" w:hAnsi="Georgia" w:cs="Georgia"/>
          <w:sz w:val="24"/>
          <w:szCs w:val="24"/>
        </w:rPr>
        <w:t>, M. (2010). The Mycenaean cult of the dead and athletic contests in honour of the ancestors. </w:t>
      </w:r>
      <w:proofErr w:type="spellStart"/>
      <w:r w:rsidRPr="00A20DD0">
        <w:rPr>
          <w:rFonts w:ascii="Georgia" w:hAnsi="Georgia" w:cs="Georgia"/>
          <w:i/>
          <w:iCs/>
          <w:sz w:val="24"/>
          <w:szCs w:val="24"/>
        </w:rPr>
        <w:t>Dodencultus</w:t>
      </w:r>
      <w:proofErr w:type="spellEnd"/>
      <w:r w:rsidRPr="00A20DD0">
        <w:rPr>
          <w:rFonts w:ascii="Georgia" w:hAnsi="Georgia" w:cs="Georgia"/>
          <w:sz w:val="24"/>
          <w:szCs w:val="24"/>
        </w:rPr>
        <w:t xml:space="preserve">, 185, </w:t>
      </w:r>
      <w:proofErr w:type="spellStart"/>
      <w:r w:rsidRPr="00A20DD0">
        <w:rPr>
          <w:rFonts w:ascii="Georgia" w:hAnsi="Georgia" w:cs="Georgia"/>
          <w:sz w:val="24"/>
          <w:szCs w:val="24"/>
        </w:rPr>
        <w:t>pp.383</w:t>
      </w:r>
      <w:proofErr w:type="spellEnd"/>
      <w:r w:rsidRPr="00A20DD0">
        <w:rPr>
          <w:rFonts w:ascii="Georgia" w:hAnsi="Georgia" w:cs="Georgia"/>
          <w:sz w:val="24"/>
          <w:szCs w:val="24"/>
        </w:rPr>
        <w:t>-393.</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Goffman, E. (2008). </w:t>
      </w:r>
      <w:r w:rsidRPr="00A20DD0">
        <w:rPr>
          <w:rFonts w:ascii="Georgia" w:hAnsi="Georgia" w:cs="Georgia"/>
          <w:i/>
          <w:iCs/>
          <w:sz w:val="24"/>
          <w:szCs w:val="24"/>
        </w:rPr>
        <w:t>The presentation of self in everyday life</w:t>
      </w:r>
      <w:r w:rsidRPr="00A20DD0">
        <w:rPr>
          <w:rFonts w:ascii="Georgia" w:hAnsi="Georgia" w:cs="Georgia"/>
          <w:sz w:val="24"/>
          <w:szCs w:val="24"/>
        </w:rPr>
        <w:t>. New York: Anchor Books [</w:t>
      </w:r>
      <w:proofErr w:type="spellStart"/>
      <w:r w:rsidRPr="00A20DD0">
        <w:rPr>
          <w:rFonts w:ascii="Georgia" w:hAnsi="Georgia" w:cs="Georgia"/>
          <w:sz w:val="24"/>
          <w:szCs w:val="24"/>
        </w:rPr>
        <w:t>u.a</w:t>
      </w:r>
      <w:proofErr w:type="spellEnd"/>
      <w:r w:rsidRPr="00A20DD0">
        <w:rPr>
          <w:rFonts w:ascii="Georgia" w:hAnsi="Georgia" w:cs="Georgia"/>
          <w:sz w:val="24"/>
          <w:szCs w:val="24"/>
        </w:rPr>
        <w:t>.].</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Howson, A. (2004). </w:t>
      </w:r>
      <w:r w:rsidRPr="00A20DD0">
        <w:rPr>
          <w:rFonts w:ascii="Georgia" w:hAnsi="Georgia" w:cs="Georgia"/>
          <w:i/>
          <w:iCs/>
          <w:sz w:val="24"/>
          <w:szCs w:val="24"/>
        </w:rPr>
        <w:t>The body in society</w:t>
      </w:r>
      <w:r w:rsidRPr="00A20DD0">
        <w:rPr>
          <w:rFonts w:ascii="Georgia" w:hAnsi="Georgia" w:cs="Georgia"/>
          <w:sz w:val="24"/>
          <w:szCs w:val="24"/>
        </w:rPr>
        <w:t>. Cornwall: Polity.</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Knapp, A. (2009). </w:t>
      </w:r>
      <w:r w:rsidRPr="00A20DD0">
        <w:rPr>
          <w:rFonts w:ascii="Georgia" w:hAnsi="Georgia" w:cs="Georgia"/>
          <w:i/>
          <w:iCs/>
          <w:sz w:val="24"/>
          <w:szCs w:val="24"/>
        </w:rPr>
        <w:t>Prehistoric and protohistoric Cyprus</w:t>
      </w:r>
      <w:r w:rsidRPr="00A20DD0">
        <w:rPr>
          <w:rFonts w:ascii="Georgia" w:hAnsi="Georgia" w:cs="Georgia"/>
          <w:sz w:val="24"/>
          <w:szCs w:val="24"/>
        </w:rPr>
        <w:t>. Oxford: Oxford University Press.</w:t>
      </w:r>
    </w:p>
    <w:p w:rsidR="00A20DD0" w:rsidRPr="00A20DD0" w:rsidRDefault="00A20DD0" w:rsidP="00A20DD0">
      <w:pPr>
        <w:spacing w:line="360" w:lineRule="auto"/>
        <w:jc w:val="both"/>
        <w:rPr>
          <w:rFonts w:ascii="Georgia" w:hAnsi="Georgia" w:cs="Georgia"/>
          <w:sz w:val="24"/>
          <w:szCs w:val="24"/>
        </w:rPr>
      </w:pPr>
      <w:proofErr w:type="spellStart"/>
      <w:r w:rsidRPr="00A20DD0">
        <w:rPr>
          <w:rFonts w:ascii="Georgia" w:hAnsi="Georgia" w:cs="Georgia"/>
          <w:sz w:val="24"/>
          <w:szCs w:val="24"/>
        </w:rPr>
        <w:t>Marinatos</w:t>
      </w:r>
      <w:proofErr w:type="spellEnd"/>
      <w:r w:rsidRPr="00A20DD0">
        <w:rPr>
          <w:rFonts w:ascii="Georgia" w:hAnsi="Georgia" w:cs="Georgia"/>
          <w:sz w:val="24"/>
          <w:szCs w:val="24"/>
        </w:rPr>
        <w:t>, N. (1993). </w:t>
      </w:r>
      <w:r w:rsidRPr="00A20DD0">
        <w:rPr>
          <w:rFonts w:ascii="Georgia" w:hAnsi="Georgia" w:cs="Georgia"/>
          <w:i/>
          <w:iCs/>
          <w:sz w:val="24"/>
          <w:szCs w:val="24"/>
        </w:rPr>
        <w:t>Minoan religion</w:t>
      </w:r>
      <w:r w:rsidRPr="00A20DD0">
        <w:rPr>
          <w:rFonts w:ascii="Georgia" w:hAnsi="Georgia" w:cs="Georgia"/>
          <w:sz w:val="24"/>
          <w:szCs w:val="24"/>
        </w:rPr>
        <w:t>. Columbia: University of South Carolina Press.</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lastRenderedPageBreak/>
        <w:t xml:space="preserve">Melissa S. </w:t>
      </w:r>
      <w:proofErr w:type="spellStart"/>
      <w:r w:rsidRPr="00A20DD0">
        <w:rPr>
          <w:rFonts w:ascii="Georgia" w:hAnsi="Georgia" w:cs="Georgia"/>
          <w:sz w:val="24"/>
          <w:szCs w:val="24"/>
        </w:rPr>
        <w:t>Cradic</w:t>
      </w:r>
      <w:proofErr w:type="spellEnd"/>
      <w:r w:rsidRPr="00A20DD0">
        <w:rPr>
          <w:rFonts w:ascii="Georgia" w:hAnsi="Georgia" w:cs="Georgia"/>
          <w:sz w:val="24"/>
          <w:szCs w:val="24"/>
        </w:rPr>
        <w:t xml:space="preserve"> (2017). Embodiments of Death: The Funerary Sequence and Commemoration in the Bronze Age Levant. </w:t>
      </w:r>
      <w:r w:rsidRPr="00A20DD0">
        <w:rPr>
          <w:rFonts w:ascii="Georgia" w:hAnsi="Georgia" w:cs="Georgia"/>
          <w:i/>
          <w:iCs/>
          <w:sz w:val="24"/>
          <w:szCs w:val="24"/>
        </w:rPr>
        <w:t>Bulletin of the American Schools of Oriental Research</w:t>
      </w:r>
      <w:r w:rsidRPr="00A20DD0">
        <w:rPr>
          <w:rFonts w:ascii="Georgia" w:hAnsi="Georgia" w:cs="Georgia"/>
          <w:sz w:val="24"/>
          <w:szCs w:val="24"/>
        </w:rPr>
        <w:t xml:space="preserve">, (377), </w:t>
      </w:r>
      <w:proofErr w:type="spellStart"/>
      <w:r w:rsidRPr="00A20DD0">
        <w:rPr>
          <w:rFonts w:ascii="Georgia" w:hAnsi="Georgia" w:cs="Georgia"/>
          <w:sz w:val="24"/>
          <w:szCs w:val="24"/>
        </w:rPr>
        <w:t>p.219</w:t>
      </w:r>
      <w:proofErr w:type="spellEnd"/>
      <w:r w:rsidRPr="00A20DD0">
        <w:rPr>
          <w:rFonts w:ascii="Georgia" w:hAnsi="Georgia" w:cs="Georgia"/>
          <w:sz w:val="24"/>
          <w:szCs w:val="24"/>
        </w:rPr>
        <w:t>.</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Nilsson, N. (1927). </w:t>
      </w:r>
      <w:r w:rsidRPr="00A20DD0">
        <w:rPr>
          <w:rFonts w:ascii="Georgia" w:hAnsi="Georgia" w:cs="Georgia"/>
          <w:i/>
          <w:iCs/>
          <w:sz w:val="24"/>
          <w:szCs w:val="24"/>
        </w:rPr>
        <w:t>The Minoan-Mycenaean religion and its survival in Greek religion. With ... plates and ... figures, etc</w:t>
      </w:r>
      <w:r w:rsidRPr="00A20DD0">
        <w:rPr>
          <w:rFonts w:ascii="Georgia" w:hAnsi="Georgia" w:cs="Georgia"/>
          <w:sz w:val="24"/>
          <w:szCs w:val="24"/>
        </w:rPr>
        <w:t xml:space="preserve">. Lund; London: C. W. K. </w:t>
      </w:r>
      <w:proofErr w:type="spellStart"/>
      <w:r w:rsidRPr="00A20DD0">
        <w:rPr>
          <w:rFonts w:ascii="Georgia" w:hAnsi="Georgia" w:cs="Georgia"/>
          <w:sz w:val="24"/>
          <w:szCs w:val="24"/>
        </w:rPr>
        <w:t>Gleerup</w:t>
      </w:r>
      <w:proofErr w:type="spellEnd"/>
      <w:r w:rsidRPr="00A20DD0">
        <w:rPr>
          <w:rFonts w:ascii="Georgia" w:hAnsi="Georgia" w:cs="Georgia"/>
          <w:sz w:val="24"/>
          <w:szCs w:val="24"/>
        </w:rPr>
        <w:t>, Year.</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Routledgesoc.com. (2016). </w:t>
      </w:r>
      <w:r w:rsidRPr="00A20DD0">
        <w:rPr>
          <w:rFonts w:ascii="Georgia" w:hAnsi="Georgia" w:cs="Georgia"/>
          <w:i/>
          <w:iCs/>
          <w:sz w:val="24"/>
          <w:szCs w:val="24"/>
        </w:rPr>
        <w:t>Habitus | Social Theory Rewired</w:t>
      </w:r>
      <w:r w:rsidRPr="00A20DD0">
        <w:rPr>
          <w:rFonts w:ascii="Georgia" w:hAnsi="Georgia" w:cs="Georgia"/>
          <w:sz w:val="24"/>
          <w:szCs w:val="24"/>
        </w:rPr>
        <w:t>. [online] Available at: http://routledgesoc.com/category/profile-tags/habitus [Accessed 16 Jan. 2018].</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 xml:space="preserve">Steel, L. (2013). The Social World of Early-Middle Bronze Age Cyprus: Rethinking the </w:t>
      </w:r>
      <w:proofErr w:type="spellStart"/>
      <w:r w:rsidRPr="00A20DD0">
        <w:rPr>
          <w:rFonts w:ascii="Georgia" w:hAnsi="Georgia" w:cs="Georgia"/>
          <w:sz w:val="24"/>
          <w:szCs w:val="24"/>
        </w:rPr>
        <w:t>Vounous</w:t>
      </w:r>
      <w:proofErr w:type="spellEnd"/>
      <w:r w:rsidRPr="00A20DD0">
        <w:rPr>
          <w:rFonts w:ascii="Georgia" w:hAnsi="Georgia" w:cs="Georgia"/>
          <w:sz w:val="24"/>
          <w:szCs w:val="24"/>
        </w:rPr>
        <w:t xml:space="preserve"> Bowl. </w:t>
      </w:r>
      <w:r w:rsidRPr="00A20DD0">
        <w:rPr>
          <w:rFonts w:ascii="Georgia" w:hAnsi="Georgia" w:cs="Georgia"/>
          <w:i/>
          <w:iCs/>
          <w:sz w:val="24"/>
          <w:szCs w:val="24"/>
        </w:rPr>
        <w:t>Journal of Mediterranean Archaeology</w:t>
      </w:r>
      <w:r w:rsidRPr="00A20DD0">
        <w:rPr>
          <w:rFonts w:ascii="Georgia" w:hAnsi="Georgia" w:cs="Georgia"/>
          <w:sz w:val="24"/>
          <w:szCs w:val="24"/>
        </w:rPr>
        <w:t>, 26(1).</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Turner, V. (2008). </w:t>
      </w:r>
      <w:r w:rsidRPr="00A20DD0">
        <w:rPr>
          <w:rFonts w:ascii="Georgia" w:hAnsi="Georgia" w:cs="Georgia"/>
          <w:i/>
          <w:iCs/>
          <w:sz w:val="24"/>
          <w:szCs w:val="24"/>
        </w:rPr>
        <w:t>From ritual to theatre</w:t>
      </w:r>
      <w:r w:rsidRPr="00A20DD0">
        <w:rPr>
          <w:rFonts w:ascii="Georgia" w:hAnsi="Georgia" w:cs="Georgia"/>
          <w:sz w:val="24"/>
          <w:szCs w:val="24"/>
        </w:rPr>
        <w:t>. New York, NY: PAJ Publ.</w:t>
      </w:r>
    </w:p>
    <w:p w:rsidR="00A20DD0" w:rsidRPr="00A20DD0" w:rsidRDefault="00A20DD0" w:rsidP="00A20DD0">
      <w:pPr>
        <w:spacing w:line="360" w:lineRule="auto"/>
        <w:jc w:val="both"/>
        <w:rPr>
          <w:rFonts w:ascii="Georgia" w:hAnsi="Georgia" w:cs="Georgia"/>
          <w:sz w:val="24"/>
          <w:szCs w:val="24"/>
        </w:rPr>
      </w:pPr>
      <w:r w:rsidRPr="00A20DD0">
        <w:rPr>
          <w:rFonts w:ascii="Georgia" w:hAnsi="Georgia" w:cs="Georgia"/>
          <w:sz w:val="24"/>
          <w:szCs w:val="24"/>
        </w:rPr>
        <w:t>University of Cambridge. (2017). </w:t>
      </w:r>
      <w:r w:rsidRPr="00A20DD0">
        <w:rPr>
          <w:rFonts w:ascii="Georgia" w:hAnsi="Georgia" w:cs="Georgia"/>
          <w:i/>
          <w:iCs/>
          <w:sz w:val="24"/>
          <w:szCs w:val="24"/>
        </w:rPr>
        <w:t>A rare discovery will shed new light on Mycenaean funerary practices</w:t>
      </w:r>
      <w:r w:rsidRPr="00A20DD0">
        <w:rPr>
          <w:rFonts w:ascii="Georgia" w:hAnsi="Georgia" w:cs="Georgia"/>
          <w:sz w:val="24"/>
          <w:szCs w:val="24"/>
        </w:rPr>
        <w:t>. [online] Available at: http://www.cam.ac.uk/research/news/a-rare-discovery-will-shed-new-light-on-mycenaean-funerary-practices [Accessed 16 Jan. 2018].</w:t>
      </w:r>
      <w:bookmarkStart w:id="0" w:name="_GoBack"/>
      <w:bookmarkEnd w:id="0"/>
    </w:p>
    <w:p w:rsidR="00E66093" w:rsidRPr="00D81F05" w:rsidRDefault="00E66093" w:rsidP="00D81F05">
      <w:pPr>
        <w:spacing w:line="360" w:lineRule="auto"/>
        <w:jc w:val="both"/>
        <w:rPr>
          <w:rFonts w:ascii="Georgia" w:hAnsi="Georgia" w:cs="Georgia"/>
          <w:sz w:val="24"/>
          <w:szCs w:val="24"/>
        </w:rPr>
      </w:pPr>
    </w:p>
    <w:sectPr w:rsidR="00E66093" w:rsidRPr="00D81F05" w:rsidSect="008665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7199"/>
    <w:rsid w:val="00107AF5"/>
    <w:rsid w:val="001F3B7F"/>
    <w:rsid w:val="00220DD8"/>
    <w:rsid w:val="0025618F"/>
    <w:rsid w:val="00311A30"/>
    <w:rsid w:val="00327E5F"/>
    <w:rsid w:val="00350406"/>
    <w:rsid w:val="00376C8F"/>
    <w:rsid w:val="004E1EF8"/>
    <w:rsid w:val="004F439F"/>
    <w:rsid w:val="00530CCF"/>
    <w:rsid w:val="005750A8"/>
    <w:rsid w:val="0059237B"/>
    <w:rsid w:val="006122E1"/>
    <w:rsid w:val="00647513"/>
    <w:rsid w:val="006F7199"/>
    <w:rsid w:val="00723406"/>
    <w:rsid w:val="007500E6"/>
    <w:rsid w:val="0085487E"/>
    <w:rsid w:val="00866524"/>
    <w:rsid w:val="008F2D53"/>
    <w:rsid w:val="00902B3D"/>
    <w:rsid w:val="00974B33"/>
    <w:rsid w:val="009C4D16"/>
    <w:rsid w:val="00A20DD0"/>
    <w:rsid w:val="00B7292B"/>
    <w:rsid w:val="00BB3DB2"/>
    <w:rsid w:val="00C24552"/>
    <w:rsid w:val="00CD0163"/>
    <w:rsid w:val="00D33BB7"/>
    <w:rsid w:val="00D81F05"/>
    <w:rsid w:val="00D9581A"/>
    <w:rsid w:val="00DE4F29"/>
    <w:rsid w:val="00E36855"/>
    <w:rsid w:val="00E66093"/>
    <w:rsid w:val="00E81343"/>
    <w:rsid w:val="00F54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D59A11"/>
  <w15:docId w15:val="{89F96270-D9E3-4572-A8EF-B1E1B99C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6524"/>
    <w:pPr>
      <w:spacing w:after="200" w:line="276" w:lineRule="auto"/>
    </w:pPr>
    <w:rPr>
      <w:rFonts w:cs="Calibri"/>
      <w:sz w:val="22"/>
      <w:szCs w:val="22"/>
      <w:lang w:eastAsia="en-US"/>
    </w:rPr>
  </w:style>
  <w:style w:type="paragraph" w:styleId="Heading2">
    <w:name w:val="heading 2"/>
    <w:basedOn w:val="Normal"/>
    <w:next w:val="Normal"/>
    <w:link w:val="Heading2Char"/>
    <w:semiHidden/>
    <w:unhideWhenUsed/>
    <w:qFormat/>
    <w:locked/>
    <w:rsid w:val="00A20DD0"/>
    <w:pPr>
      <w:keepNext/>
      <w:spacing w:before="240" w:after="60"/>
      <w:outlineLvl w:val="1"/>
    </w:pPr>
    <w:rPr>
      <w:rFonts w:ascii="Cambria" w:eastAsia="Times New Roman"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sid w:val="006F7199"/>
    <w:rPr>
      <w:sz w:val="16"/>
      <w:szCs w:val="16"/>
    </w:rPr>
  </w:style>
  <w:style w:type="paragraph" w:styleId="CommentText">
    <w:name w:val="annotation text"/>
    <w:basedOn w:val="Normal"/>
    <w:link w:val="CommentTextChar"/>
    <w:uiPriority w:val="99"/>
    <w:semiHidden/>
    <w:rsid w:val="006F7199"/>
    <w:pPr>
      <w:spacing w:line="240" w:lineRule="auto"/>
    </w:pPr>
    <w:rPr>
      <w:sz w:val="20"/>
      <w:szCs w:val="20"/>
      <w:lang w:eastAsia="en-GB"/>
    </w:rPr>
  </w:style>
  <w:style w:type="character" w:customStyle="1" w:styleId="CommentTextChar">
    <w:name w:val="Comment Text Char"/>
    <w:link w:val="CommentText"/>
    <w:uiPriority w:val="99"/>
    <w:semiHidden/>
    <w:locked/>
    <w:rsid w:val="006F7199"/>
    <w:rPr>
      <w:sz w:val="20"/>
      <w:szCs w:val="20"/>
    </w:rPr>
  </w:style>
  <w:style w:type="paragraph" w:styleId="CommentSubject">
    <w:name w:val="annotation subject"/>
    <w:basedOn w:val="CommentText"/>
    <w:next w:val="CommentText"/>
    <w:link w:val="CommentSubjectChar"/>
    <w:uiPriority w:val="99"/>
    <w:semiHidden/>
    <w:rsid w:val="006F7199"/>
    <w:rPr>
      <w:b/>
      <w:bCs/>
    </w:rPr>
  </w:style>
  <w:style w:type="character" w:customStyle="1" w:styleId="CommentSubjectChar">
    <w:name w:val="Comment Subject Char"/>
    <w:link w:val="CommentSubject"/>
    <w:uiPriority w:val="99"/>
    <w:semiHidden/>
    <w:locked/>
    <w:rsid w:val="006F7199"/>
    <w:rPr>
      <w:b/>
      <w:bCs/>
      <w:sz w:val="20"/>
      <w:szCs w:val="20"/>
    </w:rPr>
  </w:style>
  <w:style w:type="paragraph" w:styleId="BalloonText">
    <w:name w:val="Balloon Text"/>
    <w:basedOn w:val="Normal"/>
    <w:link w:val="BalloonTextChar"/>
    <w:uiPriority w:val="99"/>
    <w:semiHidden/>
    <w:rsid w:val="006F7199"/>
    <w:pPr>
      <w:spacing w:after="0" w:line="240" w:lineRule="auto"/>
    </w:pPr>
    <w:rPr>
      <w:rFonts w:ascii="Tahoma" w:hAnsi="Tahoma" w:cs="Tahoma"/>
      <w:sz w:val="16"/>
      <w:szCs w:val="16"/>
      <w:lang w:eastAsia="en-GB"/>
    </w:rPr>
  </w:style>
  <w:style w:type="character" w:customStyle="1" w:styleId="BalloonTextChar">
    <w:name w:val="Balloon Text Char"/>
    <w:link w:val="BalloonText"/>
    <w:uiPriority w:val="99"/>
    <w:semiHidden/>
    <w:locked/>
    <w:rsid w:val="006F7199"/>
    <w:rPr>
      <w:rFonts w:ascii="Tahoma" w:hAnsi="Tahoma" w:cs="Tahoma"/>
      <w:sz w:val="16"/>
      <w:szCs w:val="16"/>
    </w:rPr>
  </w:style>
  <w:style w:type="character" w:customStyle="1" w:styleId="Heading2Char">
    <w:name w:val="Heading 2 Char"/>
    <w:link w:val="Heading2"/>
    <w:semiHidden/>
    <w:rsid w:val="00A20DD0"/>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845604">
      <w:bodyDiv w:val="1"/>
      <w:marLeft w:val="0"/>
      <w:marRight w:val="0"/>
      <w:marTop w:val="0"/>
      <w:marBottom w:val="0"/>
      <w:divBdr>
        <w:top w:val="none" w:sz="0" w:space="0" w:color="auto"/>
        <w:left w:val="none" w:sz="0" w:space="0" w:color="auto"/>
        <w:bottom w:val="none" w:sz="0" w:space="0" w:color="auto"/>
        <w:right w:val="none" w:sz="0" w:space="0" w:color="auto"/>
      </w:divBdr>
    </w:div>
    <w:div w:id="2036493453">
      <w:marLeft w:val="0"/>
      <w:marRight w:val="0"/>
      <w:marTop w:val="0"/>
      <w:marBottom w:val="0"/>
      <w:divBdr>
        <w:top w:val="none" w:sz="0" w:space="0" w:color="auto"/>
        <w:left w:val="none" w:sz="0" w:space="0" w:color="auto"/>
        <w:bottom w:val="none" w:sz="0" w:space="0" w:color="auto"/>
        <w:right w:val="none" w:sz="0" w:space="0" w:color="auto"/>
      </w:divBdr>
      <w:divsChild>
        <w:div w:id="2036493457">
          <w:marLeft w:val="0"/>
          <w:marRight w:val="0"/>
          <w:marTop w:val="0"/>
          <w:marBottom w:val="0"/>
          <w:divBdr>
            <w:top w:val="none" w:sz="0" w:space="0" w:color="auto"/>
            <w:left w:val="none" w:sz="0" w:space="0" w:color="auto"/>
            <w:bottom w:val="none" w:sz="0" w:space="0" w:color="auto"/>
            <w:right w:val="none" w:sz="0" w:space="0" w:color="auto"/>
          </w:divBdr>
          <w:divsChild>
            <w:div w:id="2036493460">
              <w:marLeft w:val="0"/>
              <w:marRight w:val="0"/>
              <w:marTop w:val="0"/>
              <w:marBottom w:val="0"/>
              <w:divBdr>
                <w:top w:val="none" w:sz="0" w:space="0" w:color="auto"/>
                <w:left w:val="none" w:sz="0" w:space="0" w:color="auto"/>
                <w:bottom w:val="none" w:sz="0" w:space="0" w:color="auto"/>
                <w:right w:val="none" w:sz="0" w:space="0" w:color="auto"/>
              </w:divBdr>
              <w:divsChild>
                <w:div w:id="2036493456">
                  <w:marLeft w:val="0"/>
                  <w:marRight w:val="0"/>
                  <w:marTop w:val="0"/>
                  <w:marBottom w:val="0"/>
                  <w:divBdr>
                    <w:top w:val="none" w:sz="0" w:space="0" w:color="auto"/>
                    <w:left w:val="none" w:sz="0" w:space="0" w:color="auto"/>
                    <w:bottom w:val="none" w:sz="0" w:space="0" w:color="auto"/>
                    <w:right w:val="none" w:sz="0" w:space="0" w:color="auto"/>
                  </w:divBdr>
                  <w:divsChild>
                    <w:div w:id="2036493452">
                      <w:marLeft w:val="0"/>
                      <w:marRight w:val="0"/>
                      <w:marTop w:val="0"/>
                      <w:marBottom w:val="0"/>
                      <w:divBdr>
                        <w:top w:val="none" w:sz="0" w:space="0" w:color="auto"/>
                        <w:left w:val="none" w:sz="0" w:space="0" w:color="auto"/>
                        <w:bottom w:val="none" w:sz="0" w:space="0" w:color="auto"/>
                        <w:right w:val="none" w:sz="0" w:space="0" w:color="auto"/>
                      </w:divBdr>
                      <w:divsChild>
                        <w:div w:id="2036493459">
                          <w:marLeft w:val="0"/>
                          <w:marRight w:val="0"/>
                          <w:marTop w:val="0"/>
                          <w:marBottom w:val="0"/>
                          <w:divBdr>
                            <w:top w:val="none" w:sz="0" w:space="0" w:color="auto"/>
                            <w:left w:val="none" w:sz="0" w:space="0" w:color="auto"/>
                            <w:bottom w:val="none" w:sz="0" w:space="0" w:color="auto"/>
                            <w:right w:val="none" w:sz="0" w:space="0" w:color="auto"/>
                          </w:divBdr>
                          <w:divsChild>
                            <w:div w:id="2036493462">
                              <w:marLeft w:val="0"/>
                              <w:marRight w:val="0"/>
                              <w:marTop w:val="0"/>
                              <w:marBottom w:val="0"/>
                              <w:divBdr>
                                <w:top w:val="none" w:sz="0" w:space="0" w:color="auto"/>
                                <w:left w:val="none" w:sz="0" w:space="0" w:color="auto"/>
                                <w:bottom w:val="none" w:sz="0" w:space="0" w:color="auto"/>
                                <w:right w:val="none" w:sz="0" w:space="0" w:color="auto"/>
                              </w:divBdr>
                              <w:divsChild>
                                <w:div w:id="2036493450">
                                  <w:marLeft w:val="0"/>
                                  <w:marRight w:val="0"/>
                                  <w:marTop w:val="0"/>
                                  <w:marBottom w:val="0"/>
                                  <w:divBdr>
                                    <w:top w:val="none" w:sz="0" w:space="0" w:color="auto"/>
                                    <w:left w:val="none" w:sz="0" w:space="0" w:color="auto"/>
                                    <w:bottom w:val="none" w:sz="0" w:space="0" w:color="auto"/>
                                    <w:right w:val="none" w:sz="0" w:space="0" w:color="auto"/>
                                  </w:divBdr>
                                </w:div>
                                <w:div w:id="2036493451">
                                  <w:marLeft w:val="0"/>
                                  <w:marRight w:val="0"/>
                                  <w:marTop w:val="0"/>
                                  <w:marBottom w:val="0"/>
                                  <w:divBdr>
                                    <w:top w:val="none" w:sz="0" w:space="0" w:color="auto"/>
                                    <w:left w:val="none" w:sz="0" w:space="0" w:color="auto"/>
                                    <w:bottom w:val="none" w:sz="0" w:space="0" w:color="auto"/>
                                    <w:right w:val="none" w:sz="0" w:space="0" w:color="auto"/>
                                  </w:divBdr>
                                </w:div>
                                <w:div w:id="2036493454">
                                  <w:marLeft w:val="0"/>
                                  <w:marRight w:val="0"/>
                                  <w:marTop w:val="0"/>
                                  <w:marBottom w:val="0"/>
                                  <w:divBdr>
                                    <w:top w:val="none" w:sz="0" w:space="0" w:color="auto"/>
                                    <w:left w:val="none" w:sz="0" w:space="0" w:color="auto"/>
                                    <w:bottom w:val="none" w:sz="0" w:space="0" w:color="auto"/>
                                    <w:right w:val="none" w:sz="0" w:space="0" w:color="auto"/>
                                  </w:divBdr>
                                </w:div>
                                <w:div w:id="2036493455">
                                  <w:marLeft w:val="0"/>
                                  <w:marRight w:val="0"/>
                                  <w:marTop w:val="0"/>
                                  <w:marBottom w:val="0"/>
                                  <w:divBdr>
                                    <w:top w:val="none" w:sz="0" w:space="0" w:color="auto"/>
                                    <w:left w:val="none" w:sz="0" w:space="0" w:color="auto"/>
                                    <w:bottom w:val="none" w:sz="0" w:space="0" w:color="auto"/>
                                    <w:right w:val="none" w:sz="0" w:space="0" w:color="auto"/>
                                  </w:divBdr>
                                </w:div>
                                <w:div w:id="2036493458">
                                  <w:marLeft w:val="0"/>
                                  <w:marRight w:val="0"/>
                                  <w:marTop w:val="0"/>
                                  <w:marBottom w:val="0"/>
                                  <w:divBdr>
                                    <w:top w:val="none" w:sz="0" w:space="0" w:color="auto"/>
                                    <w:left w:val="none" w:sz="0" w:space="0" w:color="auto"/>
                                    <w:bottom w:val="none" w:sz="0" w:space="0" w:color="auto"/>
                                    <w:right w:val="none" w:sz="0" w:space="0" w:color="auto"/>
                                  </w:divBdr>
                                </w:div>
                                <w:div w:id="203649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4934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Mortuary Practices -  </vt:lpstr>
    </vt:vector>
  </TitlesOfParts>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Mortuary Practices -</dc:title>
  <dc:subject/>
  <dc:creator>Administrator</dc:creator>
  <cp:keywords/>
  <dc:description/>
  <cp:lastModifiedBy>Toria Genn</cp:lastModifiedBy>
  <cp:revision>2</cp:revision>
  <dcterms:created xsi:type="dcterms:W3CDTF">2018-01-16T17:51:00Z</dcterms:created>
  <dcterms:modified xsi:type="dcterms:W3CDTF">2018-01-16T17:51:00Z</dcterms:modified>
</cp:coreProperties>
</file>