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C279B6" w:rsidRDefault="000B378C">
      <w:pPr>
        <w:rPr>
          <w:b/>
          <w:sz w:val="24"/>
        </w:rPr>
      </w:pPr>
      <w:bookmarkStart w:id="0" w:name="_GoBack"/>
      <w:bookmarkEnd w:id="0"/>
      <w:r w:rsidRPr="000B378C">
        <w:rPr>
          <w:b/>
          <w:sz w:val="24"/>
        </w:rPr>
        <w:t>Choose either one building or one object and explain its significance and importance within Islamic art and archaeology.</w:t>
      </w:r>
    </w:p>
    <w:p w:rsidR="00BD7AFE" w:rsidRDefault="009420BC" w:rsidP="005E1288">
      <w:pPr>
        <w:spacing w:line="360" w:lineRule="auto"/>
      </w:pPr>
      <w:r>
        <w:t>The building (or buildings) I have chosen to study within this essay is the palace complex of the Alhambra in the Moorish south of Spa</w:t>
      </w:r>
      <w:r w:rsidR="00FE6684">
        <w:t>in (Iberia)</w:t>
      </w:r>
      <w:r>
        <w:t>.</w:t>
      </w:r>
      <w:r w:rsidR="003D4875">
        <w:t xml:space="preserve"> As a building that has been expanded and added to throughout</w:t>
      </w:r>
      <w:r w:rsidR="000258B5">
        <w:t xml:space="preserve"> the</w:t>
      </w:r>
      <w:r w:rsidR="003D4875">
        <w:t xml:space="preserve"> </w:t>
      </w:r>
      <w:r w:rsidR="001E462D">
        <w:t>M</w:t>
      </w:r>
      <w:r w:rsidR="003D4875">
        <w:t>edieval</w:t>
      </w:r>
      <w:r w:rsidR="000258B5">
        <w:t xml:space="preserve"> </w:t>
      </w:r>
      <w:r w:rsidR="001E462D">
        <w:t>P</w:t>
      </w:r>
      <w:r w:rsidR="000258B5">
        <w:t xml:space="preserve">eriod </w:t>
      </w:r>
      <w:r w:rsidR="001E462D">
        <w:t>of</w:t>
      </w:r>
      <w:r w:rsidR="003D4875">
        <w:t xml:space="preserve"> </w:t>
      </w:r>
      <w:r w:rsidR="001E462D">
        <w:t>Europe</w:t>
      </w:r>
      <w:r w:rsidR="000258B5">
        <w:t xml:space="preserve">, the significance of </w:t>
      </w:r>
      <w:r w:rsidR="00924130">
        <w:t xml:space="preserve">the Islamic art and architecture </w:t>
      </w:r>
      <w:r w:rsidR="006B513F">
        <w:t>pushed beyond</w:t>
      </w:r>
      <w:r w:rsidR="00E347A6">
        <w:t xml:space="preserve"> just the Muslim understanding of the buildings. </w:t>
      </w:r>
      <w:r w:rsidR="00857718">
        <w:t>The palace</w:t>
      </w:r>
      <w:r w:rsidR="00857718" w:rsidRPr="00682457">
        <w:rPr>
          <w:sz w:val="20"/>
        </w:rPr>
        <w:t>’</w:t>
      </w:r>
      <w:r w:rsidR="00857718">
        <w:t>s many complexes allow for a variety of Islamic designs to be shown</w:t>
      </w:r>
      <w:r w:rsidR="00E3300F">
        <w:t>, as it was the head of the administration and the running of the cities under its control.</w:t>
      </w:r>
      <w:r w:rsidR="000B2FCE">
        <w:t xml:space="preserve"> With its construction beginning in 1238, the wealthy Nasrid dynasty of Granada laid the foundation for what </w:t>
      </w:r>
      <w:r w:rsidR="00CA7A1E">
        <w:t>is n</w:t>
      </w:r>
      <w:r w:rsidR="00BE4EE7">
        <w:t>ow one of</w:t>
      </w:r>
      <w:r w:rsidR="00CA7A1E">
        <w:t xml:space="preserve"> the most </w:t>
      </w:r>
      <w:r w:rsidR="00BE4EE7">
        <w:t>celebrated</w:t>
      </w:r>
      <w:r w:rsidR="00CA7A1E">
        <w:t xml:space="preserve"> site</w:t>
      </w:r>
      <w:r w:rsidR="00BE4EE7">
        <w:t>s</w:t>
      </w:r>
      <w:r w:rsidR="00CA7A1E">
        <w:t xml:space="preserve"> of H</w:t>
      </w:r>
      <w:r w:rsidR="00592CD1">
        <w:t>ispano-Arab</w:t>
      </w:r>
      <w:r w:rsidR="00CA7A1E">
        <w:t xml:space="preserve"> architecture.</w:t>
      </w:r>
      <w:r w:rsidR="00A52686">
        <w:rPr>
          <w:rStyle w:val="FootnoteReference"/>
        </w:rPr>
        <w:footnoteReference w:id="1"/>
      </w:r>
    </w:p>
    <w:p w:rsidR="00946D64" w:rsidRDefault="00946D64" w:rsidP="005E1288">
      <w:pPr>
        <w:spacing w:line="360" w:lineRule="auto"/>
      </w:pPr>
      <w:r>
        <w:t>The Alhambra palace structure is</w:t>
      </w:r>
      <w:r w:rsidR="00272025">
        <w:t xml:space="preserve"> built atop a hill in Granada, </w:t>
      </w:r>
      <w:r w:rsidR="00FE6684">
        <w:t>Southern Iberia</w:t>
      </w:r>
      <w:r w:rsidR="00272025">
        <w:t>, where a previous castle stood abandoned since the 11</w:t>
      </w:r>
      <w:r w:rsidR="00272025" w:rsidRPr="00272025">
        <w:rPr>
          <w:vertAlign w:val="superscript"/>
        </w:rPr>
        <w:t>th</w:t>
      </w:r>
      <w:r w:rsidR="00272025">
        <w:t xml:space="preserve"> century.</w:t>
      </w:r>
      <w:r w:rsidR="00FE6684">
        <w:t xml:space="preserve"> The Nasrid dynasty in Iberia</w:t>
      </w:r>
      <w:r w:rsidR="00C81694">
        <w:t xml:space="preserve"> came to the region after their successful defeat of the </w:t>
      </w:r>
      <w:r w:rsidR="00F47EDE">
        <w:t>Almo</w:t>
      </w:r>
      <w:r w:rsidR="003C6966">
        <w:t>ha</w:t>
      </w:r>
      <w:r w:rsidR="00F47EDE">
        <w:t xml:space="preserve">d rulers of northern Africa that previously had control of the </w:t>
      </w:r>
      <w:r w:rsidR="00FD2873">
        <w:t>Iberian Peninsula</w:t>
      </w:r>
      <w:r w:rsidR="00F47EDE">
        <w:t xml:space="preserve"> as well as important African cities such as Carthage</w:t>
      </w:r>
      <w:r w:rsidR="005148BD">
        <w:t>.</w:t>
      </w:r>
      <w:r w:rsidR="00895606">
        <w:rPr>
          <w:rStyle w:val="FootnoteReference"/>
        </w:rPr>
        <w:footnoteReference w:id="2"/>
      </w:r>
      <w:r w:rsidR="008D60FD">
        <w:t xml:space="preserve"> </w:t>
      </w:r>
      <w:r w:rsidR="00065672">
        <w:t>T</w:t>
      </w:r>
      <w:r w:rsidR="00B55F2A">
        <w:t xml:space="preserve">he </w:t>
      </w:r>
      <w:proofErr w:type="spellStart"/>
      <w:r w:rsidR="00B55F2A">
        <w:t>Nasrids</w:t>
      </w:r>
      <w:proofErr w:type="spellEnd"/>
      <w:r w:rsidR="00B55F2A">
        <w:t xml:space="preserve"> chose the site to be their centre </w:t>
      </w:r>
      <w:r w:rsidR="001E462D">
        <w:t xml:space="preserve">of empire, </w:t>
      </w:r>
      <w:r w:rsidR="00B55F2A">
        <w:t>a sign of importance and of power</w:t>
      </w:r>
      <w:r w:rsidR="00926220">
        <w:t xml:space="preserve"> with its location.</w:t>
      </w:r>
      <w:r w:rsidR="00065672">
        <w:t xml:space="preserve"> </w:t>
      </w:r>
      <w:r w:rsidR="00CC3D96">
        <w:t xml:space="preserve">The </w:t>
      </w:r>
      <w:proofErr w:type="spellStart"/>
      <w:r w:rsidR="00CC3D96">
        <w:t>Nastrids</w:t>
      </w:r>
      <w:proofErr w:type="spellEnd"/>
      <w:r w:rsidR="00CC3D96">
        <w:t xml:space="preserve"> in Iberia ruled from the defeat of the </w:t>
      </w:r>
      <w:proofErr w:type="spellStart"/>
      <w:r w:rsidR="00CC3D96">
        <w:t>Almohads</w:t>
      </w:r>
      <w:proofErr w:type="spellEnd"/>
      <w:r w:rsidR="00CC3D96">
        <w:t xml:space="preserve"> in 1212 at the Battle of Las </w:t>
      </w:r>
      <w:proofErr w:type="spellStart"/>
      <w:r w:rsidR="00CC3D96">
        <w:t>Navas</w:t>
      </w:r>
      <w:proofErr w:type="spellEnd"/>
      <w:r w:rsidR="00CC3D96">
        <w:t xml:space="preserve"> De </w:t>
      </w:r>
      <w:proofErr w:type="spellStart"/>
      <w:r w:rsidR="00CC3D96">
        <w:t>Tolosa</w:t>
      </w:r>
      <w:proofErr w:type="spellEnd"/>
      <w:r w:rsidR="00CC3D96">
        <w:t>, through to the Christian Reconquista of 1492</w:t>
      </w:r>
      <w:r w:rsidR="006D550A">
        <w:t xml:space="preserve"> with a total of 23 emirs.</w:t>
      </w:r>
      <w:r w:rsidR="00B86DD3">
        <w:rPr>
          <w:rStyle w:val="FootnoteReference"/>
        </w:rPr>
        <w:footnoteReference w:id="3"/>
      </w:r>
      <w:r w:rsidR="00DE3C5B">
        <w:t xml:space="preserve"> </w:t>
      </w:r>
      <w:r w:rsidR="00771A10">
        <w:t xml:space="preserve">The palace </w:t>
      </w:r>
      <w:r w:rsidR="00227FEE">
        <w:t>is made up of</w:t>
      </w:r>
      <w:r w:rsidR="00771A10">
        <w:t xml:space="preserve"> 1730 metres of</w:t>
      </w:r>
      <w:r w:rsidR="001E5B55">
        <w:t xml:space="preserve"> city walls, with a total of four gates and official entrances, with 26 acres covering the total of the palace including the structures, interconnected with gardens and pathways.</w:t>
      </w:r>
      <w:r w:rsidR="00710345">
        <w:t xml:space="preserve"> </w:t>
      </w:r>
      <w:r w:rsidR="005F2F51">
        <w:t xml:space="preserve">The design of the city walls </w:t>
      </w:r>
      <w:r w:rsidR="00D642AA">
        <w:t>echoes</w:t>
      </w:r>
      <w:r w:rsidR="005F2F51">
        <w:t xml:space="preserve"> some religious meaning with the 4 gates representing the cardinal directions, </w:t>
      </w:r>
      <w:r w:rsidR="00CF0B1D">
        <w:t>letting the spaces between public and privacy become more fluid.</w:t>
      </w:r>
      <w:r w:rsidR="00435F4C">
        <w:rPr>
          <w:rStyle w:val="FootnoteReference"/>
        </w:rPr>
        <w:footnoteReference w:id="4"/>
      </w:r>
      <w:r w:rsidR="00737F8A">
        <w:t xml:space="preserve"> </w:t>
      </w:r>
      <w:r w:rsidR="00710345">
        <w:t xml:space="preserve">Three main areas within the Islamic palace are </w:t>
      </w:r>
      <w:r w:rsidR="00A01413">
        <w:t>the largest</w:t>
      </w:r>
      <w:r w:rsidR="00710345">
        <w:t xml:space="preserve">, the citadel, the royal </w:t>
      </w:r>
      <w:r w:rsidR="003C55B8">
        <w:t>apartments,</w:t>
      </w:r>
      <w:r w:rsidR="00710345">
        <w:t xml:space="preserve"> and the barracks of the city guard.</w:t>
      </w:r>
      <w:r w:rsidR="00C96F2D">
        <w:rPr>
          <w:rStyle w:val="FootnoteReference"/>
        </w:rPr>
        <w:footnoteReference w:id="5"/>
      </w:r>
    </w:p>
    <w:p w:rsidR="007B58B0" w:rsidRDefault="00056CED" w:rsidP="005E1288">
      <w:pPr>
        <w:spacing w:line="360" w:lineRule="auto"/>
      </w:pPr>
      <w:r>
        <w:t xml:space="preserve">The palatial architecture is most notable in the three Islamic courts; the Palace of the Lions, The </w:t>
      </w:r>
      <w:proofErr w:type="spellStart"/>
      <w:r>
        <w:t>Comares</w:t>
      </w:r>
      <w:proofErr w:type="spellEnd"/>
      <w:r>
        <w:t xml:space="preserve"> Palace, and the </w:t>
      </w:r>
      <w:proofErr w:type="spellStart"/>
      <w:r>
        <w:t>Partal</w:t>
      </w:r>
      <w:proofErr w:type="spellEnd"/>
      <w:r>
        <w:t xml:space="preserve"> Palace.</w:t>
      </w:r>
      <w:r w:rsidR="008E7A06">
        <w:t xml:space="preserve"> The Palace of the Lions is famed for its </w:t>
      </w:r>
      <w:r w:rsidR="007F1FFA">
        <w:t xml:space="preserve">12 marble lions </w:t>
      </w:r>
      <w:r w:rsidR="0010613D">
        <w:t xml:space="preserve">and hydraulic system that runs throughout the structures, </w:t>
      </w:r>
      <w:r w:rsidR="001F390A">
        <w:t>with two water</w:t>
      </w:r>
      <w:r w:rsidR="00467F49">
        <w:t>ways to emphasise the importance of water within the climate as well as religion.</w:t>
      </w:r>
      <w:r w:rsidR="00586ED6">
        <w:t xml:space="preserve"> Within the extensive gardens of the palace, the mirroring of nature represents the idea of paradise within </w:t>
      </w:r>
      <w:r w:rsidR="00071356">
        <w:t xml:space="preserve">the </w:t>
      </w:r>
      <w:r w:rsidR="00586ED6">
        <w:t>religious context, quoted in the Qur</w:t>
      </w:r>
      <w:r w:rsidR="00586ED6" w:rsidRPr="00D855B4">
        <w:rPr>
          <w:sz w:val="20"/>
        </w:rPr>
        <w:t>’</w:t>
      </w:r>
      <w:r w:rsidR="00586ED6">
        <w:t>an 2:25 ‘gardens, underneath which running waters flow.’</w:t>
      </w:r>
      <w:r w:rsidR="00BC6FA5">
        <w:rPr>
          <w:rStyle w:val="FootnoteReference"/>
        </w:rPr>
        <w:footnoteReference w:id="6"/>
      </w:r>
      <w:r w:rsidR="00DC72C5">
        <w:t xml:space="preserve"> </w:t>
      </w:r>
      <w:r w:rsidR="00553D21">
        <w:t xml:space="preserve">The importance of this section of the palace is to demonstrate the importance of the script to the design of the architecture, </w:t>
      </w:r>
      <w:r w:rsidR="00553D21">
        <w:lastRenderedPageBreak/>
        <w:t xml:space="preserve">emphasising and respecting it as part of the lifestyle. </w:t>
      </w:r>
      <w:r w:rsidR="008D33B3">
        <w:t>The use of water throughout the designs of this palace is essential in understanding the views and artistic impression of the time, however</w:t>
      </w:r>
      <w:r w:rsidR="003F479F">
        <w:t>,</w:t>
      </w:r>
      <w:r w:rsidR="008D33B3">
        <w:t xml:space="preserve"> it also plays a more significant practical part of the design of the palace.</w:t>
      </w:r>
      <w:r w:rsidR="00602DC8">
        <w:t xml:space="preserve"> By ensuring the integrated water systems run throughout the palace, there </w:t>
      </w:r>
      <w:r w:rsidR="00BF01DA">
        <w:t xml:space="preserve">is a guaranteed ‘air conditioning’ style </w:t>
      </w:r>
      <w:r w:rsidR="0000030F">
        <w:t xml:space="preserve">climate regulator for </w:t>
      </w:r>
      <w:r w:rsidR="00055CA0">
        <w:t>more comfortable</w:t>
      </w:r>
      <w:r w:rsidR="0000030F">
        <w:t xml:space="preserve"> living</w:t>
      </w:r>
      <w:r w:rsidR="00A0300C">
        <w:t xml:space="preserve"> and an echo of paradise</w:t>
      </w:r>
      <w:r w:rsidR="0000030F">
        <w:t>.</w:t>
      </w:r>
      <w:r w:rsidR="00A0300C">
        <w:rPr>
          <w:rStyle w:val="FootnoteReference"/>
        </w:rPr>
        <w:footnoteReference w:id="7"/>
      </w:r>
      <w:r w:rsidR="002A7740">
        <w:t xml:space="preserve"> Other structures surrounding and leading</w:t>
      </w:r>
      <w:r w:rsidR="00D855B4">
        <w:t xml:space="preserve"> from these </w:t>
      </w:r>
      <w:r w:rsidR="00601892">
        <w:t>are</w:t>
      </w:r>
      <w:r w:rsidR="00D855B4">
        <w:t xml:space="preserve"> the Halls of the Kings, with high European style vaulted ceilings and paintings of courtly life, </w:t>
      </w:r>
      <w:r w:rsidR="00F71B58">
        <w:t>in old Arabic style using hides attached to the ceiling.</w:t>
      </w:r>
      <w:r w:rsidR="001E15C2">
        <w:t xml:space="preserve"> These rooms also include </w:t>
      </w:r>
      <w:r w:rsidR="008A0FF4">
        <w:t>large domed rooms, representative of the sky and the endlessness of nature and creation.</w:t>
      </w:r>
      <w:r w:rsidR="006564E9">
        <w:rPr>
          <w:rStyle w:val="FootnoteReference"/>
        </w:rPr>
        <w:footnoteReference w:id="8"/>
      </w:r>
      <w:r w:rsidR="00553D21">
        <w:t xml:space="preserve"> </w:t>
      </w:r>
    </w:p>
    <w:p w:rsidR="00E959D2" w:rsidRDefault="00E959D2" w:rsidP="005E1288">
      <w:pPr>
        <w:spacing w:line="360" w:lineRule="auto"/>
      </w:pPr>
      <w:r>
        <w:t xml:space="preserve">The </w:t>
      </w:r>
      <w:r w:rsidR="00C60264">
        <w:t xml:space="preserve">second Palace of </w:t>
      </w:r>
      <w:proofErr w:type="spellStart"/>
      <w:r w:rsidR="00C60264">
        <w:t>Comares</w:t>
      </w:r>
      <w:proofErr w:type="spellEnd"/>
      <w:r w:rsidR="00C60264">
        <w:t xml:space="preserve"> demonstrates the intricacy and precision of Islamic design. Acting as a throne room for the rulers of the time, it is the most decorative hall in the palace, with colourful latticework incorporating calligraphy and script.</w:t>
      </w:r>
      <w:r w:rsidR="007307E8">
        <w:t xml:space="preserve"> With the thrones imitating and representing the sacred mountain, the tall ceiling</w:t>
      </w:r>
      <w:r w:rsidR="000D5A41">
        <w:t>s</w:t>
      </w:r>
      <w:r w:rsidR="007307E8">
        <w:t xml:space="preserve"> have religious connotations as well as the artistic designs.</w:t>
      </w:r>
      <w:r w:rsidR="00C60264">
        <w:t xml:space="preserve"> </w:t>
      </w:r>
      <w:r w:rsidR="00C31C7A">
        <w:t xml:space="preserve">The designs within this room are </w:t>
      </w:r>
      <w:r w:rsidR="00122BFC">
        <w:t>coloured using opposite and adjacent colours, demonstrating a colour play between contrasting and complimentary colours as they were used to signify the importance of the natural world and the ‘quadrants of a man</w:t>
      </w:r>
      <w:r w:rsidR="00122BFC" w:rsidRPr="00122BFC">
        <w:rPr>
          <w:sz w:val="20"/>
        </w:rPr>
        <w:t>’</w:t>
      </w:r>
      <w:r w:rsidR="00122BFC">
        <w:t>s life.’</w:t>
      </w:r>
      <w:r w:rsidR="00070192">
        <w:rPr>
          <w:rStyle w:val="FootnoteReference"/>
        </w:rPr>
        <w:footnoteReference w:id="9"/>
      </w:r>
      <w:r w:rsidR="00070192">
        <w:t xml:space="preserve"> Other typical Islamic styles of architecture in this palace </w:t>
      </w:r>
      <w:r w:rsidR="006E07D3">
        <w:t>that are important to the overall structure is the use of tiling in the rooms, on the floor and walls</w:t>
      </w:r>
      <w:r w:rsidR="00D972ED">
        <w:t>.</w:t>
      </w:r>
      <w:r w:rsidR="00A22A32">
        <w:t xml:space="preserve"> The use of coloured ceramics within the throne room indicates the advancement in pottery that had been shared with the Islamic world from developments in </w:t>
      </w:r>
      <w:r w:rsidR="00C30BD3">
        <w:t>the middle east, to improve colour and quality, also as an indication of wealth.</w:t>
      </w:r>
      <w:r w:rsidR="00EC61D3">
        <w:t xml:space="preserve"> The use of geometry in the designs is significant because the architects believed that numbers, lines, shapes</w:t>
      </w:r>
      <w:r w:rsidR="008D33B3">
        <w:t>,</w:t>
      </w:r>
      <w:r w:rsidR="00EC61D3">
        <w:t xml:space="preserve"> and symmetry awoke the soul and gave way for spiritual expression</w:t>
      </w:r>
      <w:r w:rsidR="0016173B">
        <w:t>, meaning the use of mathematics to determine patterns became more prominent</w:t>
      </w:r>
      <w:r w:rsidR="00EC61D3">
        <w:t>.</w:t>
      </w:r>
      <w:r w:rsidR="00A85A25">
        <w:rPr>
          <w:rStyle w:val="FootnoteReference"/>
        </w:rPr>
        <w:footnoteReference w:id="10"/>
      </w:r>
    </w:p>
    <w:p w:rsidR="007307E8" w:rsidRDefault="007307E8" w:rsidP="005E1288">
      <w:pPr>
        <w:spacing w:line="360" w:lineRule="auto"/>
      </w:pPr>
      <w:r>
        <w:t xml:space="preserve">Another key significance of the Alhambra to Islamic art and architecture is that </w:t>
      </w:r>
      <w:r w:rsidR="007269BD">
        <w:t>the</w:t>
      </w:r>
      <w:r>
        <w:t xml:space="preserve"> positioning is very particular, </w:t>
      </w:r>
      <w:r w:rsidR="005C6F41">
        <w:t xml:space="preserve">Earle (1981) </w:t>
      </w:r>
      <w:r w:rsidR="0028613B">
        <w:t>addresses that it looks out over ‘the most fertile and lush river valleys in Europe’ to one side of it, and to the other ‘extending upwards to the high snowfields in Spain’</w:t>
      </w:r>
      <w:r w:rsidR="00621DF4">
        <w:t xml:space="preserve"> emphasising the importance of water within the palace complex.</w:t>
      </w:r>
      <w:r w:rsidR="0028613B">
        <w:rPr>
          <w:rStyle w:val="FootnoteReference"/>
        </w:rPr>
        <w:footnoteReference w:id="11"/>
      </w:r>
      <w:r w:rsidR="00ED3511">
        <w:t xml:space="preserve"> </w:t>
      </w:r>
      <w:r w:rsidR="007269BD">
        <w:t xml:space="preserve">With the axes of the palace </w:t>
      </w:r>
      <w:r w:rsidR="007430FD">
        <w:t>not typical of a regular palace due to its location, the entire palace itself cannot point towards Mecca. However</w:t>
      </w:r>
      <w:r w:rsidR="0007770C">
        <w:t>;</w:t>
      </w:r>
      <w:r w:rsidR="007430FD">
        <w:t xml:space="preserve"> all the </w:t>
      </w:r>
      <w:proofErr w:type="spellStart"/>
      <w:r w:rsidR="007430FD">
        <w:t>Miqurabs</w:t>
      </w:r>
      <w:proofErr w:type="spellEnd"/>
      <w:r w:rsidR="007430FD">
        <w:t xml:space="preserve"> within the palace</w:t>
      </w:r>
      <w:r w:rsidR="007430FD" w:rsidRPr="00D20D27">
        <w:rPr>
          <w:sz w:val="20"/>
        </w:rPr>
        <w:t>’</w:t>
      </w:r>
      <w:r w:rsidR="007430FD">
        <w:t>s many prayer rooms point as accurately as possible towards to Ka</w:t>
      </w:r>
      <w:r w:rsidR="007430FD" w:rsidRPr="007430FD">
        <w:rPr>
          <w:sz w:val="20"/>
        </w:rPr>
        <w:t>’</w:t>
      </w:r>
      <w:r w:rsidR="007430FD">
        <w:t xml:space="preserve">ba. </w:t>
      </w:r>
      <w:r w:rsidR="0007770C">
        <w:t xml:space="preserve">Sacred geography within the palace complex allows for easier access to worship </w:t>
      </w:r>
      <w:r w:rsidR="0007770C">
        <w:lastRenderedPageBreak/>
        <w:t>but also by keeping with the regal standards of the dynasty that commissioned it.</w:t>
      </w:r>
      <w:r w:rsidR="00146500">
        <w:rPr>
          <w:rStyle w:val="FootnoteReference"/>
        </w:rPr>
        <w:footnoteReference w:id="12"/>
      </w:r>
      <w:r w:rsidR="00C324AF">
        <w:t xml:space="preserve"> </w:t>
      </w:r>
      <w:r w:rsidR="004079C0">
        <w:t xml:space="preserve">The chapel of the </w:t>
      </w:r>
      <w:r w:rsidR="00655DBD">
        <w:rPr>
          <w:noProof/>
        </w:rPr>
        <w:drawing>
          <wp:anchor distT="0" distB="0" distL="114300" distR="114300" simplePos="0" relativeHeight="251658240" behindDoc="1" locked="0" layoutInCell="1" allowOverlap="1">
            <wp:simplePos x="0" y="0"/>
            <wp:positionH relativeFrom="margin">
              <wp:posOffset>4047159</wp:posOffset>
            </wp:positionH>
            <wp:positionV relativeFrom="paragraph">
              <wp:posOffset>261482</wp:posOffset>
            </wp:positionV>
            <wp:extent cx="2394585" cy="1828800"/>
            <wp:effectExtent l="0" t="0" r="5715" b="0"/>
            <wp:wrapTight wrapText="bothSides">
              <wp:wrapPolygon edited="0">
                <wp:start x="0" y="0"/>
                <wp:lineTo x="0" y="21375"/>
                <wp:lineTo x="21480" y="21375"/>
                <wp:lineTo x="21480" y="0"/>
                <wp:lineTo x="0" y="0"/>
              </wp:wrapPolygon>
            </wp:wrapTight>
            <wp:docPr id="1" name="Picture 1" descr="http://www.alhambra-patronato.es/ria/bitstream/handle/10514/13339/F-13354.jpg?sequenc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lhambra-patronato.es/ria/bitstream/handle/10514/13339/F-13354.jpg?sequence=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94585" cy="18288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4079C0">
        <w:t>Partal</w:t>
      </w:r>
      <w:proofErr w:type="spellEnd"/>
      <w:r w:rsidR="004079C0">
        <w:t xml:space="preserve"> structures demonstrate the Muslim Alhambra and the significance of the rich ornamentation, including the direction, facing Mecca, and religious importance of the orientation of the building. </w:t>
      </w:r>
      <w:r w:rsidR="00655DBD">
        <w:t>By taking the geometric importance of the designs in this building, it really shows that symmetry with the art and masonry, but also with the tower itself, with parallel and symmetrical window and arch features. (Right, Fig.1)</w:t>
      </w:r>
      <w:r w:rsidR="00945F1D">
        <w:rPr>
          <w:rStyle w:val="FootnoteReference"/>
        </w:rPr>
        <w:footnoteReference w:id="13"/>
      </w:r>
    </w:p>
    <w:p w:rsidR="00FE353B" w:rsidRDefault="00580BD5" w:rsidP="005E1288">
      <w:pPr>
        <w:spacing w:line="360" w:lineRule="auto"/>
      </w:pPr>
      <w:r>
        <w:t>Another architectural significance within the palace is the idea of ‘ornamentation.’</w:t>
      </w:r>
      <w:r w:rsidR="00BB198D">
        <w:t xml:space="preserve"> Bringing the script to life with architecture and broadening the intimacy with the visitor and the religion.</w:t>
      </w:r>
      <w:r w:rsidR="00F578E0">
        <w:t xml:space="preserve"> As the most significant features of Islamic art and architecture are ideas that mirror and emphasise the importance of Islamic faith and values, using traditional and untraditional ways of expressing it.</w:t>
      </w:r>
      <w:r w:rsidR="00722E99">
        <w:t xml:space="preserve"> </w:t>
      </w:r>
      <w:r w:rsidR="00D20D27">
        <w:t>The importance of the Qur</w:t>
      </w:r>
      <w:r w:rsidR="00D20D27" w:rsidRPr="00D20D27">
        <w:rPr>
          <w:sz w:val="20"/>
        </w:rPr>
        <w:t>’</w:t>
      </w:r>
      <w:r w:rsidR="00D20D27">
        <w:t xml:space="preserve">an and the Kufic script is the main feature of the art within the buildings, being used on all materials from </w:t>
      </w:r>
      <w:r w:rsidR="00450CF4">
        <w:t xml:space="preserve">the </w:t>
      </w:r>
      <w:r w:rsidR="00D20D27">
        <w:t xml:space="preserve">woodwork in the </w:t>
      </w:r>
      <w:proofErr w:type="spellStart"/>
      <w:r w:rsidR="00D20D27">
        <w:t>Comares</w:t>
      </w:r>
      <w:proofErr w:type="spellEnd"/>
      <w:r w:rsidR="00D20D27">
        <w:t xml:space="preserve"> rooms, to the ceramic tiles places near prayer areas to invoke spirituality.</w:t>
      </w:r>
      <w:r w:rsidR="002425CB">
        <w:t xml:space="preserve"> Calligraphy was worked into the very fibres of the buildings, ensuring that the script stand</w:t>
      </w:r>
      <w:r w:rsidR="004A648C">
        <w:t>s</w:t>
      </w:r>
      <w:r w:rsidR="002425CB">
        <w:t xml:space="preserve"> above all, and letting all who visit know of their religious conviction with a display of wealth exploring the passages through art. Later designs included material such as silks, which could be hung as a tapestry type object or draped.</w:t>
      </w:r>
      <w:r w:rsidR="00852AFF">
        <w:rPr>
          <w:rStyle w:val="FootnoteReference"/>
        </w:rPr>
        <w:footnoteReference w:id="14"/>
      </w:r>
      <w:r w:rsidR="00B7781D">
        <w:t xml:space="preserve"> A lot of what we see of the architecture today has been reconstructed to be more accessible and to look more presentable to the public, however emphasis remains on the red-earth colours of the </w:t>
      </w:r>
      <w:r w:rsidR="006B79FF">
        <w:t xml:space="preserve">rock and dirt of the region, but also keeping with the religious colour schemes, with the wholeness of the earth being represented </w:t>
      </w:r>
      <w:r w:rsidR="00523B3D">
        <w:t>by</w:t>
      </w:r>
      <w:r w:rsidR="006B79FF">
        <w:t xml:space="preserve"> grey</w:t>
      </w:r>
      <w:r w:rsidR="00E257E4">
        <w:t xml:space="preserve"> or </w:t>
      </w:r>
      <w:r w:rsidR="006B79FF">
        <w:t>brown earth colours.</w:t>
      </w:r>
      <w:r w:rsidR="00C87355">
        <w:rPr>
          <w:rStyle w:val="FootnoteReference"/>
        </w:rPr>
        <w:footnoteReference w:id="15"/>
      </w:r>
      <w:r w:rsidR="008F5831">
        <w:t xml:space="preserve"> Colours within Islamic art and archaeology are incredibly important as they are representative of the light spectrum, </w:t>
      </w:r>
      <w:r w:rsidR="003D3463">
        <w:t>and the four primary colours, symbolising different things such as the seasons, the elements, the quadrants of the day or the natural cycles of the world, staying with the traditional Islamic artistic theme of incorporating realism and naturalistic elements of the earth into its importance.</w:t>
      </w:r>
      <w:r w:rsidR="009022D3">
        <w:t xml:space="preserve"> </w:t>
      </w:r>
    </w:p>
    <w:p w:rsidR="00E06E27" w:rsidRDefault="00722E99" w:rsidP="005E1288">
      <w:pPr>
        <w:spacing w:line="360" w:lineRule="auto"/>
      </w:pPr>
      <w:r>
        <w:t xml:space="preserve">Within the now-integrated Hispanic cultures that the </w:t>
      </w:r>
      <w:proofErr w:type="spellStart"/>
      <w:r>
        <w:t>Nasrids</w:t>
      </w:r>
      <w:proofErr w:type="spellEnd"/>
      <w:r>
        <w:t xml:space="preserve"> moved into, </w:t>
      </w:r>
      <w:r w:rsidR="00430220">
        <w:t xml:space="preserve">the designs and styles differ </w:t>
      </w:r>
      <w:r w:rsidR="00981F2F">
        <w:t>from</w:t>
      </w:r>
      <w:r w:rsidR="00430220">
        <w:t xml:space="preserve"> those native to the middle eastern culture.</w:t>
      </w:r>
      <w:r w:rsidR="004727C7">
        <w:t xml:space="preserve"> As the tradesmen and craftsmen that worked on the palace were more local and more regional, </w:t>
      </w:r>
      <w:r w:rsidR="00A013F9">
        <w:t xml:space="preserve">the designs had influences </w:t>
      </w:r>
      <w:r w:rsidR="008C6D34">
        <w:t xml:space="preserve">from Christian builders and workers in the areas, especially with the later additions and extra structures built in the </w:t>
      </w:r>
      <w:r w:rsidR="008C6D34">
        <w:lastRenderedPageBreak/>
        <w:t>surrounding cit</w:t>
      </w:r>
      <w:r w:rsidR="000C60DE">
        <w:t>y complex.</w:t>
      </w:r>
      <w:r w:rsidR="00422B78">
        <w:t xml:space="preserve"> </w:t>
      </w:r>
      <w:r w:rsidR="00F72F9A">
        <w:t>Spanish</w:t>
      </w:r>
      <w:r w:rsidR="009F01BD">
        <w:t xml:space="preserve">-Islamic towns had influences within the palace because of their </w:t>
      </w:r>
      <w:r w:rsidR="00273669">
        <w:t xml:space="preserve">adapted traditions and town structures, with the addition of Spanish-Islamic bathhouses and the varied heights of the towers and complexes </w:t>
      </w:r>
      <w:r w:rsidR="00EC47C1">
        <w:t>and large patio spaces</w:t>
      </w:r>
      <w:r w:rsidR="00280A39">
        <w:t xml:space="preserve"> positioned to catch the maximum amount of sunlight</w:t>
      </w:r>
      <w:r w:rsidR="00EC47C1">
        <w:t>.</w:t>
      </w:r>
      <w:r w:rsidR="0085623D">
        <w:rPr>
          <w:rStyle w:val="FootnoteReference"/>
        </w:rPr>
        <w:footnoteReference w:id="16"/>
      </w:r>
      <w:r w:rsidR="00696112">
        <w:t xml:space="preserve"> As the Islamic takeover of southern Iberia began to settle, the cities and towns became ‘a more homogenous Hispano-Arab society’</w:t>
      </w:r>
      <w:r w:rsidR="008A19F4">
        <w:t xml:space="preserve"> allowing for the settlement and acceptance of a merge and mesh of cultural traditions</w:t>
      </w:r>
      <w:r w:rsidR="005B1ADE">
        <w:t>. With the introduction of new irrigation techniques during their rule here, the prosperity of the region was doubled because of the more fertile and more successful crop being produced.</w:t>
      </w:r>
      <w:r w:rsidR="005B1ADE">
        <w:rPr>
          <w:rStyle w:val="FootnoteReference"/>
        </w:rPr>
        <w:footnoteReference w:id="17"/>
      </w:r>
    </w:p>
    <w:p w:rsidR="002622C8" w:rsidRDefault="002622C8" w:rsidP="005E1288">
      <w:pPr>
        <w:spacing w:line="360" w:lineRule="auto"/>
      </w:pPr>
      <w:r>
        <w:t xml:space="preserve">These joint cultural traditions </w:t>
      </w:r>
      <w:r w:rsidR="007E4255">
        <w:t>led on to the final years of the Islamic control with the lead up to the Reconquista of 1492, but the architecture went on to be central to a lot of Spanish-Catholic culture</w:t>
      </w:r>
      <w:r w:rsidR="00D70EE4">
        <w:t xml:space="preserve"> including being the place where Christopher Columbus was given patronage for his voyages to the New World</w:t>
      </w:r>
      <w:r w:rsidR="007E4255">
        <w:t xml:space="preserve">. </w:t>
      </w:r>
      <w:r w:rsidR="00F85B1B">
        <w:t>When Ferdinand of Aragon and Isabella of Castile</w:t>
      </w:r>
      <w:r w:rsidR="00CD18D4">
        <w:t xml:space="preserve"> reunited Spain under the Catholic faith, the Alhambra was taken and shown as a symbolic effort of the Reconquest. </w:t>
      </w:r>
      <w:r w:rsidR="00655A7B">
        <w:t>By claiming the rights over the most powerful and long</w:t>
      </w:r>
      <w:r w:rsidR="006E1C09">
        <w:t>-</w:t>
      </w:r>
      <w:r w:rsidR="00655A7B">
        <w:t xml:space="preserve">standing piece of Islamic-Moorish architecture, it symbolises the fall of the </w:t>
      </w:r>
      <w:r w:rsidR="005B1ADE">
        <w:t xml:space="preserve">once </w:t>
      </w:r>
      <w:r w:rsidR="00435388">
        <w:t xml:space="preserve">dominant power </w:t>
      </w:r>
      <w:r w:rsidR="003E6949">
        <w:t>in the region.</w:t>
      </w:r>
      <w:r w:rsidR="005B1ADE">
        <w:t xml:space="preserve"> With the surrender of </w:t>
      </w:r>
      <w:r w:rsidR="00D649EB">
        <w:t xml:space="preserve">the last Nasrid Caliph, and the control of the Spanish monarchy, the palace underwent some changes and additions, taking a more traditional </w:t>
      </w:r>
      <w:r w:rsidR="002D273A">
        <w:t>approach with Charles V building an additional palace structure in a more contemporary crescent</w:t>
      </w:r>
      <w:r w:rsidR="00C110F1">
        <w:t>-</w:t>
      </w:r>
      <w:r w:rsidR="002D273A">
        <w:t>shaped open courtyard</w:t>
      </w:r>
      <w:r w:rsidR="007D78D0">
        <w:t xml:space="preserve"> within the citadel;</w:t>
      </w:r>
      <w:r w:rsidR="002D273A">
        <w:t xml:space="preserve"> but keeping with the </w:t>
      </w:r>
      <w:r w:rsidR="00891096">
        <w:t>open courtly feel of more traditional northern Spanish architecture</w:t>
      </w:r>
      <w:r w:rsidR="00E76F0C">
        <w:t>, but leaving the Arab palace untouched.</w:t>
      </w:r>
    </w:p>
    <w:p w:rsidR="0049624F" w:rsidRDefault="009022D3" w:rsidP="007D60AB">
      <w:pPr>
        <w:spacing w:line="360" w:lineRule="auto"/>
      </w:pPr>
      <w:r>
        <w:t xml:space="preserve">Within the Alhambra, there are demonstrations of a range of architectures, ranging from the simple religious worship buildings that follow a uniform setting, through to the new and innovative ways of incorporating the scripture through </w:t>
      </w:r>
      <w:r w:rsidR="00193F4D">
        <w:t xml:space="preserve">some </w:t>
      </w:r>
      <w:r w:rsidR="004F2FA3">
        <w:t xml:space="preserve">of the </w:t>
      </w:r>
      <w:r>
        <w:t>representation</w:t>
      </w:r>
      <w:r w:rsidR="003F479F">
        <w:t>s</w:t>
      </w:r>
      <w:r>
        <w:t xml:space="preserve"> of water, </w:t>
      </w:r>
      <w:proofErr w:type="gramStart"/>
      <w:r>
        <w:t>imagery</w:t>
      </w:r>
      <w:proofErr w:type="gramEnd"/>
      <w:r>
        <w:t xml:space="preserve"> and colours</w:t>
      </w:r>
      <w:r w:rsidR="0016173B">
        <w:t>.</w:t>
      </w:r>
      <w:r w:rsidR="007D60AB">
        <w:t xml:space="preserve"> Reflecting the important parts of the religious text, with the dome features invoking the sky, the gardens representing paradise and the thrones and wall towers representing the sacred mountain, architecture has a religious basis.</w:t>
      </w:r>
      <w:r w:rsidR="009758E3">
        <w:t xml:space="preserve"> Other key important features of the palace </w:t>
      </w:r>
      <w:proofErr w:type="gramStart"/>
      <w:r w:rsidR="009758E3">
        <w:t>is</w:t>
      </w:r>
      <w:proofErr w:type="gramEnd"/>
      <w:r w:rsidR="009758E3">
        <w:t xml:space="preserve"> that of the location and orientation, the location is atop a hill on the site of old castles and forts, demonstrating the choice to be the best and most visible architecture of the region, and they succeeded.</w:t>
      </w:r>
      <w:r w:rsidR="00134B7C">
        <w:t xml:space="preserve"> With the axes pointing south and all religious houses pointing to Mecca, </w:t>
      </w:r>
      <w:r w:rsidR="004C0925">
        <w:t xml:space="preserve">the design is regular to Islamic palaces, but still allowing for that small contemporary </w:t>
      </w:r>
      <w:r w:rsidR="00446359">
        <w:t>changes to be made with the incorporation of the Spanish designs or influences.</w:t>
      </w:r>
      <w:r w:rsidR="00B335CC">
        <w:t xml:space="preserve"> </w:t>
      </w:r>
      <w:r w:rsidR="00874F71">
        <w:t xml:space="preserve">With the inherently Islamic designs withstanding over a thousand years of history, it is a testament to Islamic </w:t>
      </w:r>
      <w:r w:rsidR="000F3A48">
        <w:t xml:space="preserve">architecture and building, with the ideas and effects of </w:t>
      </w:r>
      <w:r w:rsidR="000F3A48">
        <w:lastRenderedPageBreak/>
        <w:t>the prosperity and contributions of the Moors of Al-Andalus are still seen today, making the Alhambra palace complex an incredible Islamic creation that will stand and inspire others</w:t>
      </w:r>
      <w:r w:rsidR="00F41528">
        <w:t xml:space="preserve"> and educate people today whom may not be able to access the art, archaeology and architecture that resides in the politically divided middle east today.</w:t>
      </w:r>
    </w:p>
    <w:p w:rsidR="007D60AB" w:rsidRDefault="007D60AB" w:rsidP="007D60AB">
      <w:pPr>
        <w:spacing w:line="360" w:lineRule="auto"/>
      </w:pPr>
    </w:p>
    <w:p w:rsidR="007D60AB" w:rsidRDefault="007D60AB" w:rsidP="007D60AB">
      <w:pPr>
        <w:spacing w:line="360" w:lineRule="auto"/>
      </w:pPr>
    </w:p>
    <w:p w:rsidR="0049624F" w:rsidRDefault="0049624F"/>
    <w:p w:rsidR="0049624F" w:rsidRDefault="0049624F"/>
    <w:p w:rsidR="0049624F" w:rsidRDefault="0049624F"/>
    <w:p w:rsidR="0049624F" w:rsidRDefault="0049624F"/>
    <w:p w:rsidR="0049624F" w:rsidRDefault="0049624F"/>
    <w:p w:rsidR="0049624F" w:rsidRDefault="0049624F"/>
    <w:p w:rsidR="0049624F" w:rsidRDefault="0049624F">
      <w:pPr>
        <w:rPr>
          <w:b/>
        </w:rPr>
      </w:pPr>
      <w:r w:rsidRPr="001F64A3">
        <w:rPr>
          <w:b/>
        </w:rPr>
        <w:t xml:space="preserve">Bibliography </w:t>
      </w:r>
    </w:p>
    <w:p w:rsidR="00086AD6" w:rsidRPr="00086AD6" w:rsidRDefault="00086AD6">
      <w:r w:rsidRPr="00086AD6">
        <w:t xml:space="preserve">"Alhambra", World Monuments Fund, </w:t>
      </w:r>
      <w:r>
        <w:t>(</w:t>
      </w:r>
      <w:r w:rsidRPr="00086AD6">
        <w:t>2018</w:t>
      </w:r>
      <w:r>
        <w:t>)</w:t>
      </w:r>
      <w:r w:rsidRPr="00086AD6">
        <w:t xml:space="preserve"> &lt;https://www.wmf.org/project/alhambra&gt; [9 January 2018]</w:t>
      </w:r>
    </w:p>
    <w:p w:rsidR="00EB418E" w:rsidRPr="001F64A3" w:rsidRDefault="003515A2">
      <w:r w:rsidRPr="001F64A3">
        <w:t xml:space="preserve">Bush, O. (2009). THE WRITING ON THE WALL: READING THE DECORATION OF THE ALHAMBRA. Muqarnas, 26, 119-147. </w:t>
      </w:r>
      <w:r w:rsidR="00EB418E" w:rsidRPr="001F64A3">
        <w:t xml:space="preserve">Retrieved from </w:t>
      </w:r>
      <w:hyperlink r:id="rId8" w:history="1">
        <w:r w:rsidR="00B12BBB" w:rsidRPr="001F64A3">
          <w:rPr>
            <w:rStyle w:val="Hyperlink"/>
          </w:rPr>
          <w:t>http://www.jstor.org/stable/27811137</w:t>
        </w:r>
      </w:hyperlink>
      <w:r w:rsidR="00B12BBB" w:rsidRPr="001F64A3">
        <w:t xml:space="preserve"> [Accessed: 8 Jan 2018]</w:t>
      </w:r>
    </w:p>
    <w:p w:rsidR="00EB418E" w:rsidRPr="001F64A3" w:rsidRDefault="00EB418E">
      <w:proofErr w:type="spellStart"/>
      <w:r w:rsidRPr="001F64A3">
        <w:t>Dodds</w:t>
      </w:r>
      <w:proofErr w:type="spellEnd"/>
      <w:r w:rsidRPr="001F64A3">
        <w:t>, J. (1992) Al-Andalus: The Art of Islamic Spain, Metropolitan Museum of Art, New York.</w:t>
      </w:r>
    </w:p>
    <w:p w:rsidR="00EB418E" w:rsidRPr="001F64A3" w:rsidRDefault="00EB418E">
      <w:r w:rsidRPr="001F64A3">
        <w:t xml:space="preserve">Earle, G F. (1982) “Spanish-Moorish Architecture and Garden Style: Its Background, Meaning and Comparison with Western Style.” Environmental Review: ER, vol. 5, no. 2, pp. 66–75. JSTOR, JSTOR, </w:t>
      </w:r>
      <w:hyperlink r:id="rId9" w:history="1">
        <w:r w:rsidRPr="001F64A3">
          <w:rPr>
            <w:rStyle w:val="Hyperlink"/>
          </w:rPr>
          <w:t>www.jstor.org/stable/3984251</w:t>
        </w:r>
      </w:hyperlink>
      <w:r w:rsidRPr="001F64A3">
        <w:t>. [Accessed: 6</w:t>
      </w:r>
      <w:r w:rsidRPr="001F64A3">
        <w:rPr>
          <w:vertAlign w:val="superscript"/>
        </w:rPr>
        <w:t xml:space="preserve"> </w:t>
      </w:r>
      <w:r w:rsidRPr="001F64A3">
        <w:t>Jan 2018]</w:t>
      </w:r>
    </w:p>
    <w:p w:rsidR="001F64A3" w:rsidRPr="001F64A3" w:rsidRDefault="00EB418E" w:rsidP="001F64A3">
      <w:pPr>
        <w:pStyle w:val="FootnoteText"/>
        <w:rPr>
          <w:sz w:val="22"/>
          <w:szCs w:val="22"/>
        </w:rPr>
      </w:pPr>
      <w:r w:rsidRPr="001F64A3">
        <w:rPr>
          <w:sz w:val="22"/>
          <w:szCs w:val="22"/>
        </w:rPr>
        <w:t xml:space="preserve">Nasr, </w:t>
      </w:r>
      <w:proofErr w:type="spellStart"/>
      <w:r w:rsidRPr="001F64A3">
        <w:rPr>
          <w:sz w:val="22"/>
          <w:szCs w:val="22"/>
        </w:rPr>
        <w:t>Seyyed</w:t>
      </w:r>
      <w:proofErr w:type="spellEnd"/>
      <w:r w:rsidRPr="001F64A3">
        <w:rPr>
          <w:sz w:val="22"/>
          <w:szCs w:val="22"/>
        </w:rPr>
        <w:t xml:space="preserve"> Hossein. (1987) Islamic Art and Spirituality. Albany: State University of New York.</w:t>
      </w:r>
      <w:r w:rsidR="001F64A3" w:rsidRPr="001F64A3">
        <w:rPr>
          <w:sz w:val="22"/>
          <w:szCs w:val="22"/>
        </w:rPr>
        <w:t xml:space="preserve"> </w:t>
      </w:r>
    </w:p>
    <w:p w:rsidR="001F64A3" w:rsidRPr="001F64A3" w:rsidRDefault="001F64A3" w:rsidP="001F64A3">
      <w:pPr>
        <w:pStyle w:val="FootnoteText"/>
        <w:rPr>
          <w:sz w:val="22"/>
          <w:szCs w:val="22"/>
        </w:rPr>
      </w:pPr>
    </w:p>
    <w:p w:rsidR="001F64A3" w:rsidRPr="001F64A3" w:rsidRDefault="001F64A3" w:rsidP="001F64A3">
      <w:pPr>
        <w:pStyle w:val="FootnoteText"/>
        <w:rPr>
          <w:sz w:val="22"/>
          <w:szCs w:val="22"/>
        </w:rPr>
      </w:pPr>
      <w:r w:rsidRPr="001F64A3">
        <w:rPr>
          <w:sz w:val="22"/>
          <w:szCs w:val="22"/>
        </w:rPr>
        <w:t>Photograph: Figure 1: Found here: http://www.alhambra-patronato.es/ria/handle/10514/13339?show=full [online] [Accessed 10 Jan 2018]</w:t>
      </w:r>
    </w:p>
    <w:p w:rsidR="001F64A3" w:rsidRPr="001F64A3" w:rsidRDefault="001F64A3" w:rsidP="001F64A3">
      <w:pPr>
        <w:pStyle w:val="FootnoteText"/>
        <w:rPr>
          <w:sz w:val="22"/>
          <w:szCs w:val="22"/>
        </w:rPr>
      </w:pPr>
    </w:p>
    <w:p w:rsidR="00EB418E" w:rsidRPr="001F64A3" w:rsidRDefault="00EB418E">
      <w:r w:rsidRPr="001F64A3">
        <w:t xml:space="preserve">Syed, H.M, Akhtar, S.S, </w:t>
      </w:r>
      <w:proofErr w:type="spellStart"/>
      <w:r w:rsidRPr="001F64A3">
        <w:t>Usmani</w:t>
      </w:r>
      <w:proofErr w:type="spellEnd"/>
      <w:r w:rsidRPr="001F64A3">
        <w:t>, B.D. (2011) A Concise History of Islam, VJ Books, India. p133.</w:t>
      </w:r>
    </w:p>
    <w:p w:rsidR="00EB418E" w:rsidRPr="001F64A3" w:rsidRDefault="00EB418E">
      <w:r w:rsidRPr="001F64A3">
        <w:t xml:space="preserve">The Alhambra - Dr Bermudez Lopez, Islamic Arts </w:t>
      </w:r>
      <w:proofErr w:type="gramStart"/>
      <w:r w:rsidRPr="001F64A3">
        <w:t>And</w:t>
      </w:r>
      <w:proofErr w:type="gramEnd"/>
      <w:r w:rsidRPr="001F64A3">
        <w:t xml:space="preserve"> Architecture, 2013 &lt;http://islamic-arts.org/2013/the-alhambra/&gt; [Accessed: 4 January 2018].</w:t>
      </w:r>
    </w:p>
    <w:p w:rsidR="00EB418E" w:rsidRPr="001F64A3" w:rsidRDefault="00EB418E">
      <w:r w:rsidRPr="001F64A3">
        <w:t>The Alhambra, Khan Academy. (Undated) &lt;https://www.khanacademy.org/humanities/ap-art-history/early-europe-and-colonial-americas/ap-art-islamic-world-medieval/a/the-alhambra&gt; [Accessed 3 January 2018].</w:t>
      </w:r>
    </w:p>
    <w:p w:rsidR="001F64A3" w:rsidRDefault="001F64A3"/>
    <w:sectPr w:rsidR="001F64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766C" w:rsidRDefault="008D766C" w:rsidP="001E462D">
      <w:pPr>
        <w:spacing w:after="0" w:line="240" w:lineRule="auto"/>
      </w:pPr>
      <w:r>
        <w:separator/>
      </w:r>
    </w:p>
  </w:endnote>
  <w:endnote w:type="continuationSeparator" w:id="0">
    <w:p w:rsidR="008D766C" w:rsidRDefault="008D766C" w:rsidP="001E4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766C" w:rsidRDefault="008D766C" w:rsidP="001E462D">
      <w:pPr>
        <w:spacing w:after="0" w:line="240" w:lineRule="auto"/>
      </w:pPr>
      <w:r>
        <w:separator/>
      </w:r>
    </w:p>
  </w:footnote>
  <w:footnote w:type="continuationSeparator" w:id="0">
    <w:p w:rsidR="008D766C" w:rsidRDefault="008D766C" w:rsidP="001E462D">
      <w:pPr>
        <w:spacing w:after="0" w:line="240" w:lineRule="auto"/>
      </w:pPr>
      <w:r>
        <w:continuationSeparator/>
      </w:r>
    </w:p>
  </w:footnote>
  <w:footnote w:id="1">
    <w:p w:rsidR="008F5831" w:rsidRDefault="008F5831">
      <w:pPr>
        <w:pStyle w:val="FootnoteText"/>
      </w:pPr>
      <w:bookmarkStart w:id="1" w:name="_Hlk503874556"/>
      <w:r>
        <w:rPr>
          <w:rStyle w:val="FootnoteReference"/>
        </w:rPr>
        <w:footnoteRef/>
      </w:r>
      <w:r>
        <w:t xml:space="preserve"> </w:t>
      </w:r>
      <w:proofErr w:type="spellStart"/>
      <w:r>
        <w:t>Dodds</w:t>
      </w:r>
      <w:proofErr w:type="spellEnd"/>
      <w:r>
        <w:t>, J. (1992)</w:t>
      </w:r>
      <w:r w:rsidRPr="001E462D">
        <w:t xml:space="preserve"> Al-Andalus: The </w:t>
      </w:r>
      <w:r>
        <w:t>A</w:t>
      </w:r>
      <w:r w:rsidRPr="001E462D">
        <w:t>rt of Islamic Spain</w:t>
      </w:r>
      <w:r>
        <w:t>, Metropolitan Museum of Art, New York.</w:t>
      </w:r>
    </w:p>
    <w:bookmarkEnd w:id="1"/>
  </w:footnote>
  <w:footnote w:id="2">
    <w:p w:rsidR="008F5831" w:rsidRDefault="008F5831" w:rsidP="00895606">
      <w:pPr>
        <w:pStyle w:val="FootnoteText"/>
      </w:pPr>
      <w:r>
        <w:rPr>
          <w:rStyle w:val="FootnoteReference"/>
        </w:rPr>
        <w:footnoteRef/>
      </w:r>
      <w:r>
        <w:t xml:space="preserve"> Ibid. </w:t>
      </w:r>
      <w:proofErr w:type="spellStart"/>
      <w:r>
        <w:t>Dodds</w:t>
      </w:r>
      <w:proofErr w:type="spellEnd"/>
      <w:r>
        <w:t>, J. (1992).</w:t>
      </w:r>
    </w:p>
  </w:footnote>
  <w:footnote w:id="3">
    <w:p w:rsidR="008F5831" w:rsidRDefault="008F5831" w:rsidP="0076318E">
      <w:pPr>
        <w:pStyle w:val="FootnoteText"/>
      </w:pPr>
      <w:r>
        <w:rPr>
          <w:rStyle w:val="FootnoteReference"/>
        </w:rPr>
        <w:footnoteRef/>
      </w:r>
      <w:r>
        <w:t xml:space="preserve"> </w:t>
      </w:r>
      <w:bookmarkStart w:id="2" w:name="_Hlk503874575"/>
      <w:r>
        <w:t xml:space="preserve">Syed, H.M, Akhtar, S.S, </w:t>
      </w:r>
      <w:proofErr w:type="spellStart"/>
      <w:r>
        <w:t>Usmani</w:t>
      </w:r>
      <w:proofErr w:type="spellEnd"/>
      <w:r>
        <w:t>, B.D. (2011) A Concise History of Islam, VJ Books, India. p133.</w:t>
      </w:r>
    </w:p>
    <w:bookmarkEnd w:id="2"/>
  </w:footnote>
  <w:footnote w:id="4">
    <w:p w:rsidR="008F5831" w:rsidRDefault="008F5831">
      <w:pPr>
        <w:pStyle w:val="FootnoteText"/>
      </w:pPr>
      <w:r>
        <w:rPr>
          <w:rStyle w:val="FootnoteReference"/>
        </w:rPr>
        <w:footnoteRef/>
      </w:r>
      <w:r>
        <w:t xml:space="preserve"> Mann, A.T. (2002). Sacred Architecture, Vega Publishing, London. p121-139</w:t>
      </w:r>
    </w:p>
  </w:footnote>
  <w:footnote w:id="5">
    <w:p w:rsidR="008F5831" w:rsidRDefault="008F5831">
      <w:pPr>
        <w:pStyle w:val="FootnoteText"/>
      </w:pPr>
      <w:r>
        <w:rPr>
          <w:rStyle w:val="FootnoteReference"/>
        </w:rPr>
        <w:footnoteRef/>
      </w:r>
      <w:r>
        <w:t xml:space="preserve"> </w:t>
      </w:r>
      <w:proofErr w:type="spellStart"/>
      <w:r>
        <w:t>Mirmobiny</w:t>
      </w:r>
      <w:proofErr w:type="spellEnd"/>
      <w:r>
        <w:t>, S.</w:t>
      </w:r>
      <w:r w:rsidRPr="00876D65">
        <w:t xml:space="preserve"> </w:t>
      </w:r>
      <w:r>
        <w:t>(</w:t>
      </w:r>
      <w:proofErr w:type="spellStart"/>
      <w:r>
        <w:t>n.d</w:t>
      </w:r>
      <w:proofErr w:type="spellEnd"/>
      <w:r>
        <w:t xml:space="preserve">) </w:t>
      </w:r>
      <w:r w:rsidRPr="00C96F2D">
        <w:t>The Alhambra</w:t>
      </w:r>
      <w:r>
        <w:t>, Khan Academy.</w:t>
      </w:r>
      <w:r w:rsidRPr="00C96F2D">
        <w:t xml:space="preserve"> </w:t>
      </w:r>
      <w:r>
        <w:t xml:space="preserve">[online] </w:t>
      </w:r>
    </w:p>
  </w:footnote>
  <w:footnote w:id="6">
    <w:p w:rsidR="008F5831" w:rsidRDefault="008F5831">
      <w:pPr>
        <w:pStyle w:val="FootnoteText"/>
      </w:pPr>
      <w:r>
        <w:rPr>
          <w:rStyle w:val="FootnoteReference"/>
        </w:rPr>
        <w:footnoteRef/>
      </w:r>
      <w:r>
        <w:t xml:space="preserve"> Ibid.</w:t>
      </w:r>
    </w:p>
  </w:footnote>
  <w:footnote w:id="7">
    <w:p w:rsidR="008F5831" w:rsidRDefault="008F5831">
      <w:pPr>
        <w:pStyle w:val="FootnoteText"/>
      </w:pPr>
      <w:r>
        <w:rPr>
          <w:rStyle w:val="FootnoteReference"/>
        </w:rPr>
        <w:footnoteRef/>
      </w:r>
      <w:r>
        <w:t xml:space="preserve"> </w:t>
      </w:r>
      <w:r w:rsidRPr="0003735D">
        <w:t xml:space="preserve">Earle, </w:t>
      </w:r>
      <w:r>
        <w:t>G</w:t>
      </w:r>
      <w:r w:rsidRPr="0003735D">
        <w:t xml:space="preserve"> F.</w:t>
      </w:r>
      <w:r>
        <w:t xml:space="preserve"> (1981)</w:t>
      </w:r>
      <w:r w:rsidRPr="0003735D">
        <w:t xml:space="preserve"> Spanish-Moorish Architecture and Garden Style: Its Background, Meaning and Comparison with Western Style.</w:t>
      </w:r>
      <w:r>
        <w:t xml:space="preserve"> ER</w:t>
      </w:r>
      <w:r w:rsidRPr="0003735D">
        <w:t xml:space="preserve"> vol. 5,</w:t>
      </w:r>
      <w:r>
        <w:t xml:space="preserve"> </w:t>
      </w:r>
      <w:r w:rsidRPr="0003735D">
        <w:t xml:space="preserve">p. 66–75. </w:t>
      </w:r>
    </w:p>
  </w:footnote>
  <w:footnote w:id="8">
    <w:p w:rsidR="008F5831" w:rsidRDefault="008F5831">
      <w:pPr>
        <w:pStyle w:val="FootnoteText"/>
      </w:pPr>
      <w:r>
        <w:rPr>
          <w:rStyle w:val="FootnoteReference"/>
        </w:rPr>
        <w:footnoteRef/>
      </w:r>
      <w:r>
        <w:t xml:space="preserve"> Mann, A.T. (2002). Sacred Architecture, Vega Publishing, London. p121-139</w:t>
      </w:r>
    </w:p>
  </w:footnote>
  <w:footnote w:id="9">
    <w:p w:rsidR="008F5831" w:rsidRDefault="008F5831">
      <w:pPr>
        <w:pStyle w:val="FootnoteText"/>
      </w:pPr>
      <w:r>
        <w:rPr>
          <w:rStyle w:val="FootnoteReference"/>
        </w:rPr>
        <w:footnoteRef/>
      </w:r>
      <w:r>
        <w:t xml:space="preserve"> Ibid. </w:t>
      </w:r>
    </w:p>
  </w:footnote>
  <w:footnote w:id="10">
    <w:p w:rsidR="008F5831" w:rsidRDefault="008F5831">
      <w:pPr>
        <w:pStyle w:val="FootnoteText"/>
      </w:pPr>
      <w:r>
        <w:rPr>
          <w:rStyle w:val="FootnoteReference"/>
        </w:rPr>
        <w:footnoteRef/>
      </w:r>
      <w:r>
        <w:t xml:space="preserve"> Ibid.</w:t>
      </w:r>
    </w:p>
  </w:footnote>
  <w:footnote w:id="11">
    <w:p w:rsidR="008F5831" w:rsidRDefault="008F5831">
      <w:pPr>
        <w:pStyle w:val="FootnoteText"/>
      </w:pPr>
      <w:r>
        <w:rPr>
          <w:rStyle w:val="FootnoteReference"/>
        </w:rPr>
        <w:footnoteRef/>
      </w:r>
      <w:r>
        <w:t xml:space="preserve"> Earle, G.F. (1981) as above</w:t>
      </w:r>
    </w:p>
  </w:footnote>
  <w:footnote w:id="12">
    <w:p w:rsidR="008F5831" w:rsidRDefault="008F5831">
      <w:pPr>
        <w:pStyle w:val="FootnoteText"/>
      </w:pPr>
      <w:r>
        <w:rPr>
          <w:rStyle w:val="FootnoteReference"/>
        </w:rPr>
        <w:footnoteRef/>
      </w:r>
      <w:r>
        <w:t xml:space="preserve"> </w:t>
      </w:r>
      <w:r w:rsidRPr="00146500">
        <w:t xml:space="preserve">"The Alhambra - Dr Bermudez Lopez", </w:t>
      </w:r>
      <w:r>
        <w:t>(</w:t>
      </w:r>
      <w:r w:rsidRPr="00146500">
        <w:t>2013</w:t>
      </w:r>
      <w:r>
        <w:t xml:space="preserve">) </w:t>
      </w:r>
      <w:r w:rsidRPr="00146500">
        <w:t xml:space="preserve">Islamic Arts </w:t>
      </w:r>
      <w:r>
        <w:t>a</w:t>
      </w:r>
      <w:r w:rsidRPr="00146500">
        <w:t xml:space="preserve">nd Architecture, &lt;http://islamic-arts.org/2013/the-alhambra/&gt; </w:t>
      </w:r>
    </w:p>
  </w:footnote>
  <w:footnote w:id="13">
    <w:p w:rsidR="008F5831" w:rsidRDefault="008F5831">
      <w:pPr>
        <w:pStyle w:val="FootnoteText"/>
      </w:pPr>
      <w:r>
        <w:rPr>
          <w:rStyle w:val="FootnoteReference"/>
        </w:rPr>
        <w:footnoteRef/>
      </w:r>
      <w:r>
        <w:t xml:space="preserve"> Figure 1: Found here: </w:t>
      </w:r>
      <w:r w:rsidRPr="00945F1D">
        <w:t>http://www.alhambra-patronato.es/ria/handle/10514/13339?show=full</w:t>
      </w:r>
      <w:r>
        <w:t xml:space="preserve"> [online]</w:t>
      </w:r>
    </w:p>
  </w:footnote>
  <w:footnote w:id="14">
    <w:p w:rsidR="008F5831" w:rsidRDefault="008F5831">
      <w:pPr>
        <w:pStyle w:val="FootnoteText"/>
      </w:pPr>
      <w:r>
        <w:rPr>
          <w:rStyle w:val="FootnoteReference"/>
        </w:rPr>
        <w:footnoteRef/>
      </w:r>
      <w:r>
        <w:t xml:space="preserve"> </w:t>
      </w:r>
      <w:r w:rsidRPr="00852AFF">
        <w:t xml:space="preserve">"Calligraphy </w:t>
      </w:r>
      <w:proofErr w:type="gramStart"/>
      <w:r w:rsidRPr="00852AFF">
        <w:t>In</w:t>
      </w:r>
      <w:proofErr w:type="gramEnd"/>
      <w:r w:rsidRPr="00852AFF">
        <w:t xml:space="preserve"> Islamic Art - Victoria And Albert Museum"</w:t>
      </w:r>
      <w:r>
        <w:t>(</w:t>
      </w:r>
      <w:proofErr w:type="spellStart"/>
      <w:r>
        <w:t>n.d.</w:t>
      </w:r>
      <w:proofErr w:type="spellEnd"/>
      <w:r>
        <w:t>)</w:t>
      </w:r>
      <w:r w:rsidRPr="00852AFF">
        <w:t xml:space="preserve">, </w:t>
      </w:r>
      <w:r>
        <w:t>v</w:t>
      </w:r>
      <w:r w:rsidRPr="00852AFF">
        <w:t>am.</w:t>
      </w:r>
      <w:r>
        <w:t>a</w:t>
      </w:r>
      <w:r w:rsidRPr="00852AFF">
        <w:t>c.</w:t>
      </w:r>
      <w:r>
        <w:t>u</w:t>
      </w:r>
      <w:r w:rsidRPr="00852AFF">
        <w:t>k</w:t>
      </w:r>
      <w:r>
        <w:t xml:space="preserve"> [online]</w:t>
      </w:r>
    </w:p>
  </w:footnote>
  <w:footnote w:id="15">
    <w:p w:rsidR="00C87355" w:rsidRDefault="00C87355">
      <w:pPr>
        <w:pStyle w:val="FootnoteText"/>
      </w:pPr>
      <w:r>
        <w:rPr>
          <w:rStyle w:val="FootnoteReference"/>
        </w:rPr>
        <w:footnoteRef/>
      </w:r>
      <w:r>
        <w:t xml:space="preserve"> </w:t>
      </w:r>
      <w:r w:rsidRPr="00ED3511">
        <w:t>B</w:t>
      </w:r>
      <w:r>
        <w:t>ush</w:t>
      </w:r>
      <w:r w:rsidRPr="00ED3511">
        <w:t xml:space="preserve">, O. (2009). </w:t>
      </w:r>
      <w:r>
        <w:t>The Writing on the Wall</w:t>
      </w:r>
      <w:r w:rsidRPr="00ED3511">
        <w:t xml:space="preserve">: </w:t>
      </w:r>
      <w:r>
        <w:t>Reading the Decoration of the Alhambra</w:t>
      </w:r>
      <w:r w:rsidRPr="00ED3511">
        <w:t>. Muqarnas, 26, 119-147.</w:t>
      </w:r>
    </w:p>
  </w:footnote>
  <w:footnote w:id="16">
    <w:p w:rsidR="008F5831" w:rsidRDefault="008F5831">
      <w:pPr>
        <w:pStyle w:val="FootnoteText"/>
      </w:pPr>
      <w:r>
        <w:rPr>
          <w:rStyle w:val="FootnoteReference"/>
        </w:rPr>
        <w:footnoteRef/>
      </w:r>
      <w:r>
        <w:t xml:space="preserve"> </w:t>
      </w:r>
      <w:r w:rsidRPr="00146500">
        <w:t xml:space="preserve">"The Alhambra - Dr Bermudez Lopez", </w:t>
      </w:r>
      <w:r>
        <w:t>(</w:t>
      </w:r>
      <w:r w:rsidRPr="00146500">
        <w:t>2013</w:t>
      </w:r>
      <w:r>
        <w:t xml:space="preserve">) </w:t>
      </w:r>
      <w:r w:rsidRPr="00146500">
        <w:t xml:space="preserve">Islamic Arts </w:t>
      </w:r>
      <w:r>
        <w:t>a</w:t>
      </w:r>
      <w:r w:rsidRPr="00146500">
        <w:t>nd Architecture, &lt;http://islamic-arts.org/2013/the-alhambra/&gt;</w:t>
      </w:r>
      <w:r>
        <w:t xml:space="preserve"> [online]</w:t>
      </w:r>
    </w:p>
  </w:footnote>
  <w:footnote w:id="17">
    <w:p w:rsidR="008F5831" w:rsidRDefault="008F5831" w:rsidP="005B1ADE">
      <w:pPr>
        <w:pStyle w:val="FootnoteText"/>
      </w:pPr>
      <w:r>
        <w:rPr>
          <w:rStyle w:val="FootnoteReference"/>
        </w:rPr>
        <w:footnoteRef/>
      </w:r>
      <w:r>
        <w:t xml:space="preserve"> Lapidus, I.M. (2002) A History of Islamic Society, Cambridge University Press, Cambridge.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78C"/>
    <w:rsid w:val="0000030F"/>
    <w:rsid w:val="000258B5"/>
    <w:rsid w:val="0003735D"/>
    <w:rsid w:val="00055121"/>
    <w:rsid w:val="00055CA0"/>
    <w:rsid w:val="00056CED"/>
    <w:rsid w:val="00065672"/>
    <w:rsid w:val="00070192"/>
    <w:rsid w:val="00071356"/>
    <w:rsid w:val="0007770C"/>
    <w:rsid w:val="00086AD6"/>
    <w:rsid w:val="00094FCB"/>
    <w:rsid w:val="000A0B8C"/>
    <w:rsid w:val="000B2FCE"/>
    <w:rsid w:val="000B378C"/>
    <w:rsid w:val="000C60DE"/>
    <w:rsid w:val="000D5A41"/>
    <w:rsid w:val="000F3A48"/>
    <w:rsid w:val="0010613D"/>
    <w:rsid w:val="00122BFC"/>
    <w:rsid w:val="00134B7C"/>
    <w:rsid w:val="00146500"/>
    <w:rsid w:val="0016173B"/>
    <w:rsid w:val="00193F4D"/>
    <w:rsid w:val="001E15C2"/>
    <w:rsid w:val="001E462D"/>
    <w:rsid w:val="001E5B55"/>
    <w:rsid w:val="001F390A"/>
    <w:rsid w:val="001F5105"/>
    <w:rsid w:val="001F64A3"/>
    <w:rsid w:val="00227FEE"/>
    <w:rsid w:val="002425CB"/>
    <w:rsid w:val="002622C8"/>
    <w:rsid w:val="00265410"/>
    <w:rsid w:val="00272025"/>
    <w:rsid w:val="00273669"/>
    <w:rsid w:val="00280A39"/>
    <w:rsid w:val="0028613B"/>
    <w:rsid w:val="002877ED"/>
    <w:rsid w:val="002A7740"/>
    <w:rsid w:val="002B6502"/>
    <w:rsid w:val="002D273A"/>
    <w:rsid w:val="002D73DA"/>
    <w:rsid w:val="00305D10"/>
    <w:rsid w:val="00330AE1"/>
    <w:rsid w:val="003515A2"/>
    <w:rsid w:val="00393EEE"/>
    <w:rsid w:val="003C55B8"/>
    <w:rsid w:val="003C6966"/>
    <w:rsid w:val="003D3463"/>
    <w:rsid w:val="003D4875"/>
    <w:rsid w:val="003E6949"/>
    <w:rsid w:val="003F479F"/>
    <w:rsid w:val="004079C0"/>
    <w:rsid w:val="00422B78"/>
    <w:rsid w:val="00430220"/>
    <w:rsid w:val="00435388"/>
    <w:rsid w:val="00435F4C"/>
    <w:rsid w:val="0043618B"/>
    <w:rsid w:val="00446359"/>
    <w:rsid w:val="00450CF4"/>
    <w:rsid w:val="00467F49"/>
    <w:rsid w:val="004727C7"/>
    <w:rsid w:val="0049624F"/>
    <w:rsid w:val="004A648C"/>
    <w:rsid w:val="004C0925"/>
    <w:rsid w:val="004F2FA3"/>
    <w:rsid w:val="00502A1A"/>
    <w:rsid w:val="0051062B"/>
    <w:rsid w:val="005148BD"/>
    <w:rsid w:val="00523B3D"/>
    <w:rsid w:val="00553D21"/>
    <w:rsid w:val="00574043"/>
    <w:rsid w:val="00580BD5"/>
    <w:rsid w:val="00586ED6"/>
    <w:rsid w:val="00592CD1"/>
    <w:rsid w:val="005B1ADE"/>
    <w:rsid w:val="005C6F41"/>
    <w:rsid w:val="005E1288"/>
    <w:rsid w:val="005F2F51"/>
    <w:rsid w:val="00601892"/>
    <w:rsid w:val="00602DC8"/>
    <w:rsid w:val="006065B7"/>
    <w:rsid w:val="00621DF4"/>
    <w:rsid w:val="00632CBE"/>
    <w:rsid w:val="0064546C"/>
    <w:rsid w:val="006519ED"/>
    <w:rsid w:val="00655A7B"/>
    <w:rsid w:val="00655DBD"/>
    <w:rsid w:val="006564E9"/>
    <w:rsid w:val="00682457"/>
    <w:rsid w:val="00694C29"/>
    <w:rsid w:val="00696112"/>
    <w:rsid w:val="006B513F"/>
    <w:rsid w:val="006B79FF"/>
    <w:rsid w:val="006D550A"/>
    <w:rsid w:val="006D6CE5"/>
    <w:rsid w:val="006E07D3"/>
    <w:rsid w:val="006E1C09"/>
    <w:rsid w:val="00710345"/>
    <w:rsid w:val="00722E99"/>
    <w:rsid w:val="007269BD"/>
    <w:rsid w:val="007307E8"/>
    <w:rsid w:val="00737F8A"/>
    <w:rsid w:val="007430FD"/>
    <w:rsid w:val="0076318E"/>
    <w:rsid w:val="00771A10"/>
    <w:rsid w:val="007B58B0"/>
    <w:rsid w:val="007B7CD9"/>
    <w:rsid w:val="007D60AB"/>
    <w:rsid w:val="007D78D0"/>
    <w:rsid w:val="007E4255"/>
    <w:rsid w:val="007F1FFA"/>
    <w:rsid w:val="0081552C"/>
    <w:rsid w:val="00817ED8"/>
    <w:rsid w:val="00852AFF"/>
    <w:rsid w:val="0085623D"/>
    <w:rsid w:val="00857718"/>
    <w:rsid w:val="00874F71"/>
    <w:rsid w:val="00876D65"/>
    <w:rsid w:val="00891096"/>
    <w:rsid w:val="00895606"/>
    <w:rsid w:val="008A0FF4"/>
    <w:rsid w:val="008A19F4"/>
    <w:rsid w:val="008B4E96"/>
    <w:rsid w:val="008C3C91"/>
    <w:rsid w:val="008C6D34"/>
    <w:rsid w:val="008D33B3"/>
    <w:rsid w:val="008D60FD"/>
    <w:rsid w:val="008D766C"/>
    <w:rsid w:val="008E7A06"/>
    <w:rsid w:val="008F5831"/>
    <w:rsid w:val="008F5EE4"/>
    <w:rsid w:val="009022D3"/>
    <w:rsid w:val="00924130"/>
    <w:rsid w:val="00926220"/>
    <w:rsid w:val="00935150"/>
    <w:rsid w:val="009420BC"/>
    <w:rsid w:val="00945F1D"/>
    <w:rsid w:val="00946D64"/>
    <w:rsid w:val="009758E3"/>
    <w:rsid w:val="00981F2F"/>
    <w:rsid w:val="009B3C88"/>
    <w:rsid w:val="009F01BD"/>
    <w:rsid w:val="00A013F9"/>
    <w:rsid w:val="00A01413"/>
    <w:rsid w:val="00A0300C"/>
    <w:rsid w:val="00A22A32"/>
    <w:rsid w:val="00A453CB"/>
    <w:rsid w:val="00A52686"/>
    <w:rsid w:val="00A6193A"/>
    <w:rsid w:val="00A672A9"/>
    <w:rsid w:val="00A7626B"/>
    <w:rsid w:val="00A85A25"/>
    <w:rsid w:val="00AA3C79"/>
    <w:rsid w:val="00B12BBB"/>
    <w:rsid w:val="00B335CC"/>
    <w:rsid w:val="00B45FDF"/>
    <w:rsid w:val="00B55F2A"/>
    <w:rsid w:val="00B742DF"/>
    <w:rsid w:val="00B7781D"/>
    <w:rsid w:val="00B84381"/>
    <w:rsid w:val="00B86DD3"/>
    <w:rsid w:val="00BB198D"/>
    <w:rsid w:val="00BC6FA5"/>
    <w:rsid w:val="00BD7AFE"/>
    <w:rsid w:val="00BE4EE7"/>
    <w:rsid w:val="00BF01DA"/>
    <w:rsid w:val="00C110F1"/>
    <w:rsid w:val="00C279B6"/>
    <w:rsid w:val="00C30BD3"/>
    <w:rsid w:val="00C31C7A"/>
    <w:rsid w:val="00C324AF"/>
    <w:rsid w:val="00C60264"/>
    <w:rsid w:val="00C65C42"/>
    <w:rsid w:val="00C81694"/>
    <w:rsid w:val="00C87355"/>
    <w:rsid w:val="00C96F2D"/>
    <w:rsid w:val="00CA7A1E"/>
    <w:rsid w:val="00CC3D96"/>
    <w:rsid w:val="00CD18D4"/>
    <w:rsid w:val="00CF0B1D"/>
    <w:rsid w:val="00D20D27"/>
    <w:rsid w:val="00D642AA"/>
    <w:rsid w:val="00D649EB"/>
    <w:rsid w:val="00D70EE4"/>
    <w:rsid w:val="00D855B4"/>
    <w:rsid w:val="00D972ED"/>
    <w:rsid w:val="00DC72C5"/>
    <w:rsid w:val="00DE3C5B"/>
    <w:rsid w:val="00E06E27"/>
    <w:rsid w:val="00E257E4"/>
    <w:rsid w:val="00E26F74"/>
    <w:rsid w:val="00E3300F"/>
    <w:rsid w:val="00E347A6"/>
    <w:rsid w:val="00E76F0C"/>
    <w:rsid w:val="00E8586E"/>
    <w:rsid w:val="00E8726F"/>
    <w:rsid w:val="00E959D2"/>
    <w:rsid w:val="00EA3879"/>
    <w:rsid w:val="00EB2522"/>
    <w:rsid w:val="00EB418E"/>
    <w:rsid w:val="00EC47C1"/>
    <w:rsid w:val="00EC61D3"/>
    <w:rsid w:val="00ED3511"/>
    <w:rsid w:val="00ED69C4"/>
    <w:rsid w:val="00F41528"/>
    <w:rsid w:val="00F47EDE"/>
    <w:rsid w:val="00F578E0"/>
    <w:rsid w:val="00F71B58"/>
    <w:rsid w:val="00F72F9A"/>
    <w:rsid w:val="00F85B1B"/>
    <w:rsid w:val="00FB2619"/>
    <w:rsid w:val="00FD2039"/>
    <w:rsid w:val="00FD2873"/>
    <w:rsid w:val="00FE353B"/>
    <w:rsid w:val="00FE6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8141DFEC-2BDE-4AA2-8C20-2621AE4C1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E462D"/>
    <w:pPr>
      <w:spacing w:after="0" w:line="240" w:lineRule="auto"/>
    </w:pPr>
    <w:rPr>
      <w:sz w:val="20"/>
      <w:szCs w:val="20"/>
    </w:rPr>
  </w:style>
  <w:style w:type="character" w:customStyle="1" w:styleId="FootnoteTextChar">
    <w:name w:val="Footnote Text Char"/>
    <w:basedOn w:val="DefaultParagraphFont"/>
    <w:link w:val="FootnoteText"/>
    <w:uiPriority w:val="99"/>
    <w:rsid w:val="001E462D"/>
    <w:rPr>
      <w:sz w:val="20"/>
      <w:szCs w:val="20"/>
    </w:rPr>
  </w:style>
  <w:style w:type="character" w:styleId="FootnoteReference">
    <w:name w:val="footnote reference"/>
    <w:basedOn w:val="DefaultParagraphFont"/>
    <w:uiPriority w:val="99"/>
    <w:semiHidden/>
    <w:unhideWhenUsed/>
    <w:rsid w:val="001E462D"/>
    <w:rPr>
      <w:vertAlign w:val="superscript"/>
    </w:rPr>
  </w:style>
  <w:style w:type="character" w:styleId="Hyperlink">
    <w:name w:val="Hyperlink"/>
    <w:basedOn w:val="DefaultParagraphFont"/>
    <w:uiPriority w:val="99"/>
    <w:unhideWhenUsed/>
    <w:rsid w:val="00852AFF"/>
    <w:rPr>
      <w:color w:val="0563C1" w:themeColor="hyperlink"/>
      <w:u w:val="single"/>
    </w:rPr>
  </w:style>
  <w:style w:type="character" w:styleId="UnresolvedMention">
    <w:name w:val="Unresolved Mention"/>
    <w:basedOn w:val="DefaultParagraphFont"/>
    <w:uiPriority w:val="99"/>
    <w:semiHidden/>
    <w:unhideWhenUsed/>
    <w:rsid w:val="00852AF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1350">
      <w:bodyDiv w:val="1"/>
      <w:marLeft w:val="0"/>
      <w:marRight w:val="0"/>
      <w:marTop w:val="0"/>
      <w:marBottom w:val="0"/>
      <w:divBdr>
        <w:top w:val="none" w:sz="0" w:space="0" w:color="auto"/>
        <w:left w:val="none" w:sz="0" w:space="0" w:color="auto"/>
        <w:bottom w:val="none" w:sz="0" w:space="0" w:color="auto"/>
        <w:right w:val="none" w:sz="0" w:space="0" w:color="auto"/>
      </w:divBdr>
    </w:div>
    <w:div w:id="1653632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7811137"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jstor.org/stable/39842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BB2A095-34A6-460C-B79F-806FE8CD0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3403</TotalTime>
  <Pages>5</Pages>
  <Words>1921</Words>
  <Characters>10951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Loveday (1600336)</dc:creator>
  <cp:keywords/>
  <dc:description/>
  <cp:lastModifiedBy>Grace Loveday (1600336)</cp:lastModifiedBy>
  <cp:revision>167</cp:revision>
  <dcterms:created xsi:type="dcterms:W3CDTF">2018-01-14T14:08:00Z</dcterms:created>
  <dcterms:modified xsi:type="dcterms:W3CDTF">2018-01-16T22:58:00Z</dcterms:modified>
</cp:coreProperties>
</file>