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8A87E" w14:textId="77777777" w:rsidR="00AD1BB5" w:rsidRPr="00AD1BB5" w:rsidRDefault="00AD1BB5" w:rsidP="00AD1BB5">
      <w:pPr>
        <w:jc w:val="center"/>
        <w:rPr>
          <w:b/>
          <w:bCs/>
          <w:u w:val="single"/>
        </w:rPr>
      </w:pPr>
      <w:r w:rsidRPr="00AD1BB5">
        <w:rPr>
          <w:b/>
          <w:bCs/>
          <w:u w:val="single"/>
        </w:rPr>
        <w:t>DHEP Cohort 04.22 – Gradudate Diploma in Policing – Academic Assignment</w:t>
      </w:r>
    </w:p>
    <w:p w14:paraId="3EC4B3E1" w14:textId="77777777" w:rsidR="00AD1BB5" w:rsidRPr="00AD1BB5" w:rsidRDefault="00AD1BB5" w:rsidP="00AD1BB5">
      <w:pPr>
        <w:jc w:val="center"/>
        <w:rPr>
          <w:b/>
          <w:bCs/>
          <w:u w:val="single"/>
        </w:rPr>
      </w:pPr>
      <w:r w:rsidRPr="00AD1BB5">
        <w:rPr>
          <w:b/>
          <w:bCs/>
          <w:u w:val="single"/>
        </w:rPr>
        <w:t>Module – Operational Policing Practice 3 (BMP6005D)</w:t>
      </w:r>
    </w:p>
    <w:p w14:paraId="1B358ADE" w14:textId="77777777" w:rsidR="00AD1BB5" w:rsidRPr="00AD1BB5" w:rsidRDefault="00AD1BB5" w:rsidP="00AD1BB5">
      <w:pPr>
        <w:jc w:val="center"/>
        <w:rPr>
          <w:b/>
          <w:bCs/>
          <w:u w:val="single"/>
        </w:rPr>
      </w:pPr>
      <w:r w:rsidRPr="00AD1BB5">
        <w:rPr>
          <w:b/>
          <w:bCs/>
          <w:u w:val="single"/>
        </w:rPr>
        <w:t>Name: Mark Wells</w:t>
      </w:r>
    </w:p>
    <w:p w14:paraId="701D2F1A" w14:textId="3568CD1D" w:rsidR="00AD1BB5" w:rsidRPr="00AD1BB5" w:rsidRDefault="00AD1BB5" w:rsidP="00AD1BB5">
      <w:pPr>
        <w:jc w:val="center"/>
        <w:rPr>
          <w:b/>
          <w:bCs/>
          <w:u w:val="single"/>
        </w:rPr>
      </w:pPr>
      <w:r w:rsidRPr="00620A4A">
        <w:rPr>
          <w:b/>
          <w:bCs/>
          <w:noProof/>
        </w:rPr>
        <mc:AlternateContent>
          <mc:Choice Requires="wps">
            <w:drawing>
              <wp:anchor distT="45720" distB="45720" distL="114300" distR="114300" simplePos="0" relativeHeight="251656704" behindDoc="0" locked="0" layoutInCell="1" allowOverlap="1" wp14:anchorId="57FABD4D" wp14:editId="0C4A1584">
                <wp:simplePos x="0" y="0"/>
                <wp:positionH relativeFrom="margin">
                  <wp:posOffset>-635</wp:posOffset>
                </wp:positionH>
                <wp:positionV relativeFrom="paragraph">
                  <wp:posOffset>345440</wp:posOffset>
                </wp:positionV>
                <wp:extent cx="5718810" cy="1727200"/>
                <wp:effectExtent l="0" t="0" r="1524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8810" cy="1727200"/>
                        </a:xfrm>
                        <a:prstGeom prst="rect">
                          <a:avLst/>
                        </a:prstGeom>
                        <a:solidFill>
                          <a:srgbClr val="FFFFFF"/>
                        </a:solidFill>
                        <a:ln w="9525">
                          <a:solidFill>
                            <a:srgbClr val="FF0000"/>
                          </a:solidFill>
                          <a:miter lim="800000"/>
                          <a:headEnd/>
                          <a:tailEnd/>
                        </a:ln>
                      </wps:spPr>
                      <wps:txbx>
                        <w:txbxContent>
                          <w:p w14:paraId="38B0617B" w14:textId="5945BAB6" w:rsidR="00620A4A" w:rsidRPr="00620A4A" w:rsidRDefault="00620A4A" w:rsidP="00620A4A">
                            <w:pPr>
                              <w:rPr>
                                <w:b/>
                                <w:bCs/>
                              </w:rPr>
                            </w:pPr>
                            <w:r w:rsidRPr="00620A4A">
                              <w:rPr>
                                <w:b/>
                                <w:bCs/>
                              </w:rPr>
                              <w:t>Essay one:</w:t>
                            </w:r>
                          </w:p>
                          <w:p w14:paraId="61988D50" w14:textId="77777777" w:rsidR="00620A4A" w:rsidRPr="00620A4A" w:rsidRDefault="00620A4A" w:rsidP="00620A4A">
                            <w:pPr>
                              <w:rPr>
                                <w:b/>
                                <w:bCs/>
                              </w:rPr>
                            </w:pPr>
                            <w:r w:rsidRPr="00620A4A">
                              <w:rPr>
                                <w:b/>
                                <w:bCs/>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w:t>
                            </w:r>
                          </w:p>
                          <w:p w14:paraId="347229E7" w14:textId="77777777" w:rsidR="00620A4A" w:rsidRPr="00620A4A" w:rsidRDefault="00620A4A" w:rsidP="00620A4A">
                            <w:pPr>
                              <w:rPr>
                                <w:b/>
                                <w:bCs/>
                              </w:rPr>
                            </w:pPr>
                            <w:r w:rsidRPr="00620A4A">
                              <w:rPr>
                                <w:b/>
                                <w:bCs/>
                              </w:rPr>
                              <w:t>Your answer must be based on academic research rather than personal experience.</w:t>
                            </w:r>
                          </w:p>
                          <w:p w14:paraId="187DDD7A" w14:textId="295C6970" w:rsidR="00620A4A" w:rsidRPr="00620A4A" w:rsidRDefault="00620A4A" w:rsidP="00620A4A">
                            <w:pPr>
                              <w:rPr>
                                <w:b/>
                                <w:bCs/>
                              </w:rPr>
                            </w:pPr>
                            <w:r w:rsidRPr="00620A4A">
                              <w:rPr>
                                <w:b/>
                                <w:bCs/>
                              </w:rPr>
                              <w:t>Word limit: 1000 words.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7FABD4D" id="_x0000_t202" coordsize="21600,21600" o:spt="202" path="m,l,21600r21600,l21600,xe">
                <v:stroke joinstyle="miter"/>
                <v:path gradientshapeok="t" o:connecttype="rect"/>
              </v:shapetype>
              <v:shape id="Text Box 2" o:spid="_x0000_s1026" type="#_x0000_t202" style="position:absolute;left:0;text-align:left;margin-left:-.05pt;margin-top:27.2pt;width:450.3pt;height:136pt;z-index:251656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" strokecolor="red">
                <v:textbox>
                  <w:txbxContent>
                    <w:p w14:paraId="38B0617B" w14:textId="5945BAB6" w:rsidR="00620A4A" w:rsidRPr="00620A4A" w:rsidRDefault="00620A4A" w:rsidP="00620A4A">
                      <w:pPr>
                        <w:rPr>
                          <w:b/>
                          <w:bCs/>
                        </w:rPr>
                      </w:pPr>
                      <w:r w:rsidRPr="00620A4A">
                        <w:rPr>
                          <w:b/>
                          <w:bCs/>
                        </w:rPr>
                        <w:t>Essay one:</w:t>
                      </w:r>
                    </w:p>
                    <w:p w14:paraId="61988D50" w14:textId="77777777" w:rsidR="00620A4A" w:rsidRPr="00620A4A" w:rsidRDefault="00620A4A" w:rsidP="00620A4A">
                      <w:pPr>
                        <w:rPr>
                          <w:b/>
                          <w:bCs/>
                        </w:rPr>
                      </w:pPr>
                      <w:r w:rsidRPr="00620A4A">
                        <w:rPr>
                          <w:b/>
                          <w:bCs/>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w:t>
                      </w:r>
                    </w:p>
                    <w:p w14:paraId="347229E7" w14:textId="77777777" w:rsidR="00620A4A" w:rsidRPr="00620A4A" w:rsidRDefault="00620A4A" w:rsidP="00620A4A">
                      <w:pPr>
                        <w:rPr>
                          <w:b/>
                          <w:bCs/>
                        </w:rPr>
                      </w:pPr>
                      <w:r w:rsidRPr="00620A4A">
                        <w:rPr>
                          <w:b/>
                          <w:bCs/>
                        </w:rPr>
                        <w:t>Your answer must be based on academic research rather than personal experience.</w:t>
                      </w:r>
                    </w:p>
                    <w:p w14:paraId="187DDD7A" w14:textId="295C6970" w:rsidR="00620A4A" w:rsidRPr="00620A4A" w:rsidRDefault="00620A4A" w:rsidP="00620A4A">
                      <w:pPr>
                        <w:rPr>
                          <w:b/>
                          <w:bCs/>
                        </w:rPr>
                      </w:pPr>
                      <w:r w:rsidRPr="00620A4A">
                        <w:rPr>
                          <w:b/>
                          <w:bCs/>
                        </w:rPr>
                        <w:t>Word limit: 1000 words.</w:t>
                      </w:r>
                    </w:p>
                  </w:txbxContent>
                </v:textbox>
                <w10:wrap type="square" anchorx="margin"/>
              </v:shape>
            </w:pict>
          </mc:Fallback>
        </mc:AlternateContent>
      </w:r>
      <w:r w:rsidRPr="00AD1BB5">
        <w:rPr>
          <w:b/>
          <w:bCs/>
          <w:u w:val="single"/>
        </w:rPr>
        <w:t>Student Number: 2222274</w:t>
      </w:r>
    </w:p>
    <w:p w14:paraId="57D6250D" w14:textId="358FB10E" w:rsidR="00CF3AEF" w:rsidRPr="00CF3AEF" w:rsidRDefault="00CF3AEF" w:rsidP="00DD4A16">
      <w:pPr>
        <w:rPr>
          <w:b/>
          <w:bCs/>
        </w:rPr>
      </w:pPr>
      <w:r w:rsidRPr="00CF3AEF">
        <w:rPr>
          <w:b/>
          <w:bCs/>
        </w:rPr>
        <w:t>Introduction</w:t>
      </w:r>
    </w:p>
    <w:p w14:paraId="31BE408E" w14:textId="334FD8AC" w:rsidR="00DD4A16" w:rsidRDefault="00BB0684" w:rsidP="00DD4A16">
      <w:r w:rsidRPr="00BB0684">
        <w:t>The</w:t>
      </w:r>
      <w:r>
        <w:t xml:space="preserve"> report, Public </w:t>
      </w:r>
      <w:r w:rsidR="004F0351">
        <w:t>P</w:t>
      </w:r>
      <w:r>
        <w:t>erceptions of Policing in England and Wales 2018</w:t>
      </w:r>
      <w:r w:rsidR="00AA46B5">
        <w:t>,</w:t>
      </w:r>
      <w:r>
        <w:t xml:space="preserve"> compiled by BMG Research following commission from Her Majesty’s Inspectorate of Constabulary and Fire and Rescue Services consisted of 17,043 surveys of members of the public.</w:t>
      </w:r>
    </w:p>
    <w:p w14:paraId="1BDAE159" w14:textId="57641422" w:rsidR="00BB0684" w:rsidRDefault="00CA270A" w:rsidP="00DD4A16">
      <w:r>
        <w:t>B</w:t>
      </w:r>
      <w:r w:rsidR="009179DC">
        <w:t>eing critical</w:t>
      </w:r>
      <w:r w:rsidR="00A44016">
        <w:t xml:space="preserve">, I would </w:t>
      </w:r>
      <w:r w:rsidR="00A52D02">
        <w:t>question</w:t>
      </w:r>
      <w:r w:rsidR="00A44016">
        <w:t xml:space="preserve"> if the</w:t>
      </w:r>
      <w:r>
        <w:t xml:space="preserve"> </w:t>
      </w:r>
      <w:r w:rsidR="003E7124">
        <w:t>methodology</w:t>
      </w:r>
      <w:r w:rsidR="00A44016">
        <w:t xml:space="preserve"> </w:t>
      </w:r>
      <w:r w:rsidR="007E4DAA">
        <w:t>w</w:t>
      </w:r>
      <w:r w:rsidR="003E7124">
        <w:t>as</w:t>
      </w:r>
      <w:r w:rsidR="00A44016">
        <w:t xml:space="preserve"> robust enough to</w:t>
      </w:r>
      <w:r w:rsidR="00BB0684">
        <w:t xml:space="preserve"> fully represent the views of the general public </w:t>
      </w:r>
      <w:r w:rsidR="00A44016">
        <w:t>of the UK</w:t>
      </w:r>
      <w:r w:rsidR="00AA46B5">
        <w:t>.</w:t>
      </w:r>
      <w:r w:rsidR="00A44016">
        <w:t xml:space="preserve"> T</w:t>
      </w:r>
      <w:r w:rsidR="00BB0684">
        <w:t xml:space="preserve">he UK adult population </w:t>
      </w:r>
      <w:r w:rsidR="004F0351">
        <w:t>by ONS estimates in 2018 was 40,907,058 (ONS UK population pyramid Interactive – UK population aged 18 to 65</w:t>
      </w:r>
      <w:r w:rsidR="00AC359E">
        <w:t>, 2018)</w:t>
      </w:r>
      <w:r w:rsidR="004F0351">
        <w:t xml:space="preserve">. A survey </w:t>
      </w:r>
      <w:r w:rsidR="00A44016">
        <w:t xml:space="preserve">sample </w:t>
      </w:r>
      <w:r w:rsidR="004F0351">
        <w:t>of this size would represent just 0.04% of the adult population.</w:t>
      </w:r>
    </w:p>
    <w:p w14:paraId="616A5B66" w14:textId="531D7A8D" w:rsidR="004F0351" w:rsidRDefault="0042425B" w:rsidP="00123E86">
      <w:r>
        <w:t xml:space="preserve">Sample sizes ranged between 400 to 457 surveys </w:t>
      </w:r>
      <w:r w:rsidR="00997E3F">
        <w:t>in each force</w:t>
      </w:r>
      <w:r>
        <w:t xml:space="preserve"> area. There will no doubt be regional variations between the </w:t>
      </w:r>
      <w:r w:rsidR="00A52D02">
        <w:t xml:space="preserve">force </w:t>
      </w:r>
      <w:r>
        <w:t>areas in terms of their opinion of the Police and this would be multifactorial due the factors such as community tensions, local policing policies, demographics</w:t>
      </w:r>
      <w:r w:rsidR="0017525F">
        <w:t xml:space="preserve"> and </w:t>
      </w:r>
      <w:r>
        <w:t>soci</w:t>
      </w:r>
      <w:r w:rsidR="0017525F">
        <w:t>o</w:t>
      </w:r>
      <w:r>
        <w:t xml:space="preserve">-economic </w:t>
      </w:r>
      <w:r w:rsidR="0017525F">
        <w:t>issues. It would be beneficial I feel</w:t>
      </w:r>
      <w:r w:rsidR="001D12C3">
        <w:t>,</w:t>
      </w:r>
      <w:r w:rsidR="0017525F">
        <w:t xml:space="preserve"> to have captured these regional variances in the research</w:t>
      </w:r>
      <w:r w:rsidR="00851178">
        <w:t>,</w:t>
      </w:r>
      <w:r w:rsidR="0017525F">
        <w:t xml:space="preserve"> as</w:t>
      </w:r>
      <w:r w:rsidR="00630893">
        <w:t xml:space="preserve"> public</w:t>
      </w:r>
      <w:r w:rsidR="0017525F">
        <w:t xml:space="preserve"> perception of </w:t>
      </w:r>
      <w:r w:rsidR="00630893">
        <w:t xml:space="preserve">one force area may differ greatly from another </w:t>
      </w:r>
      <w:r w:rsidR="001D12C3">
        <w:t>depending on local factors affecting policing.</w:t>
      </w:r>
    </w:p>
    <w:p w14:paraId="7564DD14" w14:textId="166FB77A" w:rsidR="00A65216" w:rsidRPr="00D0275F" w:rsidRDefault="00D0275F" w:rsidP="00A95EAE">
      <w:r>
        <w:t>The finding</w:t>
      </w:r>
      <w:r w:rsidR="00A511D6">
        <w:t>s</w:t>
      </w:r>
      <w:r>
        <w:t xml:space="preserve"> of the research </w:t>
      </w:r>
      <w:r w:rsidR="00A511D6">
        <w:t>were</w:t>
      </w:r>
      <w:r>
        <w:t xml:space="preserve"> that overall public satisfaction with the police increased over the previous years public survey</w:t>
      </w:r>
      <w:r w:rsidR="00A511D6">
        <w:t>,</w:t>
      </w:r>
      <w:r>
        <w:t xml:space="preserve"> though it was noted that the question has been asked in a different way.</w:t>
      </w:r>
      <w:r w:rsidR="00A511D6">
        <w:t xml:space="preserve"> 61</w:t>
      </w:r>
      <w:r w:rsidR="00454C04">
        <w:t xml:space="preserve">% being satisfied and 12% being dissatisfied. The findings and </w:t>
      </w:r>
      <w:r w:rsidR="002C33F8">
        <w:t xml:space="preserve">comparisons with </w:t>
      </w:r>
      <w:r w:rsidR="00FC48FC">
        <w:t xml:space="preserve">the </w:t>
      </w:r>
      <w:r w:rsidR="002C33F8">
        <w:t xml:space="preserve">previous </w:t>
      </w:r>
      <w:r w:rsidR="00FC48FC">
        <w:t>four</w:t>
      </w:r>
      <w:r w:rsidR="002C33F8">
        <w:t xml:space="preserve"> years of data from the surveys can be found </w:t>
      </w:r>
      <w:r w:rsidR="005B6E4D">
        <w:t xml:space="preserve">in </w:t>
      </w:r>
      <w:r w:rsidR="00425698">
        <w:t>F</w:t>
      </w:r>
      <w:r w:rsidR="005B6E4D">
        <w:t xml:space="preserve">igure </w:t>
      </w:r>
      <w:r w:rsidR="0076720A">
        <w:t>1</w:t>
      </w:r>
      <w:r w:rsidR="005B6E4D">
        <w:t>, which is copied from t</w:t>
      </w:r>
      <w:r w:rsidR="00F0342B">
        <w:t>he research report (BMG Re</w:t>
      </w:r>
      <w:r w:rsidR="00C13406">
        <w:t>search, 2018)</w:t>
      </w:r>
    </w:p>
    <w:p w14:paraId="76DB31B7" w14:textId="38BA661E" w:rsidR="00FC48FC" w:rsidRPr="00FC48FC" w:rsidRDefault="00FC48FC" w:rsidP="00776A7F">
      <w:pPr>
        <w:jc w:val="center"/>
      </w:pPr>
      <w:r>
        <w:rPr>
          <w:noProof/>
        </w:rPr>
        <w:drawing>
          <wp:inline distT="0" distB="0" distL="0" distR="0" wp14:anchorId="61EC5D5F" wp14:editId="59863C26">
            <wp:extent cx="3816350" cy="1555729"/>
            <wp:effectExtent l="19050" t="19050" r="12700" b="26035"/>
            <wp:docPr id="449686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686952" name=""/>
                    <pic:cNvPicPr/>
                  </pic:nvPicPr>
                  <pic:blipFill>
                    <a:blip r:embed="rId8"/>
                    <a:stretch>
                      <a:fillRect/>
                    </a:stretch>
                  </pic:blipFill>
                  <pic:spPr>
                    <a:xfrm>
                      <a:off x="0" y="0"/>
                      <a:ext cx="3891093" cy="1586198"/>
                    </a:xfrm>
                    <a:prstGeom prst="rect">
                      <a:avLst/>
                    </a:prstGeom>
                    <a:ln>
                      <a:solidFill>
                        <a:schemeClr val="tx1"/>
                      </a:solidFill>
                    </a:ln>
                  </pic:spPr>
                </pic:pic>
              </a:graphicData>
            </a:graphic>
          </wp:inline>
        </w:drawing>
      </w:r>
    </w:p>
    <w:p w14:paraId="2A72DF5C" w14:textId="31352E20" w:rsidR="00FC48FC" w:rsidRPr="00360312" w:rsidRDefault="00554657" w:rsidP="00360312">
      <w:pPr>
        <w:jc w:val="center"/>
        <w:rPr>
          <w:sz w:val="16"/>
          <w:szCs w:val="16"/>
        </w:rPr>
      </w:pPr>
      <w:r w:rsidRPr="00360312">
        <w:rPr>
          <w:sz w:val="16"/>
          <w:szCs w:val="16"/>
        </w:rPr>
        <w:t xml:space="preserve">Figure </w:t>
      </w:r>
      <w:r w:rsidR="0076720A">
        <w:rPr>
          <w:sz w:val="16"/>
          <w:szCs w:val="16"/>
        </w:rPr>
        <w:t>1</w:t>
      </w:r>
      <w:r w:rsidRPr="00360312">
        <w:rPr>
          <w:sz w:val="16"/>
          <w:szCs w:val="16"/>
        </w:rPr>
        <w:t xml:space="preserve">. </w:t>
      </w:r>
      <w:r w:rsidR="00F64801" w:rsidRPr="00360312">
        <w:rPr>
          <w:sz w:val="16"/>
          <w:szCs w:val="16"/>
        </w:rPr>
        <w:t>–</w:t>
      </w:r>
      <w:r w:rsidRPr="00360312">
        <w:rPr>
          <w:sz w:val="16"/>
          <w:szCs w:val="16"/>
        </w:rPr>
        <w:t xml:space="preserve"> </w:t>
      </w:r>
      <w:r w:rsidR="00F64801" w:rsidRPr="00360312">
        <w:rPr>
          <w:sz w:val="16"/>
          <w:szCs w:val="16"/>
        </w:rPr>
        <w:t xml:space="preserve">Satisfaction with local police force </w:t>
      </w:r>
      <w:r w:rsidR="00360312" w:rsidRPr="00360312">
        <w:rPr>
          <w:sz w:val="16"/>
          <w:szCs w:val="16"/>
        </w:rPr>
        <w:t>–</w:t>
      </w:r>
      <w:r w:rsidR="00F64801" w:rsidRPr="00360312">
        <w:rPr>
          <w:sz w:val="16"/>
          <w:szCs w:val="16"/>
        </w:rPr>
        <w:t xml:space="preserve"> </w:t>
      </w:r>
      <w:r w:rsidR="00360312" w:rsidRPr="00360312">
        <w:rPr>
          <w:sz w:val="16"/>
          <w:szCs w:val="16"/>
        </w:rPr>
        <w:t>(Copied from BMG Research, 2018)</w:t>
      </w:r>
    </w:p>
    <w:p w14:paraId="7FAF61B4" w14:textId="520F27B3" w:rsidR="00A95EAE" w:rsidRPr="00352719" w:rsidRDefault="00A95EAE" w:rsidP="00A95EAE">
      <w:pPr>
        <w:rPr>
          <w:b/>
          <w:bCs/>
        </w:rPr>
      </w:pPr>
      <w:r w:rsidRPr="00352719">
        <w:rPr>
          <w:b/>
          <w:bCs/>
        </w:rPr>
        <w:lastRenderedPageBreak/>
        <w:t>Police legitimacy</w:t>
      </w:r>
    </w:p>
    <w:p w14:paraId="094B5854" w14:textId="68C49277" w:rsidR="00FD6C14" w:rsidRDefault="006E36ED" w:rsidP="00A95EAE">
      <w:r>
        <w:t>Police legitimacy refers to the perception the public hold on the police</w:t>
      </w:r>
      <w:r w:rsidR="00AD6255">
        <w:t xml:space="preserve"> and on whether police officers are seen to behave fairly, ethically and within the law</w:t>
      </w:r>
      <w:r w:rsidR="00FD6C14">
        <w:t>.</w:t>
      </w:r>
    </w:p>
    <w:p w14:paraId="4C7756F9" w14:textId="2319C44D" w:rsidR="00174558" w:rsidRDefault="00174558" w:rsidP="00A95EAE">
      <w:r>
        <w:t xml:space="preserve">Looking at </w:t>
      </w:r>
      <w:r w:rsidR="00D43CF7">
        <w:t xml:space="preserve">some of </w:t>
      </w:r>
      <w:r>
        <w:t>the findings of the</w:t>
      </w:r>
      <w:r w:rsidR="003F4ED2">
        <w:t xml:space="preserve"> </w:t>
      </w:r>
      <w:r w:rsidR="00D66C9B">
        <w:t>r</w:t>
      </w:r>
      <w:r w:rsidR="003F4ED2">
        <w:t>esearch</w:t>
      </w:r>
      <w:r w:rsidR="00C71CF5">
        <w:t xml:space="preserve"> </w:t>
      </w:r>
      <w:r w:rsidR="00C71CF5" w:rsidRPr="00C71CF5">
        <w:t>(BMG Research, 2018)</w:t>
      </w:r>
      <w:r w:rsidR="003F4ED2">
        <w:t xml:space="preserve"> on the topic of police legitimacy</w:t>
      </w:r>
      <w:r w:rsidR="00E24B90">
        <w:t xml:space="preserve"> the following can be seen –</w:t>
      </w:r>
    </w:p>
    <w:p w14:paraId="04979756" w14:textId="7158B5DE" w:rsidR="00E24B90" w:rsidRDefault="00635000" w:rsidP="00E24B90">
      <w:pPr>
        <w:pStyle w:val="ListParagraph"/>
        <w:numPr>
          <w:ilvl w:val="0"/>
          <w:numId w:val="3"/>
        </w:numPr>
      </w:pPr>
      <w:r>
        <w:t>Around t</w:t>
      </w:r>
      <w:r w:rsidR="00AC5203">
        <w:t xml:space="preserve">wo thirds of those who </w:t>
      </w:r>
      <w:r w:rsidR="00F10C1D">
        <w:t>responded</w:t>
      </w:r>
      <w:r w:rsidR="00AC5203">
        <w:t xml:space="preserve"> to the survey agreed that police treat them fairly </w:t>
      </w:r>
      <w:r w:rsidR="008A0F7F">
        <w:t>and with respect.</w:t>
      </w:r>
    </w:p>
    <w:p w14:paraId="3D852AFE" w14:textId="54155585" w:rsidR="008A0F7F" w:rsidRDefault="00301E60" w:rsidP="00E24B90">
      <w:pPr>
        <w:pStyle w:val="ListParagraph"/>
        <w:numPr>
          <w:ilvl w:val="0"/>
          <w:numId w:val="3"/>
        </w:numPr>
      </w:pPr>
      <w:r>
        <w:t>52% think that police have a good reputation</w:t>
      </w:r>
      <w:r w:rsidR="00D4044D">
        <w:t xml:space="preserve"> </w:t>
      </w:r>
      <w:r w:rsidR="00F10C1D">
        <w:t>most/all</w:t>
      </w:r>
      <w:r w:rsidR="00D4044D">
        <w:t xml:space="preserve"> </w:t>
      </w:r>
      <w:r w:rsidR="00F10C1D">
        <w:t xml:space="preserve">of </w:t>
      </w:r>
      <w:r w:rsidR="00D4044D">
        <w:t>the time.</w:t>
      </w:r>
    </w:p>
    <w:p w14:paraId="3F49C826" w14:textId="0BB73972" w:rsidR="00D4044D" w:rsidRDefault="00D43CF7" w:rsidP="00E24B90">
      <w:pPr>
        <w:pStyle w:val="ListParagraph"/>
        <w:numPr>
          <w:ilvl w:val="0"/>
          <w:numId w:val="3"/>
        </w:numPr>
      </w:pPr>
      <w:r>
        <w:t xml:space="preserve">51% feel that police use of stop and search powers </w:t>
      </w:r>
      <w:r w:rsidR="00F10C1D">
        <w:t>are effective in preventing crime.</w:t>
      </w:r>
    </w:p>
    <w:p w14:paraId="31C7EF8E" w14:textId="0D908AC5" w:rsidR="009B4202" w:rsidRDefault="009B4202" w:rsidP="009B4202">
      <w:r w:rsidRPr="009B4202">
        <w:t xml:space="preserve">The findings </w:t>
      </w:r>
      <w:r>
        <w:t xml:space="preserve">on the topic of police </w:t>
      </w:r>
      <w:r w:rsidR="00554657">
        <w:t>legitimacy</w:t>
      </w:r>
      <w:r w:rsidRPr="009B4202">
        <w:t xml:space="preserve"> from the </w:t>
      </w:r>
      <w:r w:rsidR="00554657">
        <w:t xml:space="preserve">2018 </w:t>
      </w:r>
      <w:r w:rsidRPr="009B4202">
        <w:t>survey can be found in figure 2, which is copied from the research report (BMG Research, 2018</w:t>
      </w:r>
      <w:r w:rsidR="00C71CF5">
        <w:t>)</w:t>
      </w:r>
    </w:p>
    <w:p w14:paraId="0785C97C" w14:textId="77777777" w:rsidR="00776A7F" w:rsidRDefault="002603BC" w:rsidP="00776A7F">
      <w:pPr>
        <w:jc w:val="center"/>
        <w:rPr>
          <w:sz w:val="16"/>
          <w:szCs w:val="16"/>
        </w:rPr>
      </w:pPr>
      <w:r>
        <w:rPr>
          <w:noProof/>
        </w:rPr>
        <w:drawing>
          <wp:inline distT="0" distB="0" distL="0" distR="0" wp14:anchorId="66411526" wp14:editId="0E38CC95">
            <wp:extent cx="3116635" cy="2897717"/>
            <wp:effectExtent l="19050" t="19050" r="26670" b="17145"/>
            <wp:docPr id="136021302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213020" name="Picture 1" descr="A screenshot of a graph&#10;&#10;Description automatically generated"/>
                    <pic:cNvPicPr/>
                  </pic:nvPicPr>
                  <pic:blipFill>
                    <a:blip r:embed="rId9"/>
                    <a:stretch>
                      <a:fillRect/>
                    </a:stretch>
                  </pic:blipFill>
                  <pic:spPr>
                    <a:xfrm>
                      <a:off x="0" y="0"/>
                      <a:ext cx="3130773" cy="2910862"/>
                    </a:xfrm>
                    <a:prstGeom prst="rect">
                      <a:avLst/>
                    </a:prstGeom>
                    <a:ln>
                      <a:solidFill>
                        <a:schemeClr val="tx1"/>
                      </a:solidFill>
                    </a:ln>
                  </pic:spPr>
                </pic:pic>
              </a:graphicData>
            </a:graphic>
          </wp:inline>
        </w:drawing>
      </w:r>
    </w:p>
    <w:p w14:paraId="29353E75" w14:textId="5B601355" w:rsidR="00682BFC" w:rsidRDefault="002603BC" w:rsidP="00776A7F">
      <w:pPr>
        <w:jc w:val="center"/>
        <w:rPr>
          <w:sz w:val="16"/>
          <w:szCs w:val="16"/>
        </w:rPr>
      </w:pPr>
      <w:r w:rsidRPr="002603BC">
        <w:rPr>
          <w:sz w:val="16"/>
          <w:szCs w:val="16"/>
        </w:rPr>
        <w:t>Figure 2. – Satisfaction with local police force – (Copied from BMG Research, 2018)</w:t>
      </w:r>
    </w:p>
    <w:p w14:paraId="06443912" w14:textId="2F3E4151" w:rsidR="00A95EAE" w:rsidRPr="00776A7F" w:rsidRDefault="00A95EAE" w:rsidP="00745E2C">
      <w:pPr>
        <w:rPr>
          <w:sz w:val="16"/>
          <w:szCs w:val="16"/>
        </w:rPr>
      </w:pPr>
      <w:r>
        <w:t xml:space="preserve">Police officers understanding of police legitimacy plays a key role in ensuring officers act fairly and with respect towards the </w:t>
      </w:r>
      <w:r w:rsidR="007B07CC">
        <w:t>public</w:t>
      </w:r>
      <w:r>
        <w:t xml:space="preserve"> </w:t>
      </w:r>
      <w:r w:rsidR="00BA58A3">
        <w:t>and</w:t>
      </w:r>
      <w:r>
        <w:t xml:space="preserve"> towards offenders, </w:t>
      </w:r>
      <w:r w:rsidR="00AA46B5">
        <w:t>complainants,</w:t>
      </w:r>
      <w:r>
        <w:t xml:space="preserve"> and witnesses. </w:t>
      </w:r>
      <w:r w:rsidR="00205913">
        <w:t>O</w:t>
      </w:r>
      <w:r>
        <w:t xml:space="preserve">fficers need to understand the definition of police legitimacy, what the different elements are and how their personal and team actions impact on police legitimacy. Police officers also need to be aware of their own and colleagues psychological </w:t>
      </w:r>
      <w:r w:rsidR="007B07CC">
        <w:t>and phys</w:t>
      </w:r>
      <w:r w:rsidR="00E745F4">
        <w:t>iological</w:t>
      </w:r>
      <w:r w:rsidR="007B07CC">
        <w:t xml:space="preserve"> </w:t>
      </w:r>
      <w:r>
        <w:t xml:space="preserve">factors that impact on their actions such as mind-set, </w:t>
      </w:r>
      <w:r w:rsidR="007B3CD9">
        <w:t>fatigue,</w:t>
      </w:r>
      <w:r w:rsidR="007B07CC">
        <w:t xml:space="preserve"> </w:t>
      </w:r>
      <w:r>
        <w:t>and any unconscious and conscious bias they may have.</w:t>
      </w:r>
    </w:p>
    <w:p w14:paraId="650D3131" w14:textId="067E46A1" w:rsidR="00323F06" w:rsidRDefault="00323F06" w:rsidP="00DD4A16">
      <w:r>
        <w:t>Though the findings of th</w:t>
      </w:r>
      <w:r w:rsidR="00303F87">
        <w:t xml:space="preserve">e </w:t>
      </w:r>
      <w:r w:rsidR="00C71CF5">
        <w:t>r</w:t>
      </w:r>
      <w:r w:rsidR="00303F87">
        <w:t xml:space="preserve">esearch </w:t>
      </w:r>
      <w:r w:rsidR="00C71CF5" w:rsidRPr="00C71CF5">
        <w:t>(BMG Research, 2018)</w:t>
      </w:r>
      <w:r w:rsidR="00C71CF5">
        <w:t xml:space="preserve"> </w:t>
      </w:r>
      <w:r w:rsidR="00303F87">
        <w:t xml:space="preserve">are broadly positive in showing </w:t>
      </w:r>
      <w:r w:rsidR="00B0658B">
        <w:t>improvements</w:t>
      </w:r>
      <w:r w:rsidR="00303F87">
        <w:t xml:space="preserve"> over the previous year, consideration needs to be given to </w:t>
      </w:r>
      <w:r w:rsidR="008F5A02">
        <w:t>high profile events concerning the public perception of police</w:t>
      </w:r>
      <w:r w:rsidR="00B0658B">
        <w:t xml:space="preserve">. </w:t>
      </w:r>
      <w:r w:rsidR="004D5616">
        <w:t>T</w:t>
      </w:r>
      <w:r w:rsidR="006E5194">
        <w:t xml:space="preserve">he murder of Sarah Everard in March 2021 </w:t>
      </w:r>
      <w:r w:rsidR="005C0F4F">
        <w:t xml:space="preserve">by police officer Wayne Couzens </w:t>
      </w:r>
      <w:r w:rsidR="00DF1A61">
        <w:t xml:space="preserve">followed by the arrest </w:t>
      </w:r>
      <w:r w:rsidR="00F4007D">
        <w:t>in October 2021 of David Carrick</w:t>
      </w:r>
      <w:r w:rsidR="00156646">
        <w:t xml:space="preserve"> and </w:t>
      </w:r>
      <w:r w:rsidR="008466F3">
        <w:t xml:space="preserve">his </w:t>
      </w:r>
      <w:r w:rsidR="003E35A9">
        <w:t>conviction and sentencing in February 2023</w:t>
      </w:r>
      <w:r w:rsidR="00E56539">
        <w:t xml:space="preserve">, </w:t>
      </w:r>
      <w:r w:rsidR="002A3D30">
        <w:t xml:space="preserve">has had a significant impact on public confidence, not only in the Metropolitan Police but in </w:t>
      </w:r>
      <w:r w:rsidR="002A6515">
        <w:t>UK p</w:t>
      </w:r>
      <w:r w:rsidR="00E56539">
        <w:t>olic</w:t>
      </w:r>
      <w:r w:rsidR="002A6515">
        <w:t>ing</w:t>
      </w:r>
      <w:r w:rsidR="00E56539">
        <w:t xml:space="preserve"> as a whole.</w:t>
      </w:r>
    </w:p>
    <w:p w14:paraId="23F0EB2E" w14:textId="1DAB90F8" w:rsidR="00B4370A" w:rsidRPr="00AF6BCE" w:rsidRDefault="00D25EF4" w:rsidP="00DD4A16">
      <w:r>
        <w:t xml:space="preserve">Following the murder of Sarah Everard </w:t>
      </w:r>
      <w:r w:rsidR="0061608E">
        <w:t>the Angio</w:t>
      </w:r>
      <w:r w:rsidR="00E01504">
        <w:t xml:space="preserve">lini Inquiry, </w:t>
      </w:r>
      <w:r>
        <w:t>an independent inquiry</w:t>
      </w:r>
      <w:r w:rsidR="00E01504">
        <w:t>,</w:t>
      </w:r>
      <w:r>
        <w:t xml:space="preserve"> was commissioned</w:t>
      </w:r>
      <w:r w:rsidR="0024682F">
        <w:t xml:space="preserve"> by the Home Secretary </w:t>
      </w:r>
      <w:r w:rsidR="00077FFE">
        <w:t xml:space="preserve">in </w:t>
      </w:r>
      <w:r w:rsidR="0025772B">
        <w:t xml:space="preserve">late 2021. </w:t>
      </w:r>
      <w:r w:rsidR="00164019">
        <w:t xml:space="preserve">The scope of this </w:t>
      </w:r>
      <w:r w:rsidR="004E6ABE">
        <w:t xml:space="preserve">inquiry was extended in </w:t>
      </w:r>
      <w:r w:rsidR="00A07843">
        <w:t>February 2023</w:t>
      </w:r>
      <w:r w:rsidR="004D5406">
        <w:t xml:space="preserve"> to also look into the criminal behaviour of David Carrick.</w:t>
      </w:r>
    </w:p>
    <w:p w14:paraId="2AF1E317" w14:textId="7007FDF8" w:rsidR="00682CCD" w:rsidRPr="00CF3AEF" w:rsidRDefault="009307EA" w:rsidP="00682CCD">
      <w:r>
        <w:lastRenderedPageBreak/>
        <w:t>T</w:t>
      </w:r>
      <w:r w:rsidR="00AB0DB4" w:rsidRPr="00CF3AEF">
        <w:t>he Angiolini Part 1 Report offers 16 recommendations</w:t>
      </w:r>
      <w:r>
        <w:t>.</w:t>
      </w:r>
      <w:r w:rsidR="00AB0DB4" w:rsidRPr="00CF3AEF">
        <w:t xml:space="preserve"> Of interest to the context of this essay </w:t>
      </w:r>
      <w:r w:rsidR="00E64A3F" w:rsidRPr="00CF3AEF">
        <w:t>are</w:t>
      </w:r>
      <w:r w:rsidR="00682CCD" w:rsidRPr="00CF3AEF">
        <w:t xml:space="preserve"> recommendations 14 and 15</w:t>
      </w:r>
      <w:r w:rsidR="00CF3AEF" w:rsidRPr="00CF3AEF">
        <w:t xml:space="preserve"> which </w:t>
      </w:r>
      <w:r w:rsidR="002A6515">
        <w:t>are copied</w:t>
      </w:r>
      <w:r w:rsidR="00CF3AEF" w:rsidRPr="00CF3AEF">
        <w:t xml:space="preserve"> in Figure 3 below.</w:t>
      </w:r>
      <w:r w:rsidR="00E52BEC">
        <w:t xml:space="preserve"> </w:t>
      </w:r>
      <w:r w:rsidR="007F3702">
        <w:t>(The Angiolini Inquiry – Part 1 Report</w:t>
      </w:r>
      <w:r w:rsidR="00253F15">
        <w:t>, February 2024)</w:t>
      </w:r>
    </w:p>
    <w:p w14:paraId="44ADD2EF" w14:textId="6F299B64" w:rsidR="00E252D3" w:rsidRDefault="00E252D3" w:rsidP="009307EA">
      <w:pPr>
        <w:jc w:val="center"/>
        <w:rPr>
          <w:noProof/>
        </w:rPr>
      </w:pPr>
      <w:r w:rsidRPr="00E252D3">
        <w:rPr>
          <w:noProof/>
        </w:rPr>
        <w:drawing>
          <wp:inline distT="0" distB="0" distL="0" distR="0" wp14:anchorId="1EA14CF6" wp14:editId="7D20D21D">
            <wp:extent cx="3833055" cy="3663950"/>
            <wp:effectExtent l="19050" t="19050" r="15240" b="12700"/>
            <wp:docPr id="186342086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420863" name="Picture 1" descr="A close-up of a document&#10;&#10;Description automatically generated"/>
                    <pic:cNvPicPr/>
                  </pic:nvPicPr>
                  <pic:blipFill>
                    <a:blip r:embed="rId10"/>
                    <a:stretch>
                      <a:fillRect/>
                    </a:stretch>
                  </pic:blipFill>
                  <pic:spPr>
                    <a:xfrm>
                      <a:off x="0" y="0"/>
                      <a:ext cx="3844639" cy="3675023"/>
                    </a:xfrm>
                    <a:prstGeom prst="rect">
                      <a:avLst/>
                    </a:prstGeom>
                    <a:ln>
                      <a:solidFill>
                        <a:schemeClr val="tx1"/>
                      </a:solidFill>
                    </a:ln>
                  </pic:spPr>
                </pic:pic>
              </a:graphicData>
            </a:graphic>
          </wp:inline>
        </w:drawing>
      </w:r>
    </w:p>
    <w:p w14:paraId="782BA203" w14:textId="72A94C33" w:rsidR="00682CCD" w:rsidRPr="00CF3AEF" w:rsidRDefault="00E252D3" w:rsidP="009307EA">
      <w:pPr>
        <w:jc w:val="center"/>
        <w:rPr>
          <w:color w:val="538135" w:themeColor="accent6" w:themeShade="BF"/>
          <w:sz w:val="16"/>
          <w:szCs w:val="16"/>
        </w:rPr>
      </w:pPr>
      <w:r w:rsidRPr="00E252D3">
        <w:rPr>
          <w:noProof/>
          <w:sz w:val="16"/>
          <w:szCs w:val="16"/>
        </w:rPr>
        <w:t xml:space="preserve">Fig 3. </w:t>
      </w:r>
      <w:r>
        <w:rPr>
          <w:noProof/>
          <w:sz w:val="16"/>
          <w:szCs w:val="16"/>
        </w:rPr>
        <w:t>– Snip of recommendations 14 and 15 of the Angiolini Report Part 1 – February 2024</w:t>
      </w:r>
    </w:p>
    <w:p w14:paraId="5D9E1FEB" w14:textId="77777777" w:rsidR="00682CCD" w:rsidRPr="00682CCD" w:rsidRDefault="00682CCD" w:rsidP="00682CCD">
      <w:pPr>
        <w:pStyle w:val="NoSpacing"/>
        <w:rPr>
          <w:i/>
          <w:iCs/>
          <w:color w:val="538135" w:themeColor="accent6" w:themeShade="BF"/>
        </w:rPr>
      </w:pPr>
    </w:p>
    <w:p w14:paraId="5C17176B" w14:textId="5F91AC64" w:rsidR="009B6967" w:rsidRDefault="009B6967" w:rsidP="00DD4A16">
      <w:r w:rsidRPr="009B6967">
        <w:t>Due to</w:t>
      </w:r>
      <w:r w:rsidR="00712A0E">
        <w:t xml:space="preserve"> the</w:t>
      </w:r>
      <w:r w:rsidRPr="009B6967">
        <w:t xml:space="preserve"> </w:t>
      </w:r>
      <w:r>
        <w:t>Angiolini Inquiry recommendations,</w:t>
      </w:r>
      <w:r w:rsidRPr="009B6967">
        <w:t xml:space="preserve"> the spotlight has fallen on areas of policing</w:t>
      </w:r>
      <w:r w:rsidR="002C0E5A">
        <w:t>,</w:t>
      </w:r>
      <w:r w:rsidRPr="009B6967">
        <w:t xml:space="preserve"> one </w:t>
      </w:r>
      <w:r>
        <w:t>being</w:t>
      </w:r>
      <w:r w:rsidRPr="009B6967">
        <w:t xml:space="preserve"> the vetting system and ensuring the police recruit the right people initially. </w:t>
      </w:r>
      <w:r w:rsidR="002A6515">
        <w:t xml:space="preserve">Recent </w:t>
      </w:r>
      <w:r w:rsidR="000E4C11">
        <w:t>u</w:t>
      </w:r>
      <w:r w:rsidRPr="009B6967">
        <w:t>pdates from South Wales Police to officers via Operation Ninian</w:t>
      </w:r>
      <w:r w:rsidR="000E4C11">
        <w:t>,</w:t>
      </w:r>
      <w:r w:rsidRPr="009B6967">
        <w:t xml:space="preserve"> show that this has now been addressed at a national level and th</w:t>
      </w:r>
      <w:r w:rsidR="00CB31EE">
        <w:t>at a</w:t>
      </w:r>
      <w:r w:rsidRPr="009B6967">
        <w:t xml:space="preserve"> programme of vetting re-assessment</w:t>
      </w:r>
      <w:r w:rsidR="00CB31EE">
        <w:t xml:space="preserve"> has been</w:t>
      </w:r>
      <w:r w:rsidRPr="009B6967">
        <w:t xml:space="preserve"> completed. There have been a number of dismissals from police forces </w:t>
      </w:r>
      <w:r w:rsidR="00CB31EE">
        <w:t>across the UK</w:t>
      </w:r>
      <w:r w:rsidRPr="009B6967">
        <w:t xml:space="preserve"> </w:t>
      </w:r>
      <w:r w:rsidR="00B3786F">
        <w:t>as a result of</w:t>
      </w:r>
      <w:r w:rsidRPr="009B6967">
        <w:t xml:space="preserve"> this programme.</w:t>
      </w:r>
    </w:p>
    <w:p w14:paraId="1ABC1DEE" w14:textId="22F10BF6" w:rsidR="00083118" w:rsidRDefault="00B264D6" w:rsidP="00DD4A16">
      <w:r>
        <w:t xml:space="preserve">In researching the topic of police </w:t>
      </w:r>
      <w:r w:rsidR="00F85451">
        <w:t>legitimacy,</w:t>
      </w:r>
      <w:r>
        <w:t xml:space="preserve"> I </w:t>
      </w:r>
      <w:r w:rsidR="00EB6F55">
        <w:t>identified two pieces of relevant research. The first looking at police legitimacy from a public perspective and t</w:t>
      </w:r>
      <w:r w:rsidR="00E7415E">
        <w:t>he relationship with procedural justice</w:t>
      </w:r>
      <w:r w:rsidR="00F85451">
        <w:t xml:space="preserve"> </w:t>
      </w:r>
      <w:r w:rsidR="007A6CD3" w:rsidRPr="007A6CD3">
        <w:t>(Myhill and Quinton</w:t>
      </w:r>
      <w:r w:rsidR="007A6CD3">
        <w:t>,</w:t>
      </w:r>
      <w:r w:rsidR="007A6CD3" w:rsidRPr="007A6CD3">
        <w:t xml:space="preserve"> 2011)</w:t>
      </w:r>
      <w:r w:rsidR="007A6CD3">
        <w:t xml:space="preserve"> and the </w:t>
      </w:r>
      <w:r w:rsidR="00712234">
        <w:t>follow up paper</w:t>
      </w:r>
      <w:r w:rsidR="007A6CD3">
        <w:t xml:space="preserve"> looking at </w:t>
      </w:r>
      <w:r w:rsidR="00024264">
        <w:t xml:space="preserve">police legitimacy from an internal police perspective and the relationship with </w:t>
      </w:r>
      <w:r w:rsidR="00083118">
        <w:t>organisational justice</w:t>
      </w:r>
      <w:r w:rsidR="006416B4">
        <w:t xml:space="preserve"> </w:t>
      </w:r>
      <w:r w:rsidR="009C7DC6" w:rsidRPr="009C7DC6">
        <w:t>(Bradford et al</w:t>
      </w:r>
      <w:r w:rsidR="009C7DC6">
        <w:t>,</w:t>
      </w:r>
      <w:r w:rsidR="009C7DC6" w:rsidRPr="009C7DC6">
        <w:t xml:space="preserve"> 2013 and Bradford and Quinton</w:t>
      </w:r>
      <w:r w:rsidR="009C7DC6">
        <w:t>,</w:t>
      </w:r>
      <w:r w:rsidR="009C7DC6" w:rsidRPr="009C7DC6">
        <w:t xml:space="preserve"> 2014)</w:t>
      </w:r>
      <w:r w:rsidR="00990772">
        <w:t>.</w:t>
      </w:r>
    </w:p>
    <w:p w14:paraId="4A6FBC41" w14:textId="55997962" w:rsidR="00990772" w:rsidRPr="008B421A" w:rsidRDefault="00B21365" w:rsidP="00DD4A16">
      <w:r>
        <w:t>The first piece of research</w:t>
      </w:r>
      <w:r w:rsidR="00672295">
        <w:t xml:space="preserve"> is externally focussed and</w:t>
      </w:r>
      <w:r>
        <w:t xml:space="preserve"> concludes that </w:t>
      </w:r>
      <w:r w:rsidR="00A92E07">
        <w:t>if the public are treated with fairness and respect, they are far more likely to co-operate with the police</w:t>
      </w:r>
      <w:r w:rsidR="005F3CF4">
        <w:t xml:space="preserve"> which helps to reduce crime and increase trust and police </w:t>
      </w:r>
      <w:r w:rsidR="00672295">
        <w:t xml:space="preserve">legitimacy. </w:t>
      </w:r>
      <w:r w:rsidR="00672295" w:rsidRPr="00672295">
        <w:t>Police legitimacy</w:t>
      </w:r>
      <w:r w:rsidR="00F74AD0">
        <w:t xml:space="preserve"> will then take the</w:t>
      </w:r>
      <w:r w:rsidR="00672295" w:rsidRPr="00672295">
        <w:t xml:space="preserve"> form of shared values</w:t>
      </w:r>
      <w:r w:rsidR="00674FA0">
        <w:t>,</w:t>
      </w:r>
      <w:r w:rsidR="00672295" w:rsidRPr="00672295">
        <w:t xml:space="preserve"> </w:t>
      </w:r>
      <w:r w:rsidR="00F74AD0">
        <w:t>which</w:t>
      </w:r>
      <w:r w:rsidR="00D70F33">
        <w:t xml:space="preserve"> </w:t>
      </w:r>
      <w:r w:rsidR="00672295" w:rsidRPr="00672295">
        <w:t>trigger</w:t>
      </w:r>
      <w:r w:rsidR="00D70F33">
        <w:t>s</w:t>
      </w:r>
      <w:r w:rsidR="00672295" w:rsidRPr="00672295">
        <w:t xml:space="preserve"> social responsibility</w:t>
      </w:r>
      <w:r w:rsidR="00D70F33">
        <w:t>.</w:t>
      </w:r>
      <w:r w:rsidR="006A6EB8">
        <w:t xml:space="preserve"> The research concludes that this</w:t>
      </w:r>
      <w:r w:rsidR="00672295" w:rsidRPr="00672295">
        <w:t xml:space="preserve"> is the </w:t>
      </w:r>
      <w:r w:rsidR="006A6EB8" w:rsidRPr="006A6EB8">
        <w:rPr>
          <w:i/>
          <w:iCs/>
        </w:rPr>
        <w:t>“</w:t>
      </w:r>
      <w:r w:rsidR="00672295" w:rsidRPr="006A6EB8">
        <w:rPr>
          <w:i/>
          <w:iCs/>
        </w:rPr>
        <w:t>mechanism through which procedural justice works</w:t>
      </w:r>
      <w:r w:rsidR="006A6EB8" w:rsidRPr="006A6EB8">
        <w:rPr>
          <w:i/>
          <w:iCs/>
        </w:rPr>
        <w:t>”</w:t>
      </w:r>
      <w:r w:rsidR="00672295" w:rsidRPr="006A6EB8">
        <w:rPr>
          <w:i/>
          <w:iCs/>
        </w:rPr>
        <w:t>.</w:t>
      </w:r>
      <w:r w:rsidR="008B421A" w:rsidRPr="008B421A">
        <w:t xml:space="preserve"> (Myhill and Quinton, 2011)</w:t>
      </w:r>
      <w:r w:rsidR="008B421A">
        <w:t>.</w:t>
      </w:r>
      <w:r w:rsidR="00C03B02">
        <w:rPr>
          <w:i/>
          <w:iCs/>
        </w:rPr>
        <w:t xml:space="preserve"> </w:t>
      </w:r>
    </w:p>
    <w:p w14:paraId="2FF07EB9" w14:textId="01875919" w:rsidR="0067206B" w:rsidRDefault="0067206B" w:rsidP="00A762CE">
      <w:r>
        <w:t>The second piece of research is internally focussed</w:t>
      </w:r>
      <w:r w:rsidR="00A762CE">
        <w:t>.</w:t>
      </w:r>
      <w:r w:rsidR="008151AE">
        <w:t xml:space="preserve"> T</w:t>
      </w:r>
      <w:r w:rsidR="00A762CE">
        <w:t xml:space="preserve">he evidence suggests perceptions of fairness and respect in the police have an important and positive effect on the attitudes and behaviours of police officers. Organisational justice was found to be central to </w:t>
      </w:r>
      <w:r w:rsidR="004E63B5">
        <w:t xml:space="preserve">police </w:t>
      </w:r>
      <w:r w:rsidR="008B421A">
        <w:t>officers’</w:t>
      </w:r>
      <w:r w:rsidR="00A762CE">
        <w:t xml:space="preserve"> identity at work.</w:t>
      </w:r>
      <w:r w:rsidR="00BC349E">
        <w:t xml:space="preserve"> </w:t>
      </w:r>
      <w:r w:rsidR="00BC349E" w:rsidRPr="00BC349E">
        <w:t>(Bradford et al, 2013 and Bradford and Quinton, 2014).</w:t>
      </w:r>
    </w:p>
    <w:p w14:paraId="16980038" w14:textId="5AE948D3" w:rsidR="009B296E" w:rsidRPr="006A6EB8" w:rsidRDefault="009B296E" w:rsidP="00A762CE">
      <w:r>
        <w:lastRenderedPageBreak/>
        <w:t>I conclude from these pieces of research that there is a syner</w:t>
      </w:r>
      <w:r w:rsidR="00DA1E27">
        <w:t xml:space="preserve">gistic relationship between the external public </w:t>
      </w:r>
      <w:r w:rsidR="00FC486D">
        <w:t>need for fairness, respect and procedural justice</w:t>
      </w:r>
      <w:r w:rsidR="006B6C45">
        <w:t xml:space="preserve"> and the internal </w:t>
      </w:r>
      <w:r w:rsidR="00D82C9F">
        <w:t>police need for fairness respect and organisational justice.</w:t>
      </w:r>
    </w:p>
    <w:p w14:paraId="03A62A59" w14:textId="6D6DE190" w:rsidR="00352719" w:rsidRPr="00352719" w:rsidRDefault="00352719" w:rsidP="00DD4A16">
      <w:pPr>
        <w:rPr>
          <w:b/>
          <w:bCs/>
        </w:rPr>
      </w:pPr>
      <w:r w:rsidRPr="00352719">
        <w:rPr>
          <w:b/>
          <w:bCs/>
        </w:rPr>
        <w:t>Conclusion</w:t>
      </w:r>
    </w:p>
    <w:p w14:paraId="39312C9E" w14:textId="25159E19" w:rsidR="00D17B4E" w:rsidRDefault="00F25164" w:rsidP="004C1AFB">
      <w:r>
        <w:t>The research I reviewed on th</w:t>
      </w:r>
      <w:r w:rsidR="00B1621A">
        <w:t>is</w:t>
      </w:r>
      <w:r>
        <w:t xml:space="preserve"> subject points to police legitimacy</w:t>
      </w:r>
      <w:r w:rsidR="00952DD6">
        <w:t xml:space="preserve">, procedural justice and </w:t>
      </w:r>
      <w:r w:rsidR="00542076">
        <w:t>organisational</w:t>
      </w:r>
      <w:r>
        <w:t xml:space="preserve"> </w:t>
      </w:r>
      <w:r w:rsidR="00B1621A">
        <w:t xml:space="preserve">justice </w:t>
      </w:r>
      <w:r>
        <w:t>being</w:t>
      </w:r>
      <w:r w:rsidR="007B3CD9">
        <w:t xml:space="preserve"> elements</w:t>
      </w:r>
      <w:r>
        <w:t xml:space="preserve"> that ensure officers act with integrity and treat the public fairly and with respect</w:t>
      </w:r>
      <w:r w:rsidR="007B3CD9">
        <w:t>. Trends from the BMG Research would point to any measures in place being effective. Consideration</w:t>
      </w:r>
      <w:r>
        <w:t xml:space="preserve"> </w:t>
      </w:r>
      <w:r w:rsidR="008F66FA">
        <w:t>should</w:t>
      </w:r>
      <w:r>
        <w:t xml:space="preserve"> be given to how police legitimacy and </w:t>
      </w:r>
      <w:r w:rsidR="00B1621A">
        <w:t>the 202</w:t>
      </w:r>
      <w:r w:rsidR="001C4582">
        <w:t>3 P</w:t>
      </w:r>
      <w:r>
        <w:t xml:space="preserve">olice </w:t>
      </w:r>
      <w:r w:rsidR="001C4582">
        <w:t>Code of E</w:t>
      </w:r>
      <w:r>
        <w:t xml:space="preserve">thics are trained to new officers </w:t>
      </w:r>
      <w:r w:rsidR="00121A7C">
        <w:t>and</w:t>
      </w:r>
      <w:r>
        <w:t xml:space="preserve"> embedded with regularity with serving officers. Other factors that </w:t>
      </w:r>
      <w:r w:rsidR="001C4582">
        <w:t xml:space="preserve">I believe </w:t>
      </w:r>
      <w:r>
        <w:t xml:space="preserve">need </w:t>
      </w:r>
      <w:r w:rsidR="00E8787C">
        <w:t>to</w:t>
      </w:r>
      <w:r w:rsidR="00F80130">
        <w:t xml:space="preserve"> be</w:t>
      </w:r>
      <w:r w:rsidR="00E8787C">
        <w:t xml:space="preserve"> considered</w:t>
      </w:r>
      <w:r>
        <w:t xml:space="preserve"> would be</w:t>
      </w:r>
      <w:r w:rsidR="00E724FD">
        <w:t>:- r</w:t>
      </w:r>
      <w:r w:rsidR="00E8787C">
        <w:t>ecruitment and retention of officers with values that align with effective policing</w:t>
      </w:r>
      <w:r w:rsidR="00E3057F">
        <w:t>, r</w:t>
      </w:r>
      <w:r w:rsidR="00E8787C">
        <w:t xml:space="preserve">egional variances and demographics that impact on </w:t>
      </w:r>
      <w:r w:rsidR="00EA065F">
        <w:t xml:space="preserve">the public </w:t>
      </w:r>
      <w:r w:rsidR="00E8787C">
        <w:t>perception of policing</w:t>
      </w:r>
      <w:r w:rsidR="00E3057F">
        <w:t xml:space="preserve"> and</w:t>
      </w:r>
      <w:r w:rsidR="00E8787C">
        <w:t xml:space="preserve"> cases of police misconduct that impact on police legitimacy</w:t>
      </w:r>
      <w:r w:rsidR="00240132">
        <w:t xml:space="preserve"> and how they are addressed at leadership and government level.</w:t>
      </w:r>
    </w:p>
    <w:p w14:paraId="76960414" w14:textId="1ADA74C5" w:rsidR="00B1621A" w:rsidRPr="00D17B4E" w:rsidRDefault="00EC14E6" w:rsidP="00B1621A">
      <w:r w:rsidRPr="00EC14E6">
        <w:rPr>
          <w:b/>
          <w:bCs/>
        </w:rPr>
        <w:t>Word Count</w:t>
      </w:r>
      <w:r>
        <w:t xml:space="preserve"> - </w:t>
      </w:r>
      <w:r w:rsidRPr="00603F9A">
        <w:rPr>
          <w:b/>
          <w:bCs/>
        </w:rPr>
        <w:t>1</w:t>
      </w:r>
      <w:r w:rsidR="007633B1">
        <w:rPr>
          <w:b/>
          <w:bCs/>
        </w:rPr>
        <w:t>100</w:t>
      </w:r>
    </w:p>
    <w:p w14:paraId="7965519A" w14:textId="0108FE7E" w:rsidR="00B4773B" w:rsidRPr="00B4773B" w:rsidRDefault="00B4773B" w:rsidP="002A12B9">
      <w:pPr>
        <w:rPr>
          <w:b/>
          <w:bCs/>
        </w:rPr>
      </w:pPr>
      <w:r w:rsidRPr="00B4773B">
        <w:rPr>
          <w:b/>
          <w:bCs/>
        </w:rPr>
        <w:t>Biblography</w:t>
      </w:r>
    </w:p>
    <w:p w14:paraId="345E0CC3" w14:textId="5917ABF0" w:rsidR="00290954" w:rsidRDefault="00290954" w:rsidP="00BF3376">
      <w:r>
        <w:t xml:space="preserve">Awan, I. Brookes, M. Powell, M. &amp; Stanwell, </w:t>
      </w:r>
      <w:r w:rsidR="009103BE">
        <w:t>S (</w:t>
      </w:r>
      <w:r>
        <w:t xml:space="preserve">2019) </w:t>
      </w:r>
      <w:r w:rsidRPr="009103BE">
        <w:rPr>
          <w:i/>
          <w:iCs/>
        </w:rPr>
        <w:t>Understanding the Public Perception and satisfaction of UK police constabulary</w:t>
      </w:r>
      <w:r>
        <w:t xml:space="preserve"> – Police Practice and Research – Vol.20, No. 2, Pg. 172-184</w:t>
      </w:r>
    </w:p>
    <w:p w14:paraId="302EB96A" w14:textId="7C2C048E" w:rsidR="005748A5" w:rsidRDefault="005748A5" w:rsidP="00BF3376">
      <w:r w:rsidRPr="002F238C">
        <w:t>Myhill</w:t>
      </w:r>
      <w:r>
        <w:t>, A.</w:t>
      </w:r>
      <w:r w:rsidRPr="002F238C">
        <w:t xml:space="preserve"> and Quinton</w:t>
      </w:r>
      <w:r>
        <w:t>,</w:t>
      </w:r>
      <w:r>
        <w:t xml:space="preserve"> P.</w:t>
      </w:r>
      <w:r>
        <w:t xml:space="preserve"> </w:t>
      </w:r>
      <w:r w:rsidR="00E76074">
        <w:t>(</w:t>
      </w:r>
      <w:r>
        <w:t>2011</w:t>
      </w:r>
      <w:r w:rsidR="00E76074">
        <w:t xml:space="preserve">) </w:t>
      </w:r>
      <w:r>
        <w:t xml:space="preserve"> </w:t>
      </w:r>
      <w:r w:rsidRPr="009103BE">
        <w:rPr>
          <w:i/>
          <w:iCs/>
        </w:rPr>
        <w:t>It’s a fair cop? Police legitimacy, public cooperation, and crime reduction</w:t>
      </w:r>
      <w:r>
        <w:t xml:space="preserve"> - An interpretative evidence commentary – NPIA </w:t>
      </w:r>
    </w:p>
    <w:p w14:paraId="69BB9845" w14:textId="0818A426" w:rsidR="004F0351" w:rsidRDefault="00BF3376" w:rsidP="00BF3376">
      <w:r>
        <w:t xml:space="preserve">Office for national statistics </w:t>
      </w:r>
      <w:r w:rsidR="00B7313A">
        <w:t xml:space="preserve">– UK population </w:t>
      </w:r>
      <w:r w:rsidR="009E2EA3">
        <w:t xml:space="preserve">figures, 2018 </w:t>
      </w:r>
      <w:r w:rsidR="00B7313A">
        <w:t xml:space="preserve">         </w:t>
      </w:r>
      <w:hyperlink r:id="rId11" w:history="1">
        <w:r w:rsidR="00B7313A" w:rsidRPr="001E067B">
          <w:rPr>
            <w:rStyle w:val="Hyperlink"/>
          </w:rPr>
          <w:t>https://www.ons.gov.uk/peoplepopulationandcommunity/populationandmigration/populationestimates/articles/ukpopulationpyramidinteractive/2020-01-08</w:t>
        </w:r>
      </w:hyperlink>
    </w:p>
    <w:p w14:paraId="4F36565D" w14:textId="3CA359B5" w:rsidR="00467BC1" w:rsidRDefault="003C647C" w:rsidP="009E2EA3">
      <w:r w:rsidRPr="009103BE">
        <w:rPr>
          <w:i/>
          <w:iCs/>
        </w:rPr>
        <w:t>Public Perceptions of Policing in England and Wales 2018</w:t>
      </w:r>
      <w:r w:rsidR="00FE2FF6" w:rsidRPr="009103BE">
        <w:rPr>
          <w:i/>
          <w:iCs/>
        </w:rPr>
        <w:t>.</w:t>
      </w:r>
      <w:r w:rsidR="00FE2FF6">
        <w:t xml:space="preserve"> </w:t>
      </w:r>
      <w:r>
        <w:t>Prepared for: Her Majesty’s Inspectorate of Constabulary and Fire &amp; Rescue Services</w:t>
      </w:r>
      <w:r w:rsidR="00C13406">
        <w:t xml:space="preserve"> </w:t>
      </w:r>
      <w:r w:rsidR="00FE2FF6">
        <w:t xml:space="preserve">- </w:t>
      </w:r>
      <w:r w:rsidR="00C13406">
        <w:t>BMG Research 2018</w:t>
      </w:r>
    </w:p>
    <w:p w14:paraId="74F18681" w14:textId="48013B4B" w:rsidR="0026704E" w:rsidRDefault="0026704E" w:rsidP="009E2EA3">
      <w:r>
        <w:t xml:space="preserve">Quinton, P. Myhill, A. Bradford, B. Fildes, A. and Porter, G.  (2015) </w:t>
      </w:r>
      <w:r w:rsidRPr="009103BE">
        <w:rPr>
          <w:i/>
          <w:iCs/>
        </w:rPr>
        <w:t>Fair cop 2: Organisational justice, behaviour and ethical policing - An interpretative evidence commentary</w:t>
      </w:r>
      <w:r>
        <w:t xml:space="preserve"> – College of Policing</w:t>
      </w:r>
    </w:p>
    <w:p w14:paraId="5E2DA34F" w14:textId="652EB973" w:rsidR="00467BC1" w:rsidRDefault="007455CB" w:rsidP="009E2EA3">
      <w:r>
        <w:t>The Angiolini Inquiry – Part 1 Report</w:t>
      </w:r>
      <w:r w:rsidR="00B23841">
        <w:t>, February 2024 – Crown Copyright.</w:t>
      </w:r>
    </w:p>
    <w:p w14:paraId="5B595122" w14:textId="724C9884" w:rsidR="005A37AE" w:rsidRDefault="005A37AE" w:rsidP="009E2EA3">
      <w:r>
        <w:t>Westmarland</w:t>
      </w:r>
      <w:r w:rsidR="001C003C">
        <w:t>, L &amp; Rowe, M  (</w:t>
      </w:r>
      <w:r w:rsidR="00527A94">
        <w:t xml:space="preserve">2018) </w:t>
      </w:r>
      <w:r w:rsidR="004A5684" w:rsidRPr="009103BE">
        <w:rPr>
          <w:i/>
          <w:iCs/>
        </w:rPr>
        <w:t xml:space="preserve">Police ethics and </w:t>
      </w:r>
      <w:r w:rsidR="00106864" w:rsidRPr="009103BE">
        <w:rPr>
          <w:i/>
          <w:iCs/>
        </w:rPr>
        <w:t>integrity</w:t>
      </w:r>
      <w:r w:rsidR="004A5684" w:rsidRPr="009103BE">
        <w:rPr>
          <w:i/>
          <w:iCs/>
        </w:rPr>
        <w:t xml:space="preserve">: </w:t>
      </w:r>
      <w:r w:rsidR="00915339" w:rsidRPr="009103BE">
        <w:rPr>
          <w:i/>
          <w:iCs/>
        </w:rPr>
        <w:t>can a new code overturn a blue code?</w:t>
      </w:r>
      <w:r w:rsidR="00915339">
        <w:t xml:space="preserve"> </w:t>
      </w:r>
      <w:r w:rsidR="005169B6">
        <w:t>–</w:t>
      </w:r>
      <w:r w:rsidR="00915339">
        <w:t xml:space="preserve"> </w:t>
      </w:r>
      <w:r w:rsidR="005169B6">
        <w:t xml:space="preserve">Policing and Society </w:t>
      </w:r>
      <w:r w:rsidR="00B81632">
        <w:t>Vol. 28</w:t>
      </w:r>
      <w:r w:rsidR="00106864">
        <w:t>, No.7, Pg. 854-870</w:t>
      </w:r>
    </w:p>
    <w:p w14:paraId="2E539464" w14:textId="77777777" w:rsidR="0073118A" w:rsidRDefault="0073118A" w:rsidP="009E2EA3"/>
    <w:p w14:paraId="130E555E" w14:textId="77777777" w:rsidR="0073118A" w:rsidRDefault="0073118A" w:rsidP="009E2EA3"/>
    <w:p w14:paraId="67552427" w14:textId="77777777" w:rsidR="0073118A" w:rsidRDefault="0073118A" w:rsidP="009E2EA3"/>
    <w:p w14:paraId="12FB7205" w14:textId="77777777" w:rsidR="0073118A" w:rsidRDefault="0073118A" w:rsidP="009E2EA3"/>
    <w:p w14:paraId="07109302" w14:textId="77777777" w:rsidR="0073118A" w:rsidRDefault="0073118A" w:rsidP="009E2EA3"/>
    <w:p w14:paraId="51CE0DC5" w14:textId="77777777" w:rsidR="0073118A" w:rsidRDefault="0073118A" w:rsidP="009E2EA3"/>
    <w:p w14:paraId="51D210B5" w14:textId="289804BA" w:rsidR="00365F9F" w:rsidRPr="00365F9F" w:rsidRDefault="00365F9F" w:rsidP="00365F9F">
      <w:pPr>
        <w:rPr>
          <w:b/>
          <w:bCs/>
          <w:u w:val="single"/>
        </w:rPr>
      </w:pPr>
      <w:r w:rsidRPr="00365F9F">
        <w:rPr>
          <w:b/>
          <w:bCs/>
          <w:noProof/>
        </w:rPr>
        <w:lastRenderedPageBreak/>
        <mc:AlternateContent>
          <mc:Choice Requires="wps">
            <w:drawing>
              <wp:anchor distT="45720" distB="45720" distL="114300" distR="114300" simplePos="0" relativeHeight="251657728" behindDoc="0" locked="0" layoutInCell="1" allowOverlap="1" wp14:anchorId="027A2C6A" wp14:editId="240698F5">
                <wp:simplePos x="0" y="0"/>
                <wp:positionH relativeFrom="margin">
                  <wp:align>left</wp:align>
                </wp:positionH>
                <wp:positionV relativeFrom="paragraph">
                  <wp:posOffset>423</wp:posOffset>
                </wp:positionV>
                <wp:extent cx="5721350" cy="1404620"/>
                <wp:effectExtent l="0" t="0" r="12700" b="13335"/>
                <wp:wrapSquare wrapText="bothSides"/>
                <wp:docPr id="17797066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FF0000"/>
                          </a:solidFill>
                          <a:miter lim="800000"/>
                          <a:headEnd/>
                          <a:tailEnd/>
                        </a:ln>
                      </wps:spPr>
                      <wps:txbx>
                        <w:txbxContent>
                          <w:p w14:paraId="3880EA27" w14:textId="77777777" w:rsidR="00365F9F" w:rsidRPr="00E67A5B" w:rsidRDefault="00365F9F" w:rsidP="00365F9F">
                            <w:pPr>
                              <w:rPr>
                                <w:b/>
                                <w:bCs/>
                              </w:rPr>
                            </w:pPr>
                            <w:r w:rsidRPr="00E67A5B">
                              <w:rPr>
                                <w:b/>
                                <w:bCs/>
                              </w:rPr>
                              <w:t>Essay two:</w:t>
                            </w:r>
                          </w:p>
                          <w:p w14:paraId="44A39E81" w14:textId="77777777" w:rsidR="00365F9F" w:rsidRPr="00E67A5B" w:rsidRDefault="00365F9F" w:rsidP="00365F9F">
                            <w:pPr>
                              <w:pStyle w:val="ListParagraph"/>
                              <w:numPr>
                                <w:ilvl w:val="0"/>
                                <w:numId w:val="4"/>
                              </w:numPr>
                              <w:rPr>
                                <w:b/>
                                <w:bCs/>
                              </w:rPr>
                            </w:pPr>
                            <w:r w:rsidRPr="00E67A5B">
                              <w:rPr>
                                <w:b/>
                                <w:bCs/>
                              </w:rPr>
                              <w:t>Community policing – Why is partnership the most effective strategy for improving community engagement?</w:t>
                            </w:r>
                          </w:p>
                          <w:p w14:paraId="54048784" w14:textId="77777777" w:rsidR="00365F9F" w:rsidRPr="00E67A5B" w:rsidRDefault="00365F9F" w:rsidP="00365F9F">
                            <w:pPr>
                              <w:rPr>
                                <w:b/>
                                <w:bCs/>
                              </w:rPr>
                            </w:pPr>
                            <w:r w:rsidRPr="00E67A5B">
                              <w:rPr>
                                <w:b/>
                                <w:bCs/>
                              </w:rPr>
                              <w:t>Your answer must be based on academic research.</w:t>
                            </w:r>
                          </w:p>
                          <w:p w14:paraId="4CCFA5D3" w14:textId="77777777" w:rsidR="00365F9F" w:rsidRPr="00E67A5B" w:rsidRDefault="00365F9F" w:rsidP="00365F9F">
                            <w:pPr>
                              <w:rPr>
                                <w:b/>
                                <w:bCs/>
                              </w:rPr>
                            </w:pPr>
                            <w:r w:rsidRPr="00E67A5B">
                              <w:rPr>
                                <w:b/>
                                <w:bCs/>
                              </w:rPr>
                              <w:t>Word limit: 1000 words.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7A2C6A" id="_x0000_s1027" type="#_x0000_t202" style="position:absolute;margin-left:0;margin-top:.05pt;width:450.5pt;height:110.6pt;z-index:25165772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" strokecolor="red">
                <v:textbox style="mso-fit-shape-to-text:t">
                  <w:txbxContent>
                    <w:p w14:paraId="3880EA27" w14:textId="77777777" w:rsidR="00365F9F" w:rsidRPr="00E67A5B" w:rsidRDefault="00365F9F" w:rsidP="00365F9F">
                      <w:pPr>
                        <w:rPr>
                          <w:b/>
                          <w:bCs/>
                        </w:rPr>
                      </w:pPr>
                      <w:r w:rsidRPr="00E67A5B">
                        <w:rPr>
                          <w:b/>
                          <w:bCs/>
                        </w:rPr>
                        <w:t>Essay two:</w:t>
                      </w:r>
                    </w:p>
                    <w:p w14:paraId="44A39E81" w14:textId="77777777" w:rsidR="00365F9F" w:rsidRPr="00E67A5B" w:rsidRDefault="00365F9F" w:rsidP="00365F9F">
                      <w:pPr>
                        <w:pStyle w:val="ListParagraph"/>
                        <w:numPr>
                          <w:ilvl w:val="0"/>
                          <w:numId w:val="4"/>
                        </w:numPr>
                        <w:rPr>
                          <w:b/>
                          <w:bCs/>
                        </w:rPr>
                      </w:pPr>
                      <w:r w:rsidRPr="00E67A5B">
                        <w:rPr>
                          <w:b/>
                          <w:bCs/>
                        </w:rPr>
                        <w:t>Community policing – Why is partnership the most effective strategy for improving community engagement?</w:t>
                      </w:r>
                    </w:p>
                    <w:p w14:paraId="54048784" w14:textId="77777777" w:rsidR="00365F9F" w:rsidRPr="00E67A5B" w:rsidRDefault="00365F9F" w:rsidP="00365F9F">
                      <w:pPr>
                        <w:rPr>
                          <w:b/>
                          <w:bCs/>
                        </w:rPr>
                      </w:pPr>
                      <w:r w:rsidRPr="00E67A5B">
                        <w:rPr>
                          <w:b/>
                          <w:bCs/>
                        </w:rPr>
                        <w:t>Your answer must be based on academic research.</w:t>
                      </w:r>
                    </w:p>
                    <w:p w14:paraId="4CCFA5D3" w14:textId="77777777" w:rsidR="00365F9F" w:rsidRPr="00E67A5B" w:rsidRDefault="00365F9F" w:rsidP="00365F9F">
                      <w:pPr>
                        <w:rPr>
                          <w:b/>
                          <w:bCs/>
                        </w:rPr>
                      </w:pPr>
                      <w:r w:rsidRPr="00E67A5B">
                        <w:rPr>
                          <w:b/>
                          <w:bCs/>
                        </w:rPr>
                        <w:t>Word limit: 1000 words.</w:t>
                      </w:r>
                    </w:p>
                  </w:txbxContent>
                </v:textbox>
                <w10:wrap type="square" anchorx="margin"/>
              </v:shape>
            </w:pict>
          </mc:Fallback>
        </mc:AlternateContent>
      </w:r>
      <w:r w:rsidRPr="00365F9F">
        <w:rPr>
          <w:b/>
          <w:bCs/>
        </w:rPr>
        <w:t xml:space="preserve">Introduction </w:t>
      </w:r>
    </w:p>
    <w:p w14:paraId="611A4436" w14:textId="50ED1E85" w:rsidR="00365F9F" w:rsidRPr="00365F9F" w:rsidRDefault="00392A2A" w:rsidP="00365F9F">
      <w:r>
        <w:t>R</w:t>
      </w:r>
      <w:r w:rsidR="00365F9F" w:rsidRPr="00365F9F">
        <w:t>esearch</w:t>
      </w:r>
      <w:r w:rsidRPr="00392A2A">
        <w:t xml:space="preserve"> </w:t>
      </w:r>
      <w:r>
        <w:t>(</w:t>
      </w:r>
      <w:r w:rsidRPr="00365F9F">
        <w:t>O’Reilly et al</w:t>
      </w:r>
      <w:r>
        <w:t xml:space="preserve">, </w:t>
      </w:r>
      <w:r w:rsidRPr="00365F9F">
        <w:t xml:space="preserve">2022) </w:t>
      </w:r>
      <w:r w:rsidR="00365F9F" w:rsidRPr="00365F9F">
        <w:t>looks at the impact austerity measures had on the ability of the force in question to deliver effective neighbourhood policing</w:t>
      </w:r>
      <w:r w:rsidR="002C6EBF">
        <w:t>.</w:t>
      </w:r>
      <w:r w:rsidR="00365F9F" w:rsidRPr="00365F9F">
        <w:t xml:space="preserve"> I found it interesting that this research noted that </w:t>
      </w:r>
      <w:r w:rsidR="00365F9F" w:rsidRPr="00365F9F">
        <w:rPr>
          <w:i/>
          <w:iCs/>
        </w:rPr>
        <w:t>“local priorities where often seen as being at odds with broader local force priorities”</w:t>
      </w:r>
      <w:r w:rsidR="00013861" w:rsidRPr="00013861">
        <w:t xml:space="preserve"> </w:t>
      </w:r>
      <w:r w:rsidR="00013861">
        <w:t>(</w:t>
      </w:r>
      <w:r w:rsidR="00013861" w:rsidRPr="00365F9F">
        <w:t>O’Reilly et al</w:t>
      </w:r>
      <w:r w:rsidR="00013861">
        <w:t xml:space="preserve">, </w:t>
      </w:r>
      <w:r w:rsidR="00013861" w:rsidRPr="00365F9F">
        <w:t>2022)</w:t>
      </w:r>
      <w:r w:rsidR="00013861">
        <w:t>.</w:t>
      </w:r>
      <w:r w:rsidR="00365F9F" w:rsidRPr="00365F9F">
        <w:rPr>
          <w:i/>
          <w:iCs/>
        </w:rPr>
        <w:t xml:space="preserve"> </w:t>
      </w:r>
      <w:r w:rsidR="00365F9F" w:rsidRPr="00365F9F">
        <w:t>This posed the question to me of how force priorities in any police force reflect the needs of that community and their local priorities. The findings in the research by O’Reilly et al (2022) are that austerity cuts and reforms to policing have had a negative impact on community policing and ultimately on public confidence in the police.</w:t>
      </w:r>
    </w:p>
    <w:p w14:paraId="6C0B70B3" w14:textId="664A1935" w:rsidR="00E61575" w:rsidRPr="00EC0A89" w:rsidRDefault="00013861" w:rsidP="00365F9F">
      <w:r>
        <w:t xml:space="preserve">In </w:t>
      </w:r>
      <w:r w:rsidR="00365F9F" w:rsidRPr="00365F9F">
        <w:rPr>
          <w:i/>
          <w:iCs/>
        </w:rPr>
        <w:t>‘Neighbourhood policing: the rise and fall of a policing model’</w:t>
      </w:r>
      <w:r w:rsidR="00365F9F" w:rsidRPr="00365F9F">
        <w:t xml:space="preserve"> (Innes, M. 2020. Ch.4 Pgs. 76- 103) the author explor</w:t>
      </w:r>
      <w:r w:rsidR="005D0BB6">
        <w:t>es</w:t>
      </w:r>
      <w:r w:rsidR="00365F9F" w:rsidRPr="00365F9F">
        <w:t xml:space="preserve"> policing interactions </w:t>
      </w:r>
      <w:r w:rsidR="005D0BB6">
        <w:t xml:space="preserve">and </w:t>
      </w:r>
      <w:r w:rsidR="00365F9F" w:rsidRPr="00365F9F">
        <w:t>discusses four interactional modes involved in the delivery of neighbourhood policing, Controlling</w:t>
      </w:r>
      <w:r w:rsidR="00694488">
        <w:t xml:space="preserve">, </w:t>
      </w:r>
      <w:r w:rsidR="00365F9F" w:rsidRPr="00365F9F">
        <w:t>Confrontational</w:t>
      </w:r>
      <w:r w:rsidR="00694488">
        <w:t xml:space="preserve">, </w:t>
      </w:r>
      <w:r w:rsidR="00365F9F" w:rsidRPr="00365F9F">
        <w:t>Collaborating</w:t>
      </w:r>
      <w:r w:rsidR="00694488">
        <w:t xml:space="preserve"> and </w:t>
      </w:r>
      <w:r w:rsidR="00365F9F" w:rsidRPr="00365F9F">
        <w:t>Collective</w:t>
      </w:r>
      <w:r w:rsidR="00694488">
        <w:t>.</w:t>
      </w:r>
      <w:r w:rsidR="00882B9E">
        <w:t xml:space="preserve"> </w:t>
      </w:r>
      <w:r w:rsidR="00365F9F" w:rsidRPr="00365F9F">
        <w:t>I took from this chapter that much work has been accomplished by communities in terms of working together in partnership, particularly in areas of high community tension</w:t>
      </w:r>
      <w:r w:rsidR="00882B9E">
        <w:t xml:space="preserve">. </w:t>
      </w:r>
      <w:r w:rsidR="00365F9F" w:rsidRPr="00365F9F">
        <w:t>The examples discussed in this chapter illustrated that public meetings could sometimes be a volatile but necessary platform for the airing of views around community tensions with the police and that they were necessary, as frequently any solutions to problems would be devised in smaller subgroup discussions which Inness (2022) refers to as the ‘Back stage’. The progress achieved through these meetings in terms of the ability of parties to see each other’s perspective was noted by Innes (2022) which adds evidence as to why partnership is an effective strategy for improving community engagement.</w:t>
      </w:r>
    </w:p>
    <w:p w14:paraId="7D929B33" w14:textId="46B2F207" w:rsidR="00365F9F" w:rsidRPr="00365F9F" w:rsidRDefault="00365F9F" w:rsidP="00365F9F">
      <w:pPr>
        <w:rPr>
          <w:b/>
          <w:bCs/>
        </w:rPr>
      </w:pPr>
      <w:r w:rsidRPr="00365F9F">
        <w:rPr>
          <w:b/>
          <w:bCs/>
        </w:rPr>
        <w:t>Neighbourhood Reassurance Policing Programme</w:t>
      </w:r>
    </w:p>
    <w:p w14:paraId="7C58DC6C" w14:textId="77777777" w:rsidR="00365F9F" w:rsidRPr="00365F9F" w:rsidRDefault="00365F9F" w:rsidP="00365F9F">
      <w:r w:rsidRPr="00365F9F">
        <w:t>Research into the Neighbourhood Reassurance Policing Programme (NRPP) (Tuffin et al, 2006) concluded in an evaluation that there were benefits to a Neighbourhood Policing Programme and that it supported community engagement beyond purely holding meetings. It stated that the public did take notice of police efforts to engage and that they also noticed efforts around problem solving. The NRPP emerged from a Surrey Police and Metropolitan Police trial on reassurance policing and drew on examples of community policing such as the Chicago Alternative Policing Strategy.</w:t>
      </w:r>
    </w:p>
    <w:p w14:paraId="780D26D3" w14:textId="77777777" w:rsidR="00365F9F" w:rsidRPr="00365F9F" w:rsidRDefault="00365F9F" w:rsidP="00365F9F">
      <w:pPr>
        <w:rPr>
          <w:b/>
          <w:bCs/>
        </w:rPr>
      </w:pPr>
      <w:r w:rsidRPr="00365F9F">
        <w:rPr>
          <w:b/>
          <w:bCs/>
        </w:rPr>
        <w:t>The Chicago Alternative Policing Strategy</w:t>
      </w:r>
    </w:p>
    <w:p w14:paraId="2B9755C7" w14:textId="4C592EE1" w:rsidR="00365F9F" w:rsidRPr="00365F9F" w:rsidRDefault="00365F9F" w:rsidP="00365F9F">
      <w:r w:rsidRPr="00365F9F">
        <w:t xml:space="preserve">The journey of the Chicago Alternative Policing Model (CAPS) is documented in an essay by Wesly G Skogan (2022). In this essay the author documents the history behind CAPS and its successes in engaging with the public and empowering them to work as partners with the police. The model was evaluated yearly and demonstrated that support for the police grew with time and that public confidence in perceptions of police responsiveness to neighbourhood priorities grew. Documented by Skogan (2022) in his essay is CAPS rise and fall, the original rise resulting from an upturn in violent crime in 1992, to the extent that Chicago saw </w:t>
      </w:r>
      <w:r w:rsidR="00304EA3" w:rsidRPr="00365F9F">
        <w:t>its</w:t>
      </w:r>
      <w:r w:rsidRPr="00365F9F">
        <w:t xml:space="preserve"> highest homicide rate in history. The fall of CAPS saw its budget slashed by the City Mayors office from $12 million in 1999 down to $3.9 million in 2016. This resulting from factors such as the economic downturn of the late 2000’s, leadership </w:t>
      </w:r>
      <w:r w:rsidRPr="00365F9F">
        <w:lastRenderedPageBreak/>
        <w:t>turnover and changes in the social, political and crime environments. The greatest contributing factor to this downfall, the author judges to be the economic downturn or ‘Great Recession’.</w:t>
      </w:r>
    </w:p>
    <w:p w14:paraId="67C28723" w14:textId="77777777" w:rsidR="00365F9F" w:rsidRPr="00365F9F" w:rsidRDefault="00365F9F" w:rsidP="00365F9F">
      <w:r w:rsidRPr="00365F9F">
        <w:t>The author does go on to note that in 2016 there was a spike in gun violence in Chicago and in response to this and other factors a new Community Policing Advisory Panel was formed with a view to the ‘re-vitalisation’ of community policing in Chicago.</w:t>
      </w:r>
    </w:p>
    <w:p w14:paraId="2CC72D5F" w14:textId="77777777" w:rsidR="00365F9F" w:rsidRPr="00365F9F" w:rsidRDefault="00365F9F" w:rsidP="00365F9F">
      <w:pPr>
        <w:rPr>
          <w:b/>
          <w:bCs/>
        </w:rPr>
      </w:pPr>
      <w:r w:rsidRPr="00365F9F">
        <w:rPr>
          <w:b/>
          <w:bCs/>
        </w:rPr>
        <w:t>The Cardiff Community Engagement experiment</w:t>
      </w:r>
    </w:p>
    <w:p w14:paraId="70245F50" w14:textId="746EB81A" w:rsidR="00365F9F" w:rsidRPr="00365F9F" w:rsidRDefault="00365F9F" w:rsidP="00365F9F">
      <w:r w:rsidRPr="00365F9F">
        <w:t>This experiment is explored in Inness (2022) and involved adapting the traditional model around holding meetings with the public and conducting surveys to ascertain the needs and concerns of the neighbourhoods of Cardiff, to experimenting with new intelligence led Neighbourhood Security Interviews in the form of ‘SENSOR’.</w:t>
      </w:r>
    </w:p>
    <w:p w14:paraId="3E697D0B" w14:textId="37BE1837" w:rsidR="00365F9F" w:rsidRPr="00365F9F" w:rsidRDefault="00365F9F" w:rsidP="00365F9F">
      <w:r w:rsidRPr="00365F9F">
        <w:t>SENSOR was originally developed by the research team involved</w:t>
      </w:r>
      <w:r w:rsidR="00136BFB">
        <w:t xml:space="preserve"> in</w:t>
      </w:r>
      <w:r w:rsidRPr="00365F9F">
        <w:t xml:space="preserve"> the NRPP and is based on signal crimes (Innes, 2014), signal crimes being a crime that alert the public to the fact that all is not well in their neighbourhood and therefore impact on the public perception o</w:t>
      </w:r>
      <w:r w:rsidR="00013861">
        <w:t>f</w:t>
      </w:r>
      <w:r w:rsidRPr="00365F9F">
        <w:t xml:space="preserve"> the level of criminality.</w:t>
      </w:r>
    </w:p>
    <w:p w14:paraId="6FEEE7EF" w14:textId="4FF0D64E" w:rsidR="00365F9F" w:rsidRPr="00365F9F" w:rsidRDefault="00365F9F" w:rsidP="00365F9F">
      <w:r w:rsidRPr="00365F9F">
        <w:t xml:space="preserve">SENSOR provided an approach to interviewing of members of the public that would help in the collection of data around signal crimes that impact on any thoughts, </w:t>
      </w:r>
      <w:r w:rsidR="0024633A" w:rsidRPr="00365F9F">
        <w:t>feelings,</w:t>
      </w:r>
      <w:r w:rsidRPr="00365F9F">
        <w:t xml:space="preserve"> and behaviour in a certain area. The members of the public interviewed were ‘Neighbourhood Sentinels’, these being local members of the public who have a high degree of knowledge of the local area and any associated issues. </w:t>
      </w:r>
    </w:p>
    <w:p w14:paraId="65A2A0E0" w14:textId="5D13EB8B" w:rsidR="00A50660" w:rsidRDefault="00365F9F" w:rsidP="00365F9F">
      <w:r w:rsidRPr="00365F9F">
        <w:t xml:space="preserve">The outputs of this approach were that over 2,000 signal crimes were reported. </w:t>
      </w:r>
      <w:r w:rsidR="00251C5C">
        <w:t>From</w:t>
      </w:r>
      <w:r w:rsidRPr="00365F9F">
        <w:t xml:space="preserve"> these outputs an intelligence picture began to emerge of </w:t>
      </w:r>
      <w:r w:rsidR="00311CB2" w:rsidRPr="00365F9F">
        <w:t>hotspots</w:t>
      </w:r>
      <w:r w:rsidRPr="00365F9F">
        <w:t xml:space="preserve"> or neighbourhoods in the city where signal crimes were beginning to influence the public’s perception about their neighbourhood and the city. These hotspots could</w:t>
      </w:r>
      <w:r w:rsidR="00A027A0">
        <w:t xml:space="preserve"> be</w:t>
      </w:r>
      <w:r w:rsidRPr="00365F9F">
        <w:t xml:space="preserve"> </w:t>
      </w:r>
      <w:r w:rsidR="00A50660">
        <w:t>reviewed</w:t>
      </w:r>
      <w:r w:rsidRPr="00365F9F">
        <w:t xml:space="preserve"> to ensure effective targeting of resources, and deployment of targeted problem-solving initiatives involving partners within the community.</w:t>
      </w:r>
    </w:p>
    <w:p w14:paraId="54AC645C" w14:textId="006C3048" w:rsidR="00365F9F" w:rsidRPr="00365F9F" w:rsidRDefault="00365F9F" w:rsidP="00365F9F">
      <w:r w:rsidRPr="00365F9F">
        <w:t>One such example was one area of the city where multiple respondents had highlighted signal crimes and disorder. This was mainly involving young people and the consumption of alcohol, public violence, verbal abuse, broken glass, and criminal damage. Drug use and supply also appeared to be an issue</w:t>
      </w:r>
      <w:r w:rsidR="008D1B7A">
        <w:t>.</w:t>
      </w:r>
      <w:r w:rsidRPr="00365F9F">
        <w:t xml:space="preserve"> A local supermarket in this area was also highlighted as an area for concern as the car park was overgrown and there was no lighting or CCTV. The response of the neighbourhood policing team was to involve this supermarket in the problem-solving process. The supermarket was very proactive in their response and installed lighting and CCTV and made efforts to tidy the car park. They also became more vigilant regarding sales of alcohol to anyone underage. The results of this partnership engagement were that reported incidents in the area declined and the store manager reported increased footfall in the store.</w:t>
      </w:r>
    </w:p>
    <w:p w14:paraId="7492F516" w14:textId="77777777" w:rsidR="00365F9F" w:rsidRPr="00365F9F" w:rsidRDefault="00365F9F" w:rsidP="00365F9F">
      <w:pPr>
        <w:rPr>
          <w:b/>
          <w:bCs/>
        </w:rPr>
      </w:pPr>
      <w:r w:rsidRPr="00365F9F">
        <w:rPr>
          <w:b/>
          <w:bCs/>
        </w:rPr>
        <w:t>Conclusions</w:t>
      </w:r>
    </w:p>
    <w:p w14:paraId="44D13AC3" w14:textId="421E6579" w:rsidR="00365F9F" w:rsidRPr="00365F9F" w:rsidRDefault="00365F9F" w:rsidP="00365F9F">
      <w:r w:rsidRPr="00365F9F">
        <w:t>My conclusion from the Chicago example is, if community policing, partnership working, and engagement are to flourish together</w:t>
      </w:r>
      <w:r w:rsidR="007F3815">
        <w:t>,</w:t>
      </w:r>
      <w:r w:rsidRPr="00365F9F">
        <w:t xml:space="preserve"> they need to be resilient to changes to policy, resulting from financial challenges and changes in the social and political environment. Police and partner agencies need to work towards sustainable solutions that ensure high levels of community engagement. The example of Cardiff demonstrates that evolving the engagement approach and targeting appropriate partners can return favourable results for </w:t>
      </w:r>
      <w:r w:rsidR="00D11AA9">
        <w:t xml:space="preserve">both </w:t>
      </w:r>
      <w:r w:rsidRPr="00365F9F">
        <w:t>neighbourhood policing</w:t>
      </w:r>
      <w:r w:rsidR="00DC54D8">
        <w:t xml:space="preserve"> and </w:t>
      </w:r>
      <w:r w:rsidR="00D11AA9">
        <w:t>community partners.</w:t>
      </w:r>
    </w:p>
    <w:p w14:paraId="29C828BA" w14:textId="1D745AB0" w:rsidR="00365F9F" w:rsidRPr="00365F9F" w:rsidRDefault="00EC0A89" w:rsidP="00365F9F">
      <w:r>
        <w:lastRenderedPageBreak/>
        <w:t>A</w:t>
      </w:r>
      <w:r w:rsidR="00365F9F" w:rsidRPr="00365F9F">
        <w:t>ssum</w:t>
      </w:r>
      <w:r>
        <w:t>ing</w:t>
      </w:r>
      <w:r w:rsidR="00365F9F" w:rsidRPr="00365F9F">
        <w:t xml:space="preserve"> partnership is the most effective strategy</w:t>
      </w:r>
      <w:r w:rsidR="00D11AA9">
        <w:t>,</w:t>
      </w:r>
      <w:r w:rsidR="00365F9F" w:rsidRPr="00365F9F">
        <w:t xml:space="preserve"> then my answer to the ‘why</w:t>
      </w:r>
      <w:r w:rsidR="00DE14A5">
        <w:t>?</w:t>
      </w:r>
      <w:r w:rsidR="00365F9F" w:rsidRPr="00365F9F">
        <w:t>’ is twofold in that, it is firstly able to evolve as it has in Cardiff and secondly</w:t>
      </w:r>
      <w:r>
        <w:t xml:space="preserve">, </w:t>
      </w:r>
      <w:r w:rsidR="002637F1">
        <w:t xml:space="preserve">looking at the evidence, </w:t>
      </w:r>
      <w:r w:rsidR="00365F9F" w:rsidRPr="00365F9F">
        <w:t xml:space="preserve">the need for community engagement appears to </w:t>
      </w:r>
      <w:r w:rsidR="007871B5">
        <w:t xml:space="preserve">be </w:t>
      </w:r>
      <w:r w:rsidR="00365F9F" w:rsidRPr="00365F9F">
        <w:t>cyclical and consistent.</w:t>
      </w:r>
    </w:p>
    <w:p w14:paraId="7ECF31E5" w14:textId="721FCA15" w:rsidR="00365F9F" w:rsidRPr="00365F9F" w:rsidRDefault="00365F9F" w:rsidP="00365F9F">
      <w:pPr>
        <w:rPr>
          <w:b/>
          <w:bCs/>
        </w:rPr>
      </w:pPr>
      <w:r w:rsidRPr="00365F9F">
        <w:rPr>
          <w:b/>
          <w:bCs/>
        </w:rPr>
        <w:t>Word Count - 1</w:t>
      </w:r>
      <w:r w:rsidR="00311CB2">
        <w:rPr>
          <w:b/>
          <w:bCs/>
        </w:rPr>
        <w:t>100</w:t>
      </w:r>
    </w:p>
    <w:p w14:paraId="6DBA2596" w14:textId="77777777" w:rsidR="00365F9F" w:rsidRPr="00365F9F" w:rsidRDefault="00365F9F" w:rsidP="00365F9F">
      <w:r w:rsidRPr="00365F9F">
        <w:rPr>
          <w:b/>
          <w:bCs/>
        </w:rPr>
        <w:t>Bibliography</w:t>
      </w:r>
    </w:p>
    <w:p w14:paraId="0FE0DB66" w14:textId="0745F458" w:rsidR="002452EC" w:rsidRPr="002452EC" w:rsidRDefault="002452EC" w:rsidP="00365F9F">
      <w:r w:rsidRPr="002452EC">
        <w:rPr>
          <w:shd w:val="clear" w:color="auto" w:fill="FFFFFF"/>
        </w:rPr>
        <w:t>Aurelius, M. (2002) </w:t>
      </w:r>
      <w:r w:rsidRPr="002452EC">
        <w:rPr>
          <w:rStyle w:val="Emphasis"/>
          <w:bdr w:val="none" w:sz="0" w:space="0" w:color="auto" w:frame="1"/>
          <w:shd w:val="clear" w:color="auto" w:fill="FFFFFF"/>
        </w:rPr>
        <w:t>Meditations. </w:t>
      </w:r>
      <w:r w:rsidRPr="002452EC">
        <w:rPr>
          <w:shd w:val="clear" w:color="auto" w:fill="FFFFFF"/>
        </w:rPr>
        <w:t>New York: Random House.</w:t>
      </w:r>
    </w:p>
    <w:p w14:paraId="75C0E676" w14:textId="1B0AD14F" w:rsidR="00AF0735" w:rsidRDefault="00AF0735" w:rsidP="00365F9F">
      <w:r w:rsidRPr="00365F9F">
        <w:t xml:space="preserve">Bullock, K., &amp; Johnson, P. (2018). </w:t>
      </w:r>
      <w:r w:rsidRPr="00365F9F">
        <w:rPr>
          <w:i/>
          <w:iCs/>
        </w:rPr>
        <w:t>Police engagement with Muslim communities: breaking out, breaking in, and breaking through.</w:t>
      </w:r>
      <w:r w:rsidRPr="00365F9F">
        <w:t> </w:t>
      </w:r>
      <w:r w:rsidR="00311CB2">
        <w:t xml:space="preserve">- </w:t>
      </w:r>
      <w:r w:rsidRPr="00365F9F">
        <w:t>Policing and Society, </w:t>
      </w:r>
      <w:r w:rsidRPr="00365F9F">
        <w:rPr>
          <w:i/>
          <w:iCs/>
        </w:rPr>
        <w:t>28</w:t>
      </w:r>
      <w:r w:rsidRPr="00365F9F">
        <w:t xml:space="preserve">(8), 879–897. </w:t>
      </w:r>
    </w:p>
    <w:p w14:paraId="0678F4A7" w14:textId="00F9C689" w:rsidR="00B67B01" w:rsidRPr="00311CB2" w:rsidRDefault="00B67B01" w:rsidP="00365F9F">
      <w:pPr>
        <w:rPr>
          <w:i/>
          <w:iCs/>
        </w:rPr>
      </w:pPr>
      <w:r w:rsidRPr="00365F9F">
        <w:t xml:space="preserve">CREW – Regeneration Wales Adfywio Cymru (date unknown) – </w:t>
      </w:r>
      <w:r w:rsidRPr="00365F9F">
        <w:rPr>
          <w:i/>
          <w:iCs/>
        </w:rPr>
        <w:t>A Guide to effective community engagement</w:t>
      </w:r>
      <w:r w:rsidRPr="00311CB2">
        <w:rPr>
          <w:i/>
          <w:iCs/>
        </w:rPr>
        <w:t>.</w:t>
      </w:r>
    </w:p>
    <w:p w14:paraId="511434D2" w14:textId="1332D7FA" w:rsidR="00AF0735" w:rsidRDefault="00AF0735" w:rsidP="00365F9F">
      <w:r w:rsidRPr="00365F9F">
        <w:t>Darwin</w:t>
      </w:r>
      <w:r>
        <w:t>, C. -</w:t>
      </w:r>
      <w:r w:rsidRPr="00365F9F">
        <w:t xml:space="preserve"> (2015)</w:t>
      </w:r>
      <w:r w:rsidR="00C2425F">
        <w:t>,</w:t>
      </w:r>
      <w:r w:rsidRPr="00365F9F">
        <w:t xml:space="preserve"> </w:t>
      </w:r>
      <w:r w:rsidRPr="00365F9F">
        <w:rPr>
          <w:i/>
          <w:iCs/>
        </w:rPr>
        <w:t>Darwin on Evolution: Words of Wisdom from the Father of Evolution</w:t>
      </w:r>
      <w:r w:rsidRPr="00365F9F">
        <w:t>,  Skyhorse Publishing, Inc.</w:t>
      </w:r>
    </w:p>
    <w:p w14:paraId="1940CE07" w14:textId="56F1C290" w:rsidR="00365F9F" w:rsidRPr="00365F9F" w:rsidRDefault="00365F9F" w:rsidP="00365F9F">
      <w:r w:rsidRPr="00365F9F">
        <w:t>Innes, M.  (2020)</w:t>
      </w:r>
      <w:r w:rsidR="00C2425F">
        <w:t>,</w:t>
      </w:r>
      <w:r w:rsidRPr="00365F9F">
        <w:t xml:space="preserve"> </w:t>
      </w:r>
      <w:r w:rsidRPr="00365F9F">
        <w:rPr>
          <w:i/>
          <w:iCs/>
        </w:rPr>
        <w:t>Neighbourhood policing: the rise and fall of a policing model</w:t>
      </w:r>
      <w:r w:rsidRPr="00365F9F">
        <w:t>, Oxford University Press – First edition.</w:t>
      </w:r>
    </w:p>
    <w:p w14:paraId="662C909F" w14:textId="3412C956" w:rsidR="00365F9F" w:rsidRPr="00365F9F" w:rsidRDefault="00365F9F" w:rsidP="00365F9F">
      <w:r w:rsidRPr="00365F9F">
        <w:t>Innes, M. Abbot, L. Lowe, T. Roberts, C. and Weston, N. (2009)</w:t>
      </w:r>
      <w:r w:rsidR="00C2425F">
        <w:t>,</w:t>
      </w:r>
      <w:r w:rsidRPr="00365F9F">
        <w:t xml:space="preserve"> </w:t>
      </w:r>
      <w:r w:rsidRPr="00365F9F">
        <w:rPr>
          <w:i/>
          <w:iCs/>
        </w:rPr>
        <w:t>Signal Events, Neighbourhood Security, Order and Reassurance in Cardiff.</w:t>
      </w:r>
      <w:r w:rsidRPr="00365F9F">
        <w:t xml:space="preserve"> – Cardiff: Cardiff University.</w:t>
      </w:r>
    </w:p>
    <w:p w14:paraId="56B518CC" w14:textId="4FC2CA79" w:rsidR="00365F9F" w:rsidRDefault="00365F9F" w:rsidP="00365F9F">
      <w:r w:rsidRPr="00365F9F">
        <w:t>Innes, M. (2014)</w:t>
      </w:r>
      <w:r w:rsidR="00C2425F">
        <w:t>,</w:t>
      </w:r>
      <w:r w:rsidRPr="00365F9F">
        <w:t xml:space="preserve"> </w:t>
      </w:r>
      <w:r w:rsidRPr="00365F9F">
        <w:rPr>
          <w:i/>
          <w:iCs/>
        </w:rPr>
        <w:t>Signal Crimes: Social Reactions to Crime, Disorder and Control</w:t>
      </w:r>
      <w:r w:rsidRPr="00365F9F">
        <w:t>. Oxford: Oxford University Press</w:t>
      </w:r>
    </w:p>
    <w:p w14:paraId="1D6C1224" w14:textId="1A952D1B" w:rsidR="00312599" w:rsidRDefault="00312599" w:rsidP="00365F9F">
      <w:r w:rsidRPr="00365F9F">
        <w:t xml:space="preserve">Legislation.gov.uk - The Police Reform and Social Responsibility Act 2011  - </w:t>
      </w:r>
      <w:hyperlink r:id="rId12" w:anchor=":~:text=This%20is%20the%20original%20version%20%28as%20it%20was,area%20about%20crime%20and%20disorder%20in%20that%20neighbourhood." w:history="1">
        <w:r w:rsidRPr="00365F9F">
          <w:rPr>
            <w:color w:val="0000FF"/>
            <w:u w:val="single"/>
          </w:rPr>
          <w:t>Police Reform and Social Responsibility Act 2011 (legislation.gov.uk)</w:t>
        </w:r>
      </w:hyperlink>
    </w:p>
    <w:p w14:paraId="748B8A52" w14:textId="65710900" w:rsidR="00B67B01" w:rsidRDefault="00B67B01" w:rsidP="00365F9F">
      <w:r w:rsidRPr="00365F9F">
        <w:t>Lombardo, R.M. &amp; Donner, C.M. (2018)</w:t>
      </w:r>
      <w:r w:rsidR="00C2425F">
        <w:t xml:space="preserve">, </w:t>
      </w:r>
      <w:r w:rsidRPr="00365F9F">
        <w:rPr>
          <w:i/>
          <w:iCs/>
        </w:rPr>
        <w:t>Can community policing increase residents’ informal social control? Testing the impact of the Chicago Alternative Policing Strategy</w:t>
      </w:r>
      <w:r w:rsidR="00C2425F">
        <w:t xml:space="preserve">. </w:t>
      </w:r>
      <w:r w:rsidRPr="00365F9F">
        <w:t xml:space="preserve"> Police Practice and Research – Vol.19, No.5, Pg. 427 – 422</w:t>
      </w:r>
    </w:p>
    <w:p w14:paraId="1DAF3316" w14:textId="15EE293B" w:rsidR="00312599" w:rsidRPr="00365F9F" w:rsidRDefault="00312599" w:rsidP="00365F9F">
      <w:r w:rsidRPr="00365F9F">
        <w:t>National Policing Improvement Agency, Citizen Focus Neighbourhood Policing Programme – Cohesion Guide (date unknown)</w:t>
      </w:r>
    </w:p>
    <w:p w14:paraId="7C853FAB" w14:textId="634BDC55" w:rsidR="00365F9F" w:rsidRDefault="00365F9F" w:rsidP="00365F9F">
      <w:r w:rsidRPr="00365F9F">
        <w:t>Orielly, C. Angnew-Pauley, W, &amp; Lundrigan, S. (2022)</w:t>
      </w:r>
      <w:r w:rsidR="00C2425F">
        <w:t xml:space="preserve">, </w:t>
      </w:r>
      <w:r w:rsidRPr="00365F9F">
        <w:rPr>
          <w:i/>
          <w:iCs/>
        </w:rPr>
        <w:t>Restoring public confidence through the delivery of improved community policing in Rackhamshire</w:t>
      </w:r>
      <w:r w:rsidR="00C2425F">
        <w:t xml:space="preserve">. </w:t>
      </w:r>
      <w:r w:rsidRPr="00365F9F">
        <w:t>Safer Communities – Vol.21 No.2 2022 pg.66 – 84.</w:t>
      </w:r>
    </w:p>
    <w:p w14:paraId="5EF695F3" w14:textId="30F9CEE9" w:rsidR="004A48DF" w:rsidRPr="00365F9F" w:rsidRDefault="004A48DF" w:rsidP="00365F9F">
      <w:r w:rsidRPr="00365F9F">
        <w:t xml:space="preserve">Quinton, P. &amp; Morris, J. (2008) </w:t>
      </w:r>
      <w:r w:rsidR="00C2425F" w:rsidRPr="00C2425F">
        <w:rPr>
          <w:i/>
          <w:iCs/>
        </w:rPr>
        <w:t>- Neighbourhood</w:t>
      </w:r>
      <w:r w:rsidRPr="00365F9F">
        <w:rPr>
          <w:i/>
          <w:iCs/>
        </w:rPr>
        <w:t xml:space="preserve"> policing: the impact of piloting and early implementation.</w:t>
      </w:r>
      <w:r w:rsidRPr="00365F9F">
        <w:t xml:space="preserve"> – Home Office. </w:t>
      </w:r>
    </w:p>
    <w:p w14:paraId="1271B25F" w14:textId="77777777" w:rsidR="00365F9F" w:rsidRPr="00365F9F" w:rsidRDefault="00365F9F" w:rsidP="00365F9F">
      <w:r w:rsidRPr="00365F9F">
        <w:t xml:space="preserve">South Wales Police and Crime Plan 2023-27 - </w:t>
      </w:r>
      <w:hyperlink r:id="rId13" w:history="1">
        <w:r w:rsidRPr="00365F9F">
          <w:rPr>
            <w:color w:val="0000FF"/>
            <w:u w:val="single"/>
          </w:rPr>
          <w:t>crp005-crime-plan-202327-final.pdf (southwalescommissioner.org.uk)</w:t>
        </w:r>
      </w:hyperlink>
    </w:p>
    <w:p w14:paraId="2ED4B39D" w14:textId="77777777" w:rsidR="00365F9F" w:rsidRPr="00365F9F" w:rsidRDefault="00365F9F" w:rsidP="00365F9F">
      <w:pPr>
        <w:autoSpaceDE w:val="0"/>
        <w:autoSpaceDN w:val="0"/>
        <w:adjustRightInd w:val="0"/>
        <w:spacing w:after="0" w:line="240" w:lineRule="auto"/>
        <w:rPr>
          <w:rFonts w:ascii="Arial" w:hAnsi="Arial" w:cs="Arial"/>
          <w:kern w:val="0"/>
          <w:sz w:val="20"/>
          <w:szCs w:val="20"/>
        </w:rPr>
      </w:pPr>
      <w:r w:rsidRPr="00365F9F">
        <w:rPr>
          <w:rFonts w:ascii="Arial" w:hAnsi="Arial" w:cs="Arial"/>
          <w:kern w:val="0"/>
          <w:sz w:val="20"/>
          <w:szCs w:val="20"/>
        </w:rPr>
        <w:t>The NRPP evaluation – an evaluation of ward level pilots to assess neighbourhood policing’s</w:t>
      </w:r>
    </w:p>
    <w:p w14:paraId="30FB645B" w14:textId="77777777" w:rsidR="00365F9F" w:rsidRPr="00365F9F" w:rsidRDefault="00365F9F" w:rsidP="00365F9F">
      <w:pPr>
        <w:autoSpaceDE w:val="0"/>
        <w:autoSpaceDN w:val="0"/>
        <w:adjustRightInd w:val="0"/>
        <w:spacing w:after="0" w:line="240" w:lineRule="auto"/>
        <w:rPr>
          <w:rFonts w:ascii="Arial" w:hAnsi="Arial" w:cs="Arial"/>
          <w:kern w:val="0"/>
          <w:sz w:val="20"/>
          <w:szCs w:val="20"/>
        </w:rPr>
      </w:pPr>
      <w:r w:rsidRPr="00365F9F">
        <w:rPr>
          <w:rFonts w:ascii="Arial" w:hAnsi="Arial" w:cs="Arial"/>
          <w:kern w:val="0"/>
          <w:sz w:val="20"/>
          <w:szCs w:val="20"/>
        </w:rPr>
        <w:t>impact over a 12-month period (published previously in Tuffin, et al., 2006 and Quinton and Tuffin,</w:t>
      </w:r>
    </w:p>
    <w:p w14:paraId="3745B420" w14:textId="77777777" w:rsidR="00365F9F" w:rsidRDefault="00365F9F" w:rsidP="00365F9F">
      <w:pPr>
        <w:rPr>
          <w:rFonts w:ascii="Arial" w:hAnsi="Arial" w:cs="Arial"/>
          <w:kern w:val="0"/>
          <w:sz w:val="20"/>
          <w:szCs w:val="20"/>
        </w:rPr>
      </w:pPr>
      <w:r w:rsidRPr="00365F9F">
        <w:rPr>
          <w:rFonts w:ascii="Arial" w:hAnsi="Arial" w:cs="Arial"/>
          <w:kern w:val="0"/>
          <w:sz w:val="20"/>
          <w:szCs w:val="20"/>
        </w:rPr>
        <w:t>2007).</w:t>
      </w:r>
    </w:p>
    <w:p w14:paraId="21FB9721" w14:textId="11D590CD" w:rsidR="00714725" w:rsidRPr="00365F9F" w:rsidRDefault="00714725" w:rsidP="00365F9F">
      <w:r w:rsidRPr="00365F9F">
        <w:t>Tuffin, R. Morris, J. &amp; Poole, A. (2006)</w:t>
      </w:r>
      <w:r w:rsidR="00C2425F">
        <w:t xml:space="preserve">, </w:t>
      </w:r>
      <w:r w:rsidRPr="00365F9F">
        <w:rPr>
          <w:i/>
          <w:iCs/>
        </w:rPr>
        <w:t>An evaluation of the impact of the National Reassurance Policing Programme</w:t>
      </w:r>
      <w:r w:rsidR="00C2425F">
        <w:t>.</w:t>
      </w:r>
      <w:r w:rsidRPr="00365F9F">
        <w:t xml:space="preserve"> Home Office Research Study 296</w:t>
      </w:r>
      <w:r w:rsidR="00C2425F">
        <w:t xml:space="preserve">. </w:t>
      </w:r>
      <w:r w:rsidRPr="00365F9F">
        <w:t xml:space="preserve"> Home Office Reseaerch, Development and Statistics Directorate.</w:t>
      </w:r>
    </w:p>
    <w:p w14:paraId="081C0AE4" w14:textId="0672BAFD" w:rsidR="00365F9F" w:rsidRPr="00365F9F" w:rsidRDefault="00365F9F" w:rsidP="00365F9F">
      <w:pPr>
        <w:autoSpaceDE w:val="0"/>
        <w:autoSpaceDN w:val="0"/>
        <w:adjustRightInd w:val="0"/>
        <w:spacing w:after="0" w:line="240" w:lineRule="auto"/>
        <w:rPr>
          <w:rFonts w:ascii="Arial" w:hAnsi="Arial" w:cs="Arial"/>
          <w:kern w:val="0"/>
          <w:sz w:val="20"/>
          <w:szCs w:val="20"/>
        </w:rPr>
      </w:pPr>
      <w:r w:rsidRPr="00365F9F">
        <w:rPr>
          <w:rFonts w:ascii="Arial" w:hAnsi="Arial" w:cs="Arial"/>
          <w:kern w:val="0"/>
          <w:sz w:val="20"/>
          <w:szCs w:val="20"/>
        </w:rPr>
        <w:t>Sherman, L. and Eck, J.</w:t>
      </w:r>
      <w:r w:rsidRPr="00365F9F">
        <w:rPr>
          <w:rFonts w:ascii="Arial" w:hAnsi="Arial" w:cs="Arial"/>
          <w:b/>
          <w:bCs/>
          <w:kern w:val="0"/>
          <w:sz w:val="20"/>
          <w:szCs w:val="20"/>
        </w:rPr>
        <w:t xml:space="preserve"> </w:t>
      </w:r>
      <w:r w:rsidRPr="00365F9F">
        <w:rPr>
          <w:rFonts w:ascii="Arial" w:hAnsi="Arial" w:cs="Arial"/>
          <w:kern w:val="0"/>
          <w:sz w:val="20"/>
          <w:szCs w:val="20"/>
        </w:rPr>
        <w:t xml:space="preserve">(2002) </w:t>
      </w:r>
      <w:r w:rsidRPr="00365F9F">
        <w:rPr>
          <w:rFonts w:ascii="Arial" w:hAnsi="Arial" w:cs="Arial"/>
          <w:i/>
          <w:iCs/>
          <w:kern w:val="0"/>
          <w:sz w:val="20"/>
          <w:szCs w:val="20"/>
        </w:rPr>
        <w:t>Policing for Crime Prevention, in Farrington, D</w:t>
      </w:r>
      <w:r w:rsidRPr="00365F9F">
        <w:rPr>
          <w:rFonts w:ascii="Arial" w:hAnsi="Arial" w:cs="Arial"/>
          <w:kern w:val="0"/>
          <w:sz w:val="20"/>
          <w:szCs w:val="20"/>
        </w:rPr>
        <w:t>. , MacKenzie, D.,</w:t>
      </w:r>
    </w:p>
    <w:p w14:paraId="36DA8972" w14:textId="77777777" w:rsidR="00365F9F" w:rsidRPr="00365F9F" w:rsidRDefault="00365F9F" w:rsidP="00365F9F">
      <w:pPr>
        <w:rPr>
          <w:rFonts w:ascii="Arial" w:hAnsi="Arial" w:cs="Arial"/>
          <w:kern w:val="0"/>
          <w:sz w:val="20"/>
          <w:szCs w:val="20"/>
        </w:rPr>
      </w:pPr>
      <w:r w:rsidRPr="00365F9F">
        <w:rPr>
          <w:rFonts w:ascii="Arial" w:hAnsi="Arial" w:cs="Arial"/>
          <w:kern w:val="0"/>
          <w:sz w:val="20"/>
          <w:szCs w:val="20"/>
        </w:rPr>
        <w:t xml:space="preserve">Sherman, L. and Welsh. B. (eds) </w:t>
      </w:r>
      <w:r w:rsidRPr="00365F9F">
        <w:rPr>
          <w:rFonts w:ascii="Arial" w:hAnsi="Arial" w:cs="Arial"/>
          <w:i/>
          <w:iCs/>
          <w:kern w:val="0"/>
          <w:sz w:val="20"/>
          <w:szCs w:val="20"/>
        </w:rPr>
        <w:t>Evidence-Based Crime Prevention</w:t>
      </w:r>
      <w:r w:rsidRPr="00365F9F">
        <w:rPr>
          <w:rFonts w:ascii="Arial" w:hAnsi="Arial" w:cs="Arial"/>
          <w:kern w:val="0"/>
          <w:sz w:val="20"/>
          <w:szCs w:val="20"/>
        </w:rPr>
        <w:t>. London: Routledge</w:t>
      </w:r>
    </w:p>
    <w:p w14:paraId="1756E5F0" w14:textId="77777777" w:rsidR="00365F9F" w:rsidRPr="00365F9F" w:rsidRDefault="00365F9F" w:rsidP="00365F9F">
      <w:pPr>
        <w:autoSpaceDE w:val="0"/>
        <w:autoSpaceDN w:val="0"/>
        <w:adjustRightInd w:val="0"/>
        <w:spacing w:after="0" w:line="240" w:lineRule="auto"/>
        <w:rPr>
          <w:rFonts w:ascii="Arial" w:hAnsi="Arial" w:cs="Arial"/>
          <w:kern w:val="0"/>
          <w:sz w:val="20"/>
          <w:szCs w:val="20"/>
        </w:rPr>
      </w:pPr>
      <w:r w:rsidRPr="00365F9F">
        <w:rPr>
          <w:rFonts w:ascii="Arial" w:hAnsi="Arial" w:cs="Arial"/>
          <w:kern w:val="0"/>
          <w:sz w:val="20"/>
          <w:szCs w:val="20"/>
        </w:rPr>
        <w:lastRenderedPageBreak/>
        <w:t>Skogan W., Steiner, L., DuBois, J., Gudell, J. E., Fagan, A., Kim, J. and Block, R.</w:t>
      </w:r>
      <w:r w:rsidRPr="00365F9F">
        <w:rPr>
          <w:rFonts w:ascii="Arial" w:hAnsi="Arial" w:cs="Arial"/>
          <w:b/>
          <w:bCs/>
          <w:kern w:val="0"/>
          <w:sz w:val="20"/>
          <w:szCs w:val="20"/>
        </w:rPr>
        <w:t xml:space="preserve"> </w:t>
      </w:r>
      <w:r w:rsidRPr="00365F9F">
        <w:rPr>
          <w:rFonts w:ascii="Arial" w:hAnsi="Arial" w:cs="Arial"/>
          <w:kern w:val="0"/>
          <w:sz w:val="20"/>
          <w:szCs w:val="20"/>
        </w:rPr>
        <w:t>(2000)</w:t>
      </w:r>
    </w:p>
    <w:p w14:paraId="7BBFF343" w14:textId="77777777" w:rsidR="00365F9F" w:rsidRPr="00365F9F" w:rsidRDefault="00365F9F" w:rsidP="00365F9F">
      <w:pPr>
        <w:rPr>
          <w:rFonts w:ascii="Arial" w:hAnsi="Arial" w:cs="Arial"/>
          <w:kern w:val="0"/>
          <w:sz w:val="20"/>
          <w:szCs w:val="20"/>
        </w:rPr>
      </w:pPr>
      <w:r w:rsidRPr="00365F9F">
        <w:rPr>
          <w:rFonts w:ascii="Arial" w:hAnsi="Arial" w:cs="Arial"/>
          <w:i/>
          <w:iCs/>
          <w:kern w:val="0"/>
          <w:sz w:val="20"/>
          <w:szCs w:val="20"/>
        </w:rPr>
        <w:t>Community Policing In Chicago, Year Seven: An Interim Report</w:t>
      </w:r>
      <w:r w:rsidRPr="00365F9F">
        <w:rPr>
          <w:rFonts w:ascii="Arial" w:hAnsi="Arial" w:cs="Arial"/>
          <w:kern w:val="0"/>
          <w:sz w:val="20"/>
          <w:szCs w:val="20"/>
        </w:rPr>
        <w:t>. Chicago; CCPEC.</w:t>
      </w:r>
    </w:p>
    <w:p w14:paraId="0DE451B2" w14:textId="7C87D2F2" w:rsidR="00365F9F" w:rsidRPr="00365F9F" w:rsidRDefault="00365F9F" w:rsidP="00365F9F">
      <w:pPr>
        <w:rPr>
          <w:rFonts w:ascii="Arial" w:hAnsi="Arial" w:cs="Arial"/>
          <w:kern w:val="0"/>
          <w:sz w:val="20"/>
          <w:szCs w:val="20"/>
        </w:rPr>
      </w:pPr>
      <w:r w:rsidRPr="00365F9F">
        <w:rPr>
          <w:rFonts w:ascii="Arial" w:hAnsi="Arial" w:cs="Arial"/>
          <w:kern w:val="0"/>
          <w:sz w:val="20"/>
          <w:szCs w:val="20"/>
        </w:rPr>
        <w:t xml:space="preserve">Skogan, W.G. (2022) </w:t>
      </w:r>
      <w:r w:rsidRPr="00365F9F">
        <w:rPr>
          <w:rFonts w:ascii="Arial" w:hAnsi="Arial" w:cs="Arial"/>
          <w:i/>
          <w:iCs/>
          <w:kern w:val="0"/>
          <w:sz w:val="20"/>
          <w:szCs w:val="20"/>
        </w:rPr>
        <w:t>Prospects for Reform? The Collapse of Community Policing in Chicago</w:t>
      </w:r>
      <w:r w:rsidR="00C2425F">
        <w:rPr>
          <w:rFonts w:ascii="Arial" w:hAnsi="Arial" w:cs="Arial"/>
          <w:i/>
          <w:iCs/>
          <w:kern w:val="0"/>
          <w:sz w:val="20"/>
          <w:szCs w:val="20"/>
        </w:rPr>
        <w:t>.</w:t>
      </w:r>
      <w:r w:rsidRPr="00365F9F">
        <w:rPr>
          <w:rFonts w:ascii="Arial" w:hAnsi="Arial" w:cs="Arial"/>
          <w:kern w:val="0"/>
          <w:sz w:val="20"/>
          <w:szCs w:val="20"/>
        </w:rPr>
        <w:t>The University of Chicago Law Review – Vol.89, No.2, pg. 383-404</w:t>
      </w:r>
    </w:p>
    <w:p w14:paraId="0B1ED2FD" w14:textId="09DAD333" w:rsidR="00365F9F" w:rsidRDefault="00365F9F" w:rsidP="00365F9F">
      <w:pPr>
        <w:rPr>
          <w:rFonts w:ascii="Arial" w:hAnsi="Arial" w:cs="Arial"/>
          <w:color w:val="000000"/>
          <w:sz w:val="20"/>
          <w:szCs w:val="20"/>
          <w:shd w:val="clear" w:color="auto" w:fill="FFFFFF"/>
        </w:rPr>
      </w:pPr>
      <w:r w:rsidRPr="00365F9F">
        <w:rPr>
          <w:rFonts w:ascii="Arial" w:hAnsi="Arial" w:cs="Arial"/>
          <w:color w:val="000000"/>
          <w:sz w:val="20"/>
          <w:szCs w:val="20"/>
          <w:shd w:val="clear" w:color="auto" w:fill="FFFFFF"/>
        </w:rPr>
        <w:t>Syed, M</w:t>
      </w:r>
      <w:r w:rsidR="00C2425F">
        <w:rPr>
          <w:rFonts w:ascii="Arial" w:hAnsi="Arial" w:cs="Arial"/>
          <w:color w:val="000000"/>
          <w:sz w:val="20"/>
          <w:szCs w:val="20"/>
          <w:shd w:val="clear" w:color="auto" w:fill="FFFFFF"/>
        </w:rPr>
        <w:t>.</w:t>
      </w:r>
      <w:r w:rsidRPr="00365F9F">
        <w:rPr>
          <w:rFonts w:ascii="Arial" w:hAnsi="Arial" w:cs="Arial"/>
          <w:color w:val="000000"/>
          <w:sz w:val="20"/>
          <w:szCs w:val="20"/>
          <w:shd w:val="clear" w:color="auto" w:fill="FFFFFF"/>
        </w:rPr>
        <w:t xml:space="preserve"> (2015) </w:t>
      </w:r>
      <w:r w:rsidRPr="00365F9F">
        <w:rPr>
          <w:rFonts w:ascii="Arial" w:hAnsi="Arial" w:cs="Arial"/>
          <w:i/>
          <w:iCs/>
          <w:color w:val="000000"/>
          <w:sz w:val="20"/>
          <w:szCs w:val="20"/>
          <w:shd w:val="clear" w:color="auto" w:fill="FFFFFF"/>
        </w:rPr>
        <w:t>Black Box Thinking: The Surprising Truth about Success (and why Some People Never Learn from Their Mistakes)</w:t>
      </w:r>
      <w:r w:rsidR="00C2425F">
        <w:rPr>
          <w:rFonts w:ascii="Arial" w:hAnsi="Arial" w:cs="Arial"/>
          <w:i/>
          <w:iCs/>
          <w:color w:val="000000"/>
          <w:sz w:val="20"/>
          <w:szCs w:val="20"/>
          <w:shd w:val="clear" w:color="auto" w:fill="FFFFFF"/>
        </w:rPr>
        <w:t>.</w:t>
      </w:r>
      <w:r w:rsidRPr="00365F9F">
        <w:rPr>
          <w:rFonts w:ascii="Arial" w:hAnsi="Arial" w:cs="Arial"/>
          <w:color w:val="000000"/>
          <w:sz w:val="20"/>
          <w:szCs w:val="20"/>
          <w:shd w:val="clear" w:color="auto" w:fill="FFFFFF"/>
        </w:rPr>
        <w:t xml:space="preserve"> John Murray</w:t>
      </w:r>
    </w:p>
    <w:p w14:paraId="34F28EF5" w14:textId="2C4E8F99" w:rsidR="009F23D7" w:rsidRPr="00365F9F" w:rsidRDefault="009F23D7" w:rsidP="00365F9F">
      <w:pPr>
        <w:rPr>
          <w:rFonts w:ascii="Arial" w:hAnsi="Arial" w:cs="Arial"/>
          <w:sz w:val="20"/>
          <w:szCs w:val="20"/>
          <w:shd w:val="clear" w:color="auto" w:fill="FFFFFF"/>
        </w:rPr>
      </w:pPr>
      <w:r w:rsidRPr="00C2425F">
        <w:rPr>
          <w:rFonts w:ascii="Arial" w:hAnsi="Arial" w:cs="Arial"/>
          <w:sz w:val="20"/>
          <w:szCs w:val="20"/>
          <w:shd w:val="clear" w:color="auto" w:fill="FFFFFF"/>
        </w:rPr>
        <w:t>Syed, M</w:t>
      </w:r>
      <w:r w:rsidR="00C2425F">
        <w:rPr>
          <w:rFonts w:ascii="Arial" w:hAnsi="Arial" w:cs="Arial"/>
          <w:sz w:val="20"/>
          <w:szCs w:val="20"/>
          <w:shd w:val="clear" w:color="auto" w:fill="FFFFFF"/>
        </w:rPr>
        <w:t xml:space="preserve">. </w:t>
      </w:r>
      <w:r w:rsidRPr="00C2425F">
        <w:rPr>
          <w:rFonts w:ascii="Arial" w:hAnsi="Arial" w:cs="Arial"/>
          <w:sz w:val="20"/>
          <w:szCs w:val="20"/>
          <w:shd w:val="clear" w:color="auto" w:fill="FFFFFF"/>
        </w:rPr>
        <w:t>(20</w:t>
      </w:r>
      <w:r w:rsidR="003F730F" w:rsidRPr="00C2425F">
        <w:rPr>
          <w:rFonts w:ascii="Arial" w:hAnsi="Arial" w:cs="Arial"/>
          <w:sz w:val="20"/>
          <w:szCs w:val="20"/>
          <w:shd w:val="clear" w:color="auto" w:fill="FFFFFF"/>
        </w:rPr>
        <w:t xml:space="preserve">19) </w:t>
      </w:r>
      <w:r w:rsidR="003F730F" w:rsidRPr="00C2425F">
        <w:rPr>
          <w:rFonts w:ascii="Arial" w:hAnsi="Arial" w:cs="Arial"/>
          <w:i/>
          <w:iCs/>
          <w:sz w:val="20"/>
          <w:szCs w:val="20"/>
          <w:shd w:val="clear" w:color="auto" w:fill="FFFFFF"/>
        </w:rPr>
        <w:t>Rebel Ideas</w:t>
      </w:r>
      <w:r w:rsidR="00E770AA" w:rsidRPr="00C2425F">
        <w:rPr>
          <w:rFonts w:ascii="Arial" w:hAnsi="Arial" w:cs="Arial"/>
          <w:i/>
          <w:iCs/>
          <w:sz w:val="20"/>
          <w:szCs w:val="20"/>
          <w:shd w:val="clear" w:color="auto" w:fill="FFFFFF"/>
        </w:rPr>
        <w:t>:</w:t>
      </w:r>
      <w:r w:rsidR="00431770" w:rsidRPr="00C2425F">
        <w:rPr>
          <w:rFonts w:ascii="Arial" w:hAnsi="Arial" w:cs="Arial"/>
          <w:i/>
          <w:iCs/>
          <w:sz w:val="20"/>
          <w:szCs w:val="20"/>
          <w:shd w:val="clear" w:color="auto" w:fill="FFFFFF"/>
        </w:rPr>
        <w:t xml:space="preserve"> The power of diverse thinking</w:t>
      </w:r>
      <w:r w:rsidR="00431770" w:rsidRPr="00C2425F">
        <w:rPr>
          <w:rFonts w:ascii="Arial" w:hAnsi="Arial" w:cs="Arial"/>
          <w:sz w:val="20"/>
          <w:szCs w:val="20"/>
          <w:shd w:val="clear" w:color="auto" w:fill="FFFFFF"/>
        </w:rPr>
        <w:t xml:space="preserve">. </w:t>
      </w:r>
      <w:r w:rsidR="00E770AA" w:rsidRPr="00C2425F">
        <w:rPr>
          <w:rFonts w:ascii="Arial" w:hAnsi="Arial" w:cs="Arial"/>
          <w:sz w:val="20"/>
          <w:szCs w:val="20"/>
          <w:shd w:val="clear" w:color="auto" w:fill="FFFFFF"/>
        </w:rPr>
        <w:t>–</w:t>
      </w:r>
      <w:r w:rsidR="00431770" w:rsidRPr="00C2425F">
        <w:rPr>
          <w:rFonts w:ascii="Arial" w:hAnsi="Arial" w:cs="Arial"/>
          <w:sz w:val="20"/>
          <w:szCs w:val="20"/>
          <w:shd w:val="clear" w:color="auto" w:fill="FFFFFF"/>
        </w:rPr>
        <w:t xml:space="preserve"> </w:t>
      </w:r>
      <w:r w:rsidR="00E770AA" w:rsidRPr="00C2425F">
        <w:rPr>
          <w:rFonts w:ascii="Arial" w:hAnsi="Arial" w:cs="Arial"/>
          <w:sz w:val="20"/>
          <w:szCs w:val="20"/>
          <w:shd w:val="clear" w:color="auto" w:fill="FFFFFF"/>
        </w:rPr>
        <w:t>John Murray</w:t>
      </w:r>
    </w:p>
    <w:p w14:paraId="0C88DCD0" w14:textId="410266C9" w:rsidR="00365F9F" w:rsidRPr="00365F9F" w:rsidRDefault="00365F9F" w:rsidP="00365F9F">
      <w:r w:rsidRPr="00365F9F">
        <w:t xml:space="preserve">Tom Tyler (2017) </w:t>
      </w:r>
      <w:r w:rsidRPr="00365F9F">
        <w:rPr>
          <w:i/>
          <w:iCs/>
        </w:rPr>
        <w:t>Procedural Justice and Policing: A Rush to Judgment?</w:t>
      </w:r>
      <w:r w:rsidR="00C2425F">
        <w:rPr>
          <w:i/>
          <w:iCs/>
        </w:rPr>
        <w:t xml:space="preserve"> </w:t>
      </w:r>
      <w:r w:rsidRPr="00365F9F">
        <w:t>Annual Review of Law and Social Science</w:t>
      </w:r>
    </w:p>
    <w:p w14:paraId="3F4B617B" w14:textId="77777777" w:rsidR="00AF0735" w:rsidRPr="00365F9F" w:rsidRDefault="00AF0735" w:rsidP="00AF0735">
      <w:pPr>
        <w:autoSpaceDE w:val="0"/>
        <w:autoSpaceDN w:val="0"/>
        <w:adjustRightInd w:val="0"/>
        <w:spacing w:after="0" w:line="240" w:lineRule="auto"/>
        <w:rPr>
          <w:rFonts w:ascii="Arial" w:hAnsi="Arial" w:cs="Arial"/>
          <w:kern w:val="0"/>
          <w:sz w:val="20"/>
          <w:szCs w:val="20"/>
        </w:rPr>
      </w:pPr>
      <w:r w:rsidRPr="00365F9F">
        <w:rPr>
          <w:rFonts w:ascii="Arial" w:hAnsi="Arial" w:cs="Arial"/>
          <w:kern w:val="0"/>
          <w:sz w:val="20"/>
          <w:szCs w:val="20"/>
        </w:rPr>
        <w:t>Weisburd, D. and Eck, J.</w:t>
      </w:r>
      <w:r w:rsidRPr="00365F9F">
        <w:rPr>
          <w:rFonts w:ascii="Arial" w:hAnsi="Arial" w:cs="Arial"/>
          <w:b/>
          <w:bCs/>
          <w:kern w:val="0"/>
          <w:sz w:val="20"/>
          <w:szCs w:val="20"/>
        </w:rPr>
        <w:t xml:space="preserve"> </w:t>
      </w:r>
      <w:r w:rsidRPr="00365F9F">
        <w:rPr>
          <w:rFonts w:ascii="Arial" w:hAnsi="Arial" w:cs="Arial"/>
          <w:kern w:val="0"/>
          <w:sz w:val="20"/>
          <w:szCs w:val="20"/>
        </w:rPr>
        <w:t xml:space="preserve">(2004) </w:t>
      </w:r>
      <w:r w:rsidRPr="00365F9F">
        <w:rPr>
          <w:rFonts w:ascii="Arial" w:hAnsi="Arial" w:cs="Arial"/>
          <w:i/>
          <w:iCs/>
          <w:kern w:val="0"/>
          <w:sz w:val="20"/>
          <w:szCs w:val="20"/>
        </w:rPr>
        <w:t>‘What Can Police Do to Reduce Crime, Disorder, and Fear?’.</w:t>
      </w:r>
      <w:r w:rsidRPr="00365F9F">
        <w:rPr>
          <w:rFonts w:ascii="Arial" w:hAnsi="Arial" w:cs="Arial"/>
          <w:kern w:val="0"/>
          <w:sz w:val="20"/>
          <w:szCs w:val="20"/>
        </w:rPr>
        <w:t xml:space="preserve"> The</w:t>
      </w:r>
    </w:p>
    <w:p w14:paraId="49E77111" w14:textId="77777777" w:rsidR="00AF0735" w:rsidRPr="00365F9F" w:rsidRDefault="00AF0735" w:rsidP="00AF0735">
      <w:pPr>
        <w:rPr>
          <w:rFonts w:ascii="Arial" w:hAnsi="Arial" w:cs="Arial"/>
          <w:kern w:val="0"/>
          <w:sz w:val="20"/>
          <w:szCs w:val="20"/>
        </w:rPr>
      </w:pPr>
      <w:r w:rsidRPr="00365F9F">
        <w:rPr>
          <w:rFonts w:ascii="Arial" w:hAnsi="Arial" w:cs="Arial"/>
          <w:kern w:val="0"/>
          <w:sz w:val="20"/>
          <w:szCs w:val="20"/>
        </w:rPr>
        <w:t>Annals of the American Academy of Political and Social Science</w:t>
      </w:r>
      <w:r w:rsidRPr="00365F9F">
        <w:rPr>
          <w:rFonts w:ascii="Arial" w:hAnsi="Arial" w:cs="Arial"/>
          <w:i/>
          <w:iCs/>
          <w:kern w:val="0"/>
          <w:sz w:val="20"/>
          <w:szCs w:val="20"/>
        </w:rPr>
        <w:t xml:space="preserve"> </w:t>
      </w:r>
      <w:r w:rsidRPr="00365F9F">
        <w:rPr>
          <w:rFonts w:ascii="Arial" w:hAnsi="Arial" w:cs="Arial"/>
          <w:kern w:val="0"/>
          <w:sz w:val="20"/>
          <w:szCs w:val="20"/>
        </w:rPr>
        <w:t>593: 42-65.</w:t>
      </w:r>
    </w:p>
    <w:p w14:paraId="4AC46CA8" w14:textId="77777777" w:rsidR="00312599" w:rsidRDefault="00312599" w:rsidP="00DD4A16"/>
    <w:p w14:paraId="5AD80FE1" w14:textId="77777777" w:rsidR="009564A2" w:rsidRDefault="009564A2" w:rsidP="00DD4A16"/>
    <w:p w14:paraId="6F49F0E8" w14:textId="77777777" w:rsidR="009564A2" w:rsidRDefault="009564A2" w:rsidP="00DD4A16"/>
    <w:p w14:paraId="15D298A2" w14:textId="77777777" w:rsidR="009564A2" w:rsidRDefault="009564A2" w:rsidP="00DD4A16"/>
    <w:p w14:paraId="79EAC10A" w14:textId="77777777" w:rsidR="009564A2" w:rsidRDefault="009564A2" w:rsidP="00DD4A16"/>
    <w:p w14:paraId="1F029087" w14:textId="77777777" w:rsidR="009564A2" w:rsidRDefault="009564A2" w:rsidP="00DD4A16"/>
    <w:p w14:paraId="06E9640D" w14:textId="77777777" w:rsidR="009564A2" w:rsidRDefault="009564A2" w:rsidP="00DD4A16"/>
    <w:p w14:paraId="76490F3C" w14:textId="77777777" w:rsidR="009564A2" w:rsidRDefault="009564A2" w:rsidP="00DD4A16"/>
    <w:p w14:paraId="37A66DE1" w14:textId="77777777" w:rsidR="009564A2" w:rsidRDefault="009564A2" w:rsidP="00DD4A16"/>
    <w:p w14:paraId="49562ED0" w14:textId="77777777" w:rsidR="009564A2" w:rsidRDefault="009564A2" w:rsidP="00DD4A16"/>
    <w:p w14:paraId="0C74CDB1" w14:textId="77777777" w:rsidR="009564A2" w:rsidRDefault="009564A2" w:rsidP="00DD4A16"/>
    <w:p w14:paraId="434FB28C" w14:textId="77777777" w:rsidR="009564A2" w:rsidRDefault="009564A2" w:rsidP="00DD4A16"/>
    <w:p w14:paraId="7B285C36" w14:textId="77777777" w:rsidR="009564A2" w:rsidRDefault="009564A2" w:rsidP="00DD4A16"/>
    <w:p w14:paraId="40F76422" w14:textId="77777777" w:rsidR="009564A2" w:rsidRDefault="009564A2" w:rsidP="00DD4A16"/>
    <w:p w14:paraId="25C58F5A" w14:textId="77777777" w:rsidR="009564A2" w:rsidRDefault="009564A2" w:rsidP="00DD4A16"/>
    <w:p w14:paraId="3D05FEE7" w14:textId="77777777" w:rsidR="008D77E2" w:rsidRDefault="008D77E2" w:rsidP="00DD4A16">
      <w:pPr>
        <w:rPr>
          <w:sz w:val="16"/>
          <w:szCs w:val="16"/>
        </w:rPr>
      </w:pPr>
    </w:p>
    <w:p w14:paraId="43DE4233" w14:textId="77777777" w:rsidR="00C2425F" w:rsidRDefault="00C2425F" w:rsidP="00DD4A16">
      <w:pPr>
        <w:rPr>
          <w:sz w:val="16"/>
          <w:szCs w:val="16"/>
        </w:rPr>
      </w:pPr>
    </w:p>
    <w:p w14:paraId="251A4BDB" w14:textId="77777777" w:rsidR="00DB20CD" w:rsidRDefault="00DB20CD" w:rsidP="006224AB">
      <w:pPr>
        <w:rPr>
          <w:b/>
          <w:bCs/>
        </w:rPr>
      </w:pPr>
    </w:p>
    <w:p w14:paraId="40D16B78" w14:textId="77777777" w:rsidR="00DB20CD" w:rsidRDefault="00DB20CD" w:rsidP="006224AB">
      <w:pPr>
        <w:rPr>
          <w:b/>
          <w:bCs/>
        </w:rPr>
      </w:pPr>
    </w:p>
    <w:p w14:paraId="5FB3C87A" w14:textId="77777777" w:rsidR="00DB20CD" w:rsidRDefault="00DB20CD" w:rsidP="006224AB">
      <w:pPr>
        <w:rPr>
          <w:b/>
          <w:bCs/>
        </w:rPr>
      </w:pPr>
    </w:p>
    <w:p w14:paraId="133F139D" w14:textId="3D14BD6D" w:rsidR="006224AB" w:rsidRPr="006224AB" w:rsidRDefault="006224AB" w:rsidP="006224AB">
      <w:pPr>
        <w:rPr>
          <w:b/>
          <w:bCs/>
          <w:u w:val="single"/>
        </w:rPr>
      </w:pPr>
      <w:r w:rsidRPr="006224AB">
        <w:rPr>
          <w:b/>
          <w:bCs/>
          <w:noProof/>
          <w:u w:val="single"/>
        </w:rPr>
        <w:lastRenderedPageBreak/>
        <mc:AlternateContent>
          <mc:Choice Requires="wps">
            <w:drawing>
              <wp:anchor distT="45720" distB="45720" distL="114300" distR="114300" simplePos="0" relativeHeight="251658752" behindDoc="0" locked="0" layoutInCell="1" allowOverlap="1" wp14:anchorId="67DD634A" wp14:editId="3336EA0C">
                <wp:simplePos x="0" y="0"/>
                <wp:positionH relativeFrom="margin">
                  <wp:align>right</wp:align>
                </wp:positionH>
                <wp:positionV relativeFrom="paragraph">
                  <wp:posOffset>181610</wp:posOffset>
                </wp:positionV>
                <wp:extent cx="5718810" cy="1417955"/>
                <wp:effectExtent l="0" t="0" r="15240" b="10795"/>
                <wp:wrapSquare wrapText="bothSides"/>
                <wp:docPr id="15200446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8810" cy="1418167"/>
                        </a:xfrm>
                        <a:prstGeom prst="rect">
                          <a:avLst/>
                        </a:prstGeom>
                        <a:solidFill>
                          <a:srgbClr val="FFFFFF"/>
                        </a:solidFill>
                        <a:ln w="9525">
                          <a:solidFill>
                            <a:srgbClr val="FF0000"/>
                          </a:solidFill>
                          <a:miter lim="800000"/>
                          <a:headEnd/>
                          <a:tailEnd/>
                        </a:ln>
                      </wps:spPr>
                      <wps:txbx>
                        <w:txbxContent>
                          <w:p w14:paraId="1D2C4466" w14:textId="77777777" w:rsidR="006224AB" w:rsidRPr="0011215D" w:rsidRDefault="006224AB" w:rsidP="006224AB">
                            <w:pPr>
                              <w:rPr>
                                <w:b/>
                                <w:bCs/>
                              </w:rPr>
                            </w:pPr>
                            <w:r w:rsidRPr="0011215D">
                              <w:rPr>
                                <w:b/>
                                <w:bCs/>
                              </w:rPr>
                              <w:t>Essay three:</w:t>
                            </w:r>
                          </w:p>
                          <w:p w14:paraId="4648B567" w14:textId="77777777" w:rsidR="006224AB" w:rsidRPr="0011215D" w:rsidRDefault="006224AB" w:rsidP="006224AB">
                            <w:pPr>
                              <w:rPr>
                                <w:b/>
                                <w:bCs/>
                              </w:rPr>
                            </w:pPr>
                            <w:r w:rsidRPr="0011215D">
                              <w:rPr>
                                <w:b/>
                                <w:bCs/>
                              </w:rPr>
                              <w:t>How effective are cognitive interviews as a means of obtaining initial accounts from victims and witnesses?</w:t>
                            </w:r>
                          </w:p>
                          <w:p w14:paraId="6E63FAAB" w14:textId="77777777" w:rsidR="006224AB" w:rsidRPr="0011215D" w:rsidRDefault="006224AB" w:rsidP="006224AB">
                            <w:pPr>
                              <w:rPr>
                                <w:b/>
                                <w:bCs/>
                              </w:rPr>
                            </w:pPr>
                            <w:r w:rsidRPr="0011215D">
                              <w:rPr>
                                <w:b/>
                                <w:bCs/>
                              </w:rPr>
                              <w:t>Your answer must be based on academic research.</w:t>
                            </w:r>
                          </w:p>
                          <w:p w14:paraId="0C94728D" w14:textId="77777777" w:rsidR="006224AB" w:rsidRDefault="006224AB" w:rsidP="006224AB">
                            <w:pPr>
                              <w:rPr>
                                <w:b/>
                                <w:bCs/>
                              </w:rPr>
                            </w:pPr>
                            <w:r w:rsidRPr="0011215D">
                              <w:rPr>
                                <w:b/>
                                <w:bCs/>
                              </w:rPr>
                              <w:t>Word limit: 1000 words.</w:t>
                            </w:r>
                          </w:p>
                          <w:p w14:paraId="35FB4B96" w14:textId="77777777" w:rsidR="006224AB" w:rsidRDefault="006224AB" w:rsidP="006224A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DD634A" id="_x0000_s1028" type="#_x0000_t202" style="position:absolute;margin-left:399.1pt;margin-top:14.3pt;width:450.3pt;height:111.65pt;z-index:2516587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" strokecolor="red">
                <v:textbox>
                  <w:txbxContent>
                    <w:p w14:paraId="1D2C4466" w14:textId="77777777" w:rsidR="006224AB" w:rsidRPr="0011215D" w:rsidRDefault="006224AB" w:rsidP="006224AB">
                      <w:pPr>
                        <w:rPr>
                          <w:b/>
                          <w:bCs/>
                        </w:rPr>
                      </w:pPr>
                      <w:r w:rsidRPr="0011215D">
                        <w:rPr>
                          <w:b/>
                          <w:bCs/>
                        </w:rPr>
                        <w:t>Essay three:</w:t>
                      </w:r>
                    </w:p>
                    <w:p w14:paraId="4648B567" w14:textId="77777777" w:rsidR="006224AB" w:rsidRPr="0011215D" w:rsidRDefault="006224AB" w:rsidP="006224AB">
                      <w:pPr>
                        <w:rPr>
                          <w:b/>
                          <w:bCs/>
                        </w:rPr>
                      </w:pPr>
                      <w:r w:rsidRPr="0011215D">
                        <w:rPr>
                          <w:b/>
                          <w:bCs/>
                        </w:rPr>
                        <w:t>How effective are cognitive interviews as a means of obtaining initial accounts from victims and witnesses?</w:t>
                      </w:r>
                    </w:p>
                    <w:p w14:paraId="6E63FAAB" w14:textId="77777777" w:rsidR="006224AB" w:rsidRPr="0011215D" w:rsidRDefault="006224AB" w:rsidP="006224AB">
                      <w:pPr>
                        <w:rPr>
                          <w:b/>
                          <w:bCs/>
                        </w:rPr>
                      </w:pPr>
                      <w:r w:rsidRPr="0011215D">
                        <w:rPr>
                          <w:b/>
                          <w:bCs/>
                        </w:rPr>
                        <w:t>Your answer must be based on academic research.</w:t>
                      </w:r>
                    </w:p>
                    <w:p w14:paraId="0C94728D" w14:textId="77777777" w:rsidR="006224AB" w:rsidRDefault="006224AB" w:rsidP="006224AB">
                      <w:pPr>
                        <w:rPr>
                          <w:b/>
                          <w:bCs/>
                        </w:rPr>
                      </w:pPr>
                      <w:r w:rsidRPr="0011215D">
                        <w:rPr>
                          <w:b/>
                          <w:bCs/>
                        </w:rPr>
                        <w:t>Word limit: 1000 words.</w:t>
                      </w:r>
                    </w:p>
                    <w:p w14:paraId="35FB4B96" w14:textId="77777777" w:rsidR="006224AB" w:rsidRDefault="006224AB" w:rsidP="006224AB"/>
                  </w:txbxContent>
                </v:textbox>
                <w10:wrap type="square" anchorx="margin"/>
              </v:shape>
            </w:pict>
          </mc:Fallback>
        </mc:AlternateContent>
      </w:r>
      <w:r w:rsidRPr="006224AB">
        <w:rPr>
          <w:b/>
          <w:bCs/>
        </w:rPr>
        <w:t xml:space="preserve">Introduction - What is cognitive interviewing? </w:t>
      </w:r>
    </w:p>
    <w:p w14:paraId="75E02FF8" w14:textId="19518D46" w:rsidR="006224AB" w:rsidRDefault="006224AB" w:rsidP="006224AB">
      <w:r w:rsidRPr="006224AB">
        <w:t xml:space="preserve">Learning material from the University of Wales, Trinity St. Davids states that a cognitive interview is a questioning technique that enhances the retrieval of information about a crime from witnesses and victims’ memory (UWTSD – Online Learning DHEP 04/22 – Conducting investigations – Accessed 2024). It states that memories are made up of a network of connections rather that discrete and unconnected events and that there are several ways that these memories can be accessed. The resource points to a reference from McLeod </w:t>
      </w:r>
      <w:r w:rsidR="00C2425F">
        <w:t>(</w:t>
      </w:r>
      <w:r w:rsidRPr="006224AB">
        <w:t>2019</w:t>
      </w:r>
      <w:r w:rsidR="00C2425F">
        <w:t>)</w:t>
      </w:r>
      <w:r w:rsidRPr="006224AB">
        <w:t xml:space="preserve"> and further research from myself found the following resource online (McLeod, S, 2023) which provided a useful explanation and background to the Cognitive Interview.</w:t>
      </w:r>
    </w:p>
    <w:p w14:paraId="345BBEDB" w14:textId="77777777" w:rsidR="00C55241" w:rsidRPr="006224AB" w:rsidRDefault="00C55241" w:rsidP="006224AB"/>
    <w:p w14:paraId="349D374E" w14:textId="77777777" w:rsidR="006224AB" w:rsidRPr="006224AB" w:rsidRDefault="006224AB" w:rsidP="006224AB">
      <w:pPr>
        <w:rPr>
          <w:b/>
          <w:bCs/>
        </w:rPr>
      </w:pPr>
      <w:r w:rsidRPr="006224AB">
        <w:rPr>
          <w:b/>
          <w:bCs/>
        </w:rPr>
        <w:t xml:space="preserve">Use of cognitive interviewing in achieving best evidence </w:t>
      </w:r>
    </w:p>
    <w:p w14:paraId="0E5F68B5" w14:textId="77777777" w:rsidR="006224AB" w:rsidRPr="006224AB" w:rsidRDefault="006224AB" w:rsidP="006224AB">
      <w:r w:rsidRPr="006224AB">
        <w:t>Appendix H of Achieving Best Evidence, Guidance on Interviewing Victims and Witnesses, and Guidance on Using Special Measures (Ministry of Justice &amp; NPCC – January 2022)</w:t>
      </w:r>
      <w:r w:rsidRPr="006224AB">
        <w:rPr>
          <w:vertAlign w:val="superscript"/>
        </w:rPr>
        <w:t xml:space="preserve"> </w:t>
      </w:r>
      <w:r w:rsidRPr="006224AB">
        <w:t>discusses the enhanced cognitive interview and breaks it down into four distinct phases –</w:t>
      </w:r>
    </w:p>
    <w:p w14:paraId="7D409229" w14:textId="77777777" w:rsidR="006224AB" w:rsidRPr="006224AB" w:rsidRDefault="006224AB" w:rsidP="006224AB">
      <w:pPr>
        <w:numPr>
          <w:ilvl w:val="0"/>
          <w:numId w:val="6"/>
        </w:numPr>
        <w:contextualSpacing/>
      </w:pPr>
      <w:r w:rsidRPr="006224AB">
        <w:t>Establishing Rapport</w:t>
      </w:r>
    </w:p>
    <w:p w14:paraId="313427C1" w14:textId="77777777" w:rsidR="006224AB" w:rsidRPr="006224AB" w:rsidRDefault="006224AB" w:rsidP="006224AB">
      <w:pPr>
        <w:numPr>
          <w:ilvl w:val="0"/>
          <w:numId w:val="6"/>
        </w:numPr>
        <w:contextualSpacing/>
      </w:pPr>
      <w:r w:rsidRPr="006224AB">
        <w:t>Initiating and Supporting a Free Narrative Account</w:t>
      </w:r>
    </w:p>
    <w:p w14:paraId="38E5F081" w14:textId="77777777" w:rsidR="006224AB" w:rsidRPr="006224AB" w:rsidRDefault="006224AB" w:rsidP="006224AB">
      <w:pPr>
        <w:numPr>
          <w:ilvl w:val="0"/>
          <w:numId w:val="6"/>
        </w:numPr>
        <w:contextualSpacing/>
      </w:pPr>
      <w:r w:rsidRPr="006224AB">
        <w:t>Questioning</w:t>
      </w:r>
    </w:p>
    <w:p w14:paraId="68485316" w14:textId="77777777" w:rsidR="006224AB" w:rsidRPr="006224AB" w:rsidRDefault="006224AB" w:rsidP="006224AB">
      <w:pPr>
        <w:numPr>
          <w:ilvl w:val="0"/>
          <w:numId w:val="6"/>
        </w:numPr>
        <w:contextualSpacing/>
      </w:pPr>
      <w:r w:rsidRPr="006224AB">
        <w:t>Closing the Interview</w:t>
      </w:r>
    </w:p>
    <w:p w14:paraId="39A8651C" w14:textId="6DA00FD1" w:rsidR="006224AB" w:rsidRDefault="006224AB" w:rsidP="006224AB">
      <w:r w:rsidRPr="006224AB">
        <w:t>Reflecting on phase one, my own experience in training during the TIP 2 programme for these interviews was that, when opening the interview, using the term ‘Ground Rules’ with a victim in particular</w:t>
      </w:r>
      <w:r w:rsidR="00FA219E">
        <w:t>,</w:t>
      </w:r>
      <w:r w:rsidRPr="006224AB">
        <w:t xml:space="preserve"> sounded very harsh. I therefore all adapted my terminology and used the term ‘Housekeeping’ instead. I felt this gave the witness or victim greater empowerment and minimised any sense of myself as authority figure.</w:t>
      </w:r>
    </w:p>
    <w:p w14:paraId="57A0730D" w14:textId="77777777" w:rsidR="00C55241" w:rsidRPr="006224AB" w:rsidRDefault="00C55241" w:rsidP="006224AB"/>
    <w:p w14:paraId="0C3BAF27" w14:textId="77777777" w:rsidR="006224AB" w:rsidRPr="006224AB" w:rsidRDefault="006224AB" w:rsidP="006224AB">
      <w:pPr>
        <w:rPr>
          <w:b/>
          <w:bCs/>
        </w:rPr>
      </w:pPr>
      <w:r w:rsidRPr="006224AB">
        <w:rPr>
          <w:b/>
          <w:bCs/>
        </w:rPr>
        <w:t>Relevant research</w:t>
      </w:r>
    </w:p>
    <w:p w14:paraId="68BB25AF" w14:textId="77777777" w:rsidR="006224AB" w:rsidRDefault="006224AB" w:rsidP="006224AB">
      <w:r w:rsidRPr="006224AB">
        <w:t xml:space="preserve">Research around phase one of building rapport (Risan, et al, 2018) is relevant to this essay. The research looked at qualitative, explorative interviews of police officers who had interviewed victims following the 2011 massacre on Utøya Island, Norway. This incident involved the perpetrator posing as a policeman who went on a shooting spree that saw him kill 69 and injure a further 56 people at a youth summer camp. There were 325 survivors of the massacre. Some findings of this study are quoted below – </w:t>
      </w:r>
    </w:p>
    <w:p w14:paraId="30866EAB" w14:textId="77777777" w:rsidR="00C55241" w:rsidRPr="006224AB" w:rsidRDefault="00C55241" w:rsidP="006224AB"/>
    <w:p w14:paraId="6EA1A574" w14:textId="7D1094FE" w:rsidR="006224AB" w:rsidRPr="006224AB" w:rsidRDefault="006224AB" w:rsidP="00FA219E">
      <w:pPr>
        <w:ind w:left="720"/>
      </w:pPr>
      <w:r w:rsidRPr="006224AB">
        <w:lastRenderedPageBreak/>
        <w:t>….73% of the participants reported the investigative interview was not stressful or stressful only to a small degree. Seventeen per cent reported the investigative interview as ‘partly stressful’, whilst 10% perceived the interview as stressful to a ‘large extent.’ It was also noted that 27.4% reported the interview as a negative experience but, at the same time, 88.2% reported to have experienced being listened to and understood.</w:t>
      </w:r>
    </w:p>
    <w:p w14:paraId="4A554F26" w14:textId="77777777" w:rsidR="006224AB" w:rsidRPr="006224AB" w:rsidRDefault="006224AB" w:rsidP="006224AB">
      <w:pPr>
        <w:jc w:val="right"/>
      </w:pPr>
      <w:r w:rsidRPr="006224AB">
        <w:t>(Risan, et al, 2018)</w:t>
      </w:r>
    </w:p>
    <w:p w14:paraId="45CA2FF5" w14:textId="77777777" w:rsidR="006224AB" w:rsidRPr="006224AB" w:rsidRDefault="006224AB" w:rsidP="006224AB">
      <w:r w:rsidRPr="006224AB">
        <w:t>The research interviews looked at two questions with the police investigators – (i) What do the investigative interviewers consider important and useful when aiming to facilitate an atmosphere of safety in an investigative interview? (ii) What do the investigative interviewers consider important and useful in establishing and maintaining rapport with a traumatized interviewee?</w:t>
      </w:r>
    </w:p>
    <w:p w14:paraId="789EAAF5" w14:textId="77777777" w:rsidR="006224AB" w:rsidRPr="006224AB" w:rsidRDefault="006224AB" w:rsidP="006224AB">
      <w:r w:rsidRPr="006224AB">
        <w:t>Some limitations of the research were the time lapse from the incident to the research interviews impacting on investigators recall, the research interviews taking place in 2013.</w:t>
      </w:r>
    </w:p>
    <w:p w14:paraId="7A117ADA" w14:textId="77777777" w:rsidR="006224AB" w:rsidRPr="006224AB" w:rsidRDefault="006224AB" w:rsidP="006224AB">
      <w:r w:rsidRPr="006224AB">
        <w:t>Conclusions of the research included –</w:t>
      </w:r>
    </w:p>
    <w:p w14:paraId="0BA2F529" w14:textId="77777777" w:rsidR="006224AB" w:rsidRPr="006224AB" w:rsidRDefault="006224AB" w:rsidP="006224AB">
      <w:pPr>
        <w:numPr>
          <w:ilvl w:val="0"/>
          <w:numId w:val="7"/>
        </w:numPr>
        <w:contextualSpacing/>
      </w:pPr>
      <w:r w:rsidRPr="006224AB">
        <w:t>Investigators viewed being well prepared as an important part of building rapport.</w:t>
      </w:r>
    </w:p>
    <w:p w14:paraId="05A3D208" w14:textId="77777777" w:rsidR="006224AB" w:rsidRPr="006224AB" w:rsidRDefault="006224AB" w:rsidP="006224AB">
      <w:pPr>
        <w:numPr>
          <w:ilvl w:val="0"/>
          <w:numId w:val="7"/>
        </w:numPr>
        <w:contextualSpacing/>
      </w:pPr>
      <w:r w:rsidRPr="006224AB">
        <w:t>There is also a need to be flexible and adaptive to the state and expressions of the victim or witness.</w:t>
      </w:r>
    </w:p>
    <w:p w14:paraId="78BD2FDB" w14:textId="77777777" w:rsidR="006224AB" w:rsidRDefault="006224AB" w:rsidP="006224AB">
      <w:pPr>
        <w:numPr>
          <w:ilvl w:val="0"/>
          <w:numId w:val="7"/>
        </w:numPr>
        <w:contextualSpacing/>
      </w:pPr>
      <w:r w:rsidRPr="006224AB">
        <w:t>Investigators need to be able to assess or appraise emotional reactions of a victim or witness and be able to manage these to ensure they feel safe and can communicate effectively.</w:t>
      </w:r>
    </w:p>
    <w:p w14:paraId="5045756C" w14:textId="77777777" w:rsidR="00FA219E" w:rsidRPr="006224AB" w:rsidRDefault="00FA219E" w:rsidP="00FA219E">
      <w:pPr>
        <w:contextualSpacing/>
      </w:pPr>
    </w:p>
    <w:p w14:paraId="0CE1D22F" w14:textId="77777777" w:rsidR="006224AB" w:rsidRPr="006224AB" w:rsidRDefault="006224AB" w:rsidP="006224AB">
      <w:r w:rsidRPr="006224AB">
        <w:t>Relating this research to UK policing practice in reference to sexual offences, preparation steps are to review the victims PPD3 or first account which is only a brief description of what happened, where it occurred and who was involved. There is no mention of how or why. Preparation usually involves meeting with the victim before the day of the interview to build rapport, explain the report to court process and offer any referrals for support agencies.</w:t>
      </w:r>
    </w:p>
    <w:p w14:paraId="4E48FEA9" w14:textId="745D75EA" w:rsidR="006224AB" w:rsidRPr="006224AB" w:rsidRDefault="006224AB" w:rsidP="006224AB">
      <w:r w:rsidRPr="006224AB">
        <w:t xml:space="preserve">All interviewers are SOIT trained so will have had sufficient training </w:t>
      </w:r>
      <w:r w:rsidR="00111D19" w:rsidRPr="006224AB">
        <w:t>regarding</w:t>
      </w:r>
      <w:r w:rsidRPr="006224AB">
        <w:t xml:space="preserve"> being flexible and adaptive to the state of the victim or witness.</w:t>
      </w:r>
    </w:p>
    <w:p w14:paraId="615E6BF7" w14:textId="77777777" w:rsidR="006224AB" w:rsidRPr="006224AB" w:rsidRDefault="006224AB" w:rsidP="006224AB">
      <w:r w:rsidRPr="006224AB">
        <w:t>On the last point of the research findings, my assessment regarding appraising emotional reactions and managing them are that this comes through active listening and observing the body language of the victim or witness. This will enhance in each investigator as more experience is gained, through an experiential learning approach by utilising models such as Kolb (Kolb, 2015). My personal experiential learning journey has shown that, following any formal training you are very cognisant of a model to follow, though with time and experience you can develop a state of ‘flow’ (Csikszentmihalyi, 1990). You also become skilled at both active and deep listening and responding to both non-verbal and verbal reactions from the other party and are less concerned about following the model and more concerned with the outcomes of the interview or discussion.</w:t>
      </w:r>
    </w:p>
    <w:p w14:paraId="7E60C303" w14:textId="77777777" w:rsidR="006224AB" w:rsidRPr="006224AB" w:rsidRDefault="006224AB" w:rsidP="006224AB">
      <w:r w:rsidRPr="006224AB">
        <w:t xml:space="preserve">Further research (Dodier, O. et al, 2021) used a Cognitive Interview to interview victims of road accidents in comparison to a control interview that contained no communication enhancing or retrieval enhancing elements. </w:t>
      </w:r>
    </w:p>
    <w:p w14:paraId="61263396" w14:textId="7ECCC161" w:rsidR="006224AB" w:rsidRPr="006224AB" w:rsidRDefault="006224AB" w:rsidP="006224AB">
      <w:r w:rsidRPr="006224AB">
        <w:t xml:space="preserve">Results from this research were that victims interviewed with the Cognitive Interview compared to control interview reported more details. The victims reported more descriptions of actions, locations, objects, </w:t>
      </w:r>
      <w:r w:rsidR="00DB20CD" w:rsidRPr="006224AB">
        <w:t>conversations,</w:t>
      </w:r>
      <w:r w:rsidRPr="006224AB">
        <w:t xml:space="preserve"> and cars. This was regardless of the level of stress they experienced at the time of the accident. The research found that the Cognitive interview results did not return benefits of describing people, though it states that this may be context specific in terms of road accidents. </w:t>
      </w:r>
    </w:p>
    <w:p w14:paraId="1195F81B" w14:textId="77777777" w:rsidR="006224AB" w:rsidRPr="006224AB" w:rsidRDefault="006224AB" w:rsidP="006224AB">
      <w:r w:rsidRPr="006224AB">
        <w:lastRenderedPageBreak/>
        <w:t xml:space="preserve">It goes on to state that the Cognitive interview gathered more central details than the control interview and more peripheral details. Concluding as follows – </w:t>
      </w:r>
    </w:p>
    <w:p w14:paraId="415BEBE4" w14:textId="2DB784F4" w:rsidR="006224AB" w:rsidRPr="006224AB" w:rsidRDefault="006224AB" w:rsidP="00DB20CD">
      <w:pPr>
        <w:ind w:left="720"/>
      </w:pPr>
      <w:r w:rsidRPr="006224AB">
        <w:t xml:space="preserve">This shows that the CI does not just lead to an increase in the recall of unimportant and useless </w:t>
      </w:r>
      <w:r w:rsidR="00DB20CD" w:rsidRPr="006224AB">
        <w:t>details but</w:t>
      </w:r>
      <w:r w:rsidRPr="006224AB">
        <w:t xml:space="preserve"> makes it possible to promote the recall of all types of details, including important and central information. </w:t>
      </w:r>
    </w:p>
    <w:p w14:paraId="7E7559A0" w14:textId="77777777" w:rsidR="006224AB" w:rsidRPr="006224AB" w:rsidRDefault="006224AB" w:rsidP="006224AB">
      <w:pPr>
        <w:jc w:val="right"/>
        <w:rPr>
          <w:i/>
          <w:iCs/>
        </w:rPr>
      </w:pPr>
      <w:r w:rsidRPr="006224AB">
        <w:t>(Dodier, O. et al, 2021)</w:t>
      </w:r>
    </w:p>
    <w:p w14:paraId="76FC3A1F" w14:textId="77777777" w:rsidR="006224AB" w:rsidRPr="006224AB" w:rsidRDefault="006224AB" w:rsidP="006224AB">
      <w:pPr>
        <w:rPr>
          <w:b/>
          <w:bCs/>
        </w:rPr>
      </w:pPr>
      <w:r w:rsidRPr="006224AB">
        <w:rPr>
          <w:b/>
          <w:bCs/>
        </w:rPr>
        <w:t>Conclusions</w:t>
      </w:r>
    </w:p>
    <w:p w14:paraId="454E9FC9" w14:textId="2E765093" w:rsidR="006224AB" w:rsidRPr="006224AB" w:rsidRDefault="006224AB" w:rsidP="006224AB">
      <w:r w:rsidRPr="006224AB">
        <w:t xml:space="preserve">I would derive from the research reviewed, that there are benefits to utilising a cognitive interview model when gaining first accounts from witnesses and victims. Some factors for further consideration are the level of training that officers receive in the UK Police for cognitive interviewing. I have received level 2 PIP and Sexual Offence Interview Training (SOIT) which provides me with a level of knowledge and skills to develop my cognitive interviewing technique. Reflecting on that training there is good knowledge imparted around models utilised such as the PEACE model (College of Policing, 2013) though my reflection on researching for this essay is that further training would be beneficial </w:t>
      </w:r>
      <w:r w:rsidR="00DB20CD" w:rsidRPr="006224AB">
        <w:t>to</w:t>
      </w:r>
      <w:r w:rsidRPr="006224AB">
        <w:t xml:space="preserve"> understand the theories underpinning such models. In short, we are trained the ‘How?’ to do it, though I would derive benefit from understanding the ‘Why?’ that sits behind cognitive interviewing.</w:t>
      </w:r>
    </w:p>
    <w:p w14:paraId="7454CAD7" w14:textId="2BCE121A" w:rsidR="006224AB" w:rsidRPr="006224AB" w:rsidRDefault="006224AB" w:rsidP="006224AB">
      <w:pPr>
        <w:rPr>
          <w:b/>
          <w:bCs/>
        </w:rPr>
      </w:pPr>
      <w:r w:rsidRPr="006224AB">
        <w:rPr>
          <w:b/>
          <w:bCs/>
        </w:rPr>
        <w:t>Word Count - 109</w:t>
      </w:r>
      <w:r w:rsidR="00DB20CD">
        <w:rPr>
          <w:b/>
          <w:bCs/>
        </w:rPr>
        <w:t>3</w:t>
      </w:r>
    </w:p>
    <w:p w14:paraId="73F69EBA" w14:textId="77777777" w:rsidR="006224AB" w:rsidRPr="006224AB" w:rsidRDefault="006224AB" w:rsidP="006224AB">
      <w:pPr>
        <w:rPr>
          <w:b/>
          <w:bCs/>
        </w:rPr>
      </w:pPr>
      <w:r w:rsidRPr="006224AB">
        <w:rPr>
          <w:b/>
          <w:bCs/>
        </w:rPr>
        <w:t>Bibliography</w:t>
      </w:r>
    </w:p>
    <w:p w14:paraId="33C71DDD" w14:textId="120E8A6C" w:rsidR="008A6A64" w:rsidRDefault="008A6A64" w:rsidP="00312599">
      <w:r w:rsidRPr="006224AB">
        <w:t>Achieving Best Evidence in Criminal Proceedings: Guidance on Interviewing Victims and Witnesses, and Guidance on Using Special Measures – Ministry of Justice and National Police Chiefs Council – January 2022</w:t>
      </w:r>
    </w:p>
    <w:p w14:paraId="57CC1EAD" w14:textId="1CCB9EF2" w:rsidR="00312599" w:rsidRDefault="00312599" w:rsidP="006224AB">
      <w:r w:rsidRPr="006224AB">
        <w:t>ACPO (2002) Guidance on the Recording of Interviews with Vulnerable and Significant (Key) Witnesses. London: National Strategic Steering Group on Investigative Interviewing, ACPO.</w:t>
      </w:r>
    </w:p>
    <w:p w14:paraId="24792082" w14:textId="36E6BC5B" w:rsidR="008A6A64" w:rsidRDefault="008A6A64" w:rsidP="006224AB">
      <w:r w:rsidRPr="006224AB">
        <w:t>Csikszentmihalyi, M. (1990)</w:t>
      </w:r>
      <w:r w:rsidR="00DB20CD">
        <w:t xml:space="preserve"> </w:t>
      </w:r>
      <w:r w:rsidRPr="006224AB">
        <w:rPr>
          <w:i/>
          <w:iCs/>
        </w:rPr>
        <w:t>Flow: The Psychology of Optimal Experience</w:t>
      </w:r>
      <w:r w:rsidRPr="006224AB">
        <w:t>. Harper &amp; Row</w:t>
      </w:r>
    </w:p>
    <w:p w14:paraId="24E4A4F5" w14:textId="10831C06" w:rsidR="005D2ED5" w:rsidRDefault="005D2ED5" w:rsidP="006224AB">
      <w:r w:rsidRPr="006224AB">
        <w:t xml:space="preserve">Dodier, O et al, (2021) </w:t>
      </w:r>
      <w:r w:rsidRPr="006224AB">
        <w:rPr>
          <w:i/>
          <w:iCs/>
        </w:rPr>
        <w:t>Using the cognitive interview to recall real-world emotionally stressful experiences</w:t>
      </w:r>
      <w:r w:rsidRPr="006224AB">
        <w:t xml:space="preserve">: </w:t>
      </w:r>
      <w:r w:rsidRPr="006224AB">
        <w:rPr>
          <w:i/>
          <w:iCs/>
        </w:rPr>
        <w:t>Road accidents</w:t>
      </w:r>
      <w:r w:rsidR="00DB20CD">
        <w:t xml:space="preserve">. </w:t>
      </w:r>
      <w:r w:rsidRPr="006224AB">
        <w:t xml:space="preserve"> Appl Cognit Psychol. 2021;35:1099–1105</w:t>
      </w:r>
    </w:p>
    <w:p w14:paraId="2E593669" w14:textId="7BF2E45F" w:rsidR="00B70D33" w:rsidRDefault="00B70D33" w:rsidP="006224AB">
      <w:r w:rsidRPr="006224AB">
        <w:t>Fisher, R.P., Geisleman, R.E. &amp; Amador, M. (1989)</w:t>
      </w:r>
      <w:r w:rsidR="00DB20CD">
        <w:t>.</w:t>
      </w:r>
      <w:r w:rsidRPr="006224AB">
        <w:t xml:space="preserve"> </w:t>
      </w:r>
      <w:r w:rsidRPr="006224AB">
        <w:rPr>
          <w:i/>
          <w:iCs/>
        </w:rPr>
        <w:t>Field Test of the Cognitive Interview: Enhancing the Recollection of Actual Victims and Witnesses of Crime</w:t>
      </w:r>
      <w:r w:rsidR="00DB20CD">
        <w:rPr>
          <w:i/>
          <w:iCs/>
        </w:rPr>
        <w:t>.</w:t>
      </w:r>
      <w:r w:rsidRPr="006224AB">
        <w:rPr>
          <w:i/>
          <w:iCs/>
        </w:rPr>
        <w:t xml:space="preserve"> </w:t>
      </w:r>
      <w:r w:rsidRPr="006224AB">
        <w:t xml:space="preserve"> Journal of Applied Psychology – Vol. 74. No. 5. Pgs. 722-727</w:t>
      </w:r>
    </w:p>
    <w:p w14:paraId="2D1B840C" w14:textId="28E0DF3C" w:rsidR="00B70D33" w:rsidRDefault="00B70D33" w:rsidP="006224AB">
      <w:r w:rsidRPr="006224AB">
        <w:t>Fisher, R.P. and Geiselman, R.E. (1992)</w:t>
      </w:r>
      <w:r w:rsidR="003670D8">
        <w:t xml:space="preserve">. </w:t>
      </w:r>
      <w:r w:rsidRPr="006224AB">
        <w:rPr>
          <w:i/>
          <w:iCs/>
        </w:rPr>
        <w:t>Memory-Enhancing Techniques for Investigative Interviewing: The Cognitive Interview.</w:t>
      </w:r>
      <w:r w:rsidRPr="006224AB">
        <w:t xml:space="preserve"> Illinois: Charles Thomas.</w:t>
      </w:r>
    </w:p>
    <w:p w14:paraId="5A0EBF42" w14:textId="4CFDA9D8" w:rsidR="006224AB" w:rsidRDefault="006224AB" w:rsidP="006224AB">
      <w:r w:rsidRPr="006224AB">
        <w:t>Kolb, D.A. (2015)</w:t>
      </w:r>
      <w:r w:rsidR="003670D8">
        <w:t>.</w:t>
      </w:r>
      <w:r w:rsidRPr="006224AB">
        <w:t xml:space="preserve"> </w:t>
      </w:r>
      <w:r w:rsidRPr="006224AB">
        <w:rPr>
          <w:i/>
          <w:iCs/>
        </w:rPr>
        <w:t>Experiential learning: experience as the source of learning and development</w:t>
      </w:r>
      <w:r w:rsidRPr="006224AB">
        <w:t>. 2nd ed. New Jersey: Pearson Education.</w:t>
      </w:r>
    </w:p>
    <w:p w14:paraId="1ACEF677" w14:textId="14A19D18" w:rsidR="00B70D33" w:rsidRPr="006224AB" w:rsidRDefault="00B70D33" w:rsidP="006224AB">
      <w:r w:rsidRPr="006224AB">
        <w:t xml:space="preserve">McLeod, S (2023). - </w:t>
      </w:r>
      <w:r w:rsidRPr="006224AB">
        <w:rPr>
          <w:i/>
          <w:iCs/>
        </w:rPr>
        <w:t>Cognitive Interview Technique – Simply Psychology</w:t>
      </w:r>
      <w:r w:rsidRPr="006224AB">
        <w:t xml:space="preserve"> - </w:t>
      </w:r>
      <w:hyperlink r:id="rId14" w:history="1">
        <w:r w:rsidRPr="006224AB">
          <w:rPr>
            <w:color w:val="0000FF"/>
            <w:u w:val="single"/>
          </w:rPr>
          <w:t>Cognitive Interview Technique (simplypsychology.org)</w:t>
        </w:r>
      </w:hyperlink>
    </w:p>
    <w:p w14:paraId="53689F42" w14:textId="77777777" w:rsidR="006224AB" w:rsidRDefault="006224AB" w:rsidP="006224AB">
      <w:pPr>
        <w:rPr>
          <w:color w:val="0000FF"/>
          <w:u w:val="single"/>
        </w:rPr>
      </w:pPr>
      <w:r w:rsidRPr="006224AB">
        <w:t xml:space="preserve">PEACE Framework – College of Policing – Authorised Professional Practice – First published 23 October 2013 – Updated 26 October 2022. </w:t>
      </w:r>
      <w:hyperlink r:id="rId15" w:anchor="peace-framework" w:history="1">
        <w:r w:rsidRPr="006224AB">
          <w:rPr>
            <w:color w:val="0000FF"/>
            <w:u w:val="single"/>
          </w:rPr>
          <w:t>Investigative interviewing | College of Policing</w:t>
        </w:r>
      </w:hyperlink>
    </w:p>
    <w:p w14:paraId="65CD3003" w14:textId="77777777" w:rsidR="00B70D33" w:rsidRPr="006224AB" w:rsidRDefault="00B70D33" w:rsidP="006224AB"/>
    <w:p w14:paraId="5524858B" w14:textId="77777777" w:rsidR="006224AB" w:rsidRDefault="006224AB" w:rsidP="006224AB">
      <w:r w:rsidRPr="006224AB">
        <w:lastRenderedPageBreak/>
        <w:t xml:space="preserve">Köhnken, G. (1993) </w:t>
      </w:r>
      <w:r w:rsidRPr="006224AB">
        <w:rPr>
          <w:i/>
          <w:iCs/>
        </w:rPr>
        <w:t>The Cognitive Interview: A Step-by- Step Introduction</w:t>
      </w:r>
      <w:r w:rsidRPr="006224AB">
        <w:t>. Unpublished.</w:t>
      </w:r>
    </w:p>
    <w:p w14:paraId="378FF210" w14:textId="1C58DD5F" w:rsidR="00312599" w:rsidRPr="006224AB" w:rsidRDefault="00312599" w:rsidP="006224AB">
      <w:r w:rsidRPr="006224AB">
        <w:t>K</w:t>
      </w:r>
      <w:r w:rsidRPr="006224AB">
        <w:rPr>
          <w:rFonts w:cstheme="minorHAnsi"/>
        </w:rPr>
        <w:t>ö</w:t>
      </w:r>
      <w:r w:rsidRPr="006224AB">
        <w:t>hnken, G. Milne, R. Memon, A &amp; Bull, R. (1999)</w:t>
      </w:r>
      <w:r w:rsidR="003670D8">
        <w:t xml:space="preserve">. </w:t>
      </w:r>
      <w:r w:rsidRPr="006224AB">
        <w:rPr>
          <w:i/>
          <w:iCs/>
        </w:rPr>
        <w:t>The Cognitive Interview a Meta- Analysis</w:t>
      </w:r>
      <w:r w:rsidR="003670D8">
        <w:t>.</w:t>
      </w:r>
      <w:r w:rsidRPr="006224AB">
        <w:t xml:space="preserve"> Psychology, Crime and Law. Vol 5. Pg 3-27.</w:t>
      </w:r>
    </w:p>
    <w:p w14:paraId="752406AD" w14:textId="77777777" w:rsidR="006224AB" w:rsidRPr="006224AB" w:rsidRDefault="006224AB" w:rsidP="006224AB">
      <w:r w:rsidRPr="006224AB">
        <w:t xml:space="preserve">Milne, R. (2017) </w:t>
      </w:r>
      <w:r w:rsidRPr="006224AB">
        <w:rPr>
          <w:i/>
          <w:iCs/>
        </w:rPr>
        <w:t>The Cognitive Interview: A Step-by-Step Guide.</w:t>
      </w:r>
      <w:r w:rsidRPr="006224AB">
        <w:t xml:space="preserve"> Unpublished.</w:t>
      </w:r>
    </w:p>
    <w:p w14:paraId="02210B3F" w14:textId="77777777" w:rsidR="006224AB" w:rsidRDefault="006224AB" w:rsidP="006224AB">
      <w:r w:rsidRPr="006224AB">
        <w:t xml:space="preserve">Milne, R. and Bull, R. (1999) </w:t>
      </w:r>
      <w:r w:rsidRPr="006224AB">
        <w:rPr>
          <w:i/>
          <w:iCs/>
        </w:rPr>
        <w:t>Investigative Interviewing: Psychology and Practice</w:t>
      </w:r>
      <w:r w:rsidRPr="006224AB">
        <w:t>. Chichester: Wiley.</w:t>
      </w:r>
    </w:p>
    <w:p w14:paraId="502900F9" w14:textId="27330724" w:rsidR="008A6A64" w:rsidRDefault="008A6A64" w:rsidP="006224AB">
      <w:r w:rsidRPr="006224AB">
        <w:t>Risan, P</w:t>
      </w:r>
      <w:r>
        <w:t>.</w:t>
      </w:r>
      <w:r w:rsidRPr="006224AB">
        <w:t xml:space="preserve"> Binder, Per-Einar</w:t>
      </w:r>
      <w:r>
        <w:t>,</w:t>
      </w:r>
      <w:r w:rsidRPr="006224AB">
        <w:t xml:space="preserve"> Milne, </w:t>
      </w:r>
      <w:r>
        <w:t>R.</w:t>
      </w:r>
      <w:r w:rsidRPr="006224AB">
        <w:t>J</w:t>
      </w:r>
      <w:r>
        <w:t>.</w:t>
      </w:r>
      <w:r w:rsidRPr="006224AB">
        <w:t xml:space="preserve"> (2018)</w:t>
      </w:r>
      <w:r w:rsidR="003670D8">
        <w:t>.</w:t>
      </w:r>
      <w:r w:rsidRPr="006224AB">
        <w:t xml:space="preserve"> </w:t>
      </w:r>
      <w:r w:rsidRPr="006224AB">
        <w:rPr>
          <w:i/>
          <w:iCs/>
        </w:rPr>
        <w:t>Establishing and Maintaining Rapport in Investigative Interviews of Traumatized Victims: A Qualitative Study</w:t>
      </w:r>
      <w:r w:rsidR="003670D8">
        <w:t>.</w:t>
      </w:r>
      <w:r w:rsidRPr="006224AB">
        <w:t xml:space="preserve"> </w:t>
      </w:r>
      <w:r w:rsidRPr="006224AB">
        <w:t>Policing:</w:t>
      </w:r>
      <w:r w:rsidRPr="006224AB">
        <w:t xml:space="preserve"> a journal of policy and practice - 2018-12-01</w:t>
      </w:r>
    </w:p>
    <w:p w14:paraId="17132391" w14:textId="10B9A34B" w:rsidR="008A6A64" w:rsidRPr="006224AB" w:rsidRDefault="008A6A64" w:rsidP="006224AB">
      <w:r w:rsidRPr="006224AB">
        <w:t>UWTSD – Online Learning DHEP 04/22 – Conducting investigations – Accessed 2024 Year Two Online Learning &amp; Academic Assignments (BMPP5002D,BMPP6002D,BMPP6005D)</w:t>
      </w:r>
    </w:p>
    <w:p w14:paraId="48B90EAF" w14:textId="77777777" w:rsidR="006224AB" w:rsidRPr="006224AB" w:rsidRDefault="006224AB" w:rsidP="006224AB">
      <w:r w:rsidRPr="006224AB">
        <w:t>Welsh Assembly Government (2004) Achieving Best Evidence in Criminal Proceedings: Guidance for Vulnerable or Intimidated Witnesses, Including Children: A Training Pack.</w:t>
      </w:r>
    </w:p>
    <w:p w14:paraId="7E751C26" w14:textId="238F3FE0" w:rsidR="006224AB" w:rsidRPr="006224AB" w:rsidRDefault="006224AB" w:rsidP="006224AB">
      <w:r w:rsidRPr="006224AB">
        <w:t xml:space="preserve">Wright, A. M., &amp; Holliday, R. E. (2007). - </w:t>
      </w:r>
      <w:r w:rsidRPr="006224AB">
        <w:rPr>
          <w:i/>
          <w:iCs/>
        </w:rPr>
        <w:t>Interviewing cognitively impaired older adults: How useful is a Cognitive Interview?</w:t>
      </w:r>
      <w:r w:rsidRPr="006224AB">
        <w:t xml:space="preserve"> Memory, 15(1), 17–33. </w:t>
      </w:r>
    </w:p>
    <w:p w14:paraId="5C3E94C0" w14:textId="77777777" w:rsidR="006224AB" w:rsidRPr="006224AB" w:rsidRDefault="006224AB" w:rsidP="006224AB"/>
    <w:p w14:paraId="3797ABE6" w14:textId="77777777" w:rsidR="00427335" w:rsidRDefault="00427335" w:rsidP="00DD4A16">
      <w:pPr>
        <w:rPr>
          <w:sz w:val="16"/>
          <w:szCs w:val="16"/>
        </w:rPr>
      </w:pPr>
    </w:p>
    <w:p w14:paraId="236638EE" w14:textId="77777777" w:rsidR="00BF0548" w:rsidRDefault="00BF0548" w:rsidP="00DD4A16">
      <w:pPr>
        <w:rPr>
          <w:sz w:val="16"/>
          <w:szCs w:val="16"/>
        </w:rPr>
      </w:pPr>
    </w:p>
    <w:p w14:paraId="364F9129" w14:textId="77777777" w:rsidR="00BF0548" w:rsidRDefault="00BF0548" w:rsidP="00DD4A16">
      <w:pPr>
        <w:rPr>
          <w:sz w:val="16"/>
          <w:szCs w:val="16"/>
        </w:rPr>
      </w:pPr>
    </w:p>
    <w:p w14:paraId="513E2004" w14:textId="77777777" w:rsidR="00BF0548" w:rsidRDefault="00BF0548" w:rsidP="00DD4A16">
      <w:pPr>
        <w:rPr>
          <w:sz w:val="16"/>
          <w:szCs w:val="16"/>
        </w:rPr>
      </w:pPr>
    </w:p>
    <w:p w14:paraId="76068F52" w14:textId="77777777" w:rsidR="00BF0548" w:rsidRDefault="00BF0548" w:rsidP="00DD4A16">
      <w:pPr>
        <w:rPr>
          <w:sz w:val="16"/>
          <w:szCs w:val="16"/>
        </w:rPr>
      </w:pPr>
    </w:p>
    <w:p w14:paraId="65202E67" w14:textId="77777777" w:rsidR="00BF0548" w:rsidRDefault="00BF0548" w:rsidP="00DD4A16">
      <w:pPr>
        <w:rPr>
          <w:sz w:val="16"/>
          <w:szCs w:val="16"/>
        </w:rPr>
      </w:pPr>
    </w:p>
    <w:p w14:paraId="26E8198A" w14:textId="77777777" w:rsidR="00BF0548" w:rsidRDefault="00BF0548" w:rsidP="00DD4A16">
      <w:pPr>
        <w:rPr>
          <w:sz w:val="16"/>
          <w:szCs w:val="16"/>
        </w:rPr>
      </w:pPr>
    </w:p>
    <w:p w14:paraId="7B9CAAD6" w14:textId="77777777" w:rsidR="00BF0548" w:rsidRDefault="00BF0548" w:rsidP="00DD4A16">
      <w:pPr>
        <w:rPr>
          <w:sz w:val="16"/>
          <w:szCs w:val="16"/>
        </w:rPr>
      </w:pPr>
    </w:p>
    <w:p w14:paraId="37A84786" w14:textId="77777777" w:rsidR="00BF0548" w:rsidRDefault="00BF0548" w:rsidP="00DD4A16">
      <w:pPr>
        <w:rPr>
          <w:sz w:val="16"/>
          <w:szCs w:val="16"/>
        </w:rPr>
      </w:pPr>
    </w:p>
    <w:p w14:paraId="4312882F" w14:textId="77777777" w:rsidR="00BF0548" w:rsidRDefault="00BF0548" w:rsidP="00DD4A16">
      <w:pPr>
        <w:rPr>
          <w:sz w:val="16"/>
          <w:szCs w:val="16"/>
        </w:rPr>
      </w:pPr>
    </w:p>
    <w:p w14:paraId="373EC746" w14:textId="77777777" w:rsidR="00BF0548" w:rsidRDefault="00BF0548" w:rsidP="00DD4A16">
      <w:pPr>
        <w:rPr>
          <w:sz w:val="16"/>
          <w:szCs w:val="16"/>
        </w:rPr>
      </w:pPr>
    </w:p>
    <w:p w14:paraId="191340E0" w14:textId="77777777" w:rsidR="00BF0548" w:rsidRDefault="00BF0548" w:rsidP="00DD4A16">
      <w:pPr>
        <w:rPr>
          <w:sz w:val="16"/>
          <w:szCs w:val="16"/>
        </w:rPr>
      </w:pPr>
    </w:p>
    <w:p w14:paraId="7F8E2F92" w14:textId="77777777" w:rsidR="00BF0548" w:rsidRDefault="00BF0548" w:rsidP="00DD4A16">
      <w:pPr>
        <w:rPr>
          <w:sz w:val="16"/>
          <w:szCs w:val="16"/>
        </w:rPr>
      </w:pPr>
    </w:p>
    <w:p w14:paraId="53FF45F6" w14:textId="77777777" w:rsidR="00BF0548" w:rsidRDefault="00BF0548" w:rsidP="00DD4A16">
      <w:pPr>
        <w:rPr>
          <w:sz w:val="16"/>
          <w:szCs w:val="16"/>
        </w:rPr>
      </w:pPr>
    </w:p>
    <w:p w14:paraId="2BA60EA1" w14:textId="77777777" w:rsidR="00BF0548" w:rsidRDefault="00BF0548" w:rsidP="00DD4A16">
      <w:pPr>
        <w:rPr>
          <w:sz w:val="16"/>
          <w:szCs w:val="16"/>
        </w:rPr>
      </w:pPr>
    </w:p>
    <w:p w14:paraId="3953308C" w14:textId="77777777" w:rsidR="00C55241" w:rsidRDefault="00C55241" w:rsidP="00DD4A16">
      <w:pPr>
        <w:rPr>
          <w:sz w:val="16"/>
          <w:szCs w:val="16"/>
        </w:rPr>
      </w:pPr>
    </w:p>
    <w:p w14:paraId="30D53224" w14:textId="77777777" w:rsidR="00BF0548" w:rsidRPr="00BF0548" w:rsidRDefault="00BF0548" w:rsidP="00BF0548">
      <w:pPr>
        <w:rPr>
          <w:b/>
          <w:bCs/>
          <w:u w:val="single"/>
        </w:rPr>
      </w:pPr>
      <w:r w:rsidRPr="00BF0548">
        <w:rPr>
          <w:b/>
          <w:bCs/>
          <w:noProof/>
          <w:u w:val="single"/>
        </w:rPr>
        <w:lastRenderedPageBreak/>
        <mc:AlternateContent>
          <mc:Choice Requires="wps">
            <w:drawing>
              <wp:anchor distT="45720" distB="45720" distL="114300" distR="114300" simplePos="0" relativeHeight="251659776" behindDoc="0" locked="0" layoutInCell="1" allowOverlap="1" wp14:anchorId="4F8EA41E" wp14:editId="2E3B0504">
                <wp:simplePos x="0" y="0"/>
                <wp:positionH relativeFrom="margin">
                  <wp:posOffset>3810</wp:posOffset>
                </wp:positionH>
                <wp:positionV relativeFrom="paragraph">
                  <wp:posOffset>0</wp:posOffset>
                </wp:positionV>
                <wp:extent cx="5715000" cy="1384300"/>
                <wp:effectExtent l="0" t="0" r="19050" b="25400"/>
                <wp:wrapSquare wrapText="bothSides"/>
                <wp:docPr id="7362701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384300"/>
                        </a:xfrm>
                        <a:prstGeom prst="rect">
                          <a:avLst/>
                        </a:prstGeom>
                        <a:solidFill>
                          <a:srgbClr val="FFFFFF"/>
                        </a:solidFill>
                        <a:ln w="9525">
                          <a:solidFill>
                            <a:srgbClr val="FF0000"/>
                          </a:solidFill>
                          <a:miter lim="800000"/>
                          <a:headEnd/>
                          <a:tailEnd/>
                        </a:ln>
                      </wps:spPr>
                      <wps:txbx>
                        <w:txbxContent>
                          <w:p w14:paraId="3DBF103E" w14:textId="77777777" w:rsidR="00BF0548" w:rsidRPr="007A4CAB" w:rsidRDefault="00BF0548" w:rsidP="00BF0548">
                            <w:pPr>
                              <w:rPr>
                                <w:b/>
                                <w:bCs/>
                              </w:rPr>
                            </w:pPr>
                            <w:r w:rsidRPr="007A4CAB">
                              <w:rPr>
                                <w:b/>
                                <w:bCs/>
                              </w:rPr>
                              <w:t>Essay four:</w:t>
                            </w:r>
                          </w:p>
                          <w:p w14:paraId="65DF00A6" w14:textId="77777777" w:rsidR="00BF0548" w:rsidRPr="007A4CAB" w:rsidRDefault="00BF0548" w:rsidP="00BF0548">
                            <w:pPr>
                              <w:rPr>
                                <w:b/>
                                <w:bCs/>
                              </w:rPr>
                            </w:pPr>
                            <w:r w:rsidRPr="007A4CAB">
                              <w:rPr>
                                <w:b/>
                                <w:bCs/>
                              </w:rPr>
                              <w:t>Examine the various socio-economic and psychological characteristics which can make people vulnerable to exploitation by criminal gangs.</w:t>
                            </w:r>
                          </w:p>
                          <w:p w14:paraId="3728D040" w14:textId="77777777" w:rsidR="00BF0548" w:rsidRPr="007A4CAB" w:rsidRDefault="00BF0548" w:rsidP="00BF0548">
                            <w:pPr>
                              <w:rPr>
                                <w:b/>
                                <w:bCs/>
                              </w:rPr>
                            </w:pPr>
                            <w:r w:rsidRPr="007A4CAB">
                              <w:rPr>
                                <w:b/>
                                <w:bCs/>
                              </w:rPr>
                              <w:t>Your answer must be based on academic research rather than personal experience.</w:t>
                            </w:r>
                          </w:p>
                          <w:p w14:paraId="33C9E8F7" w14:textId="77777777" w:rsidR="00BF0548" w:rsidRDefault="00BF0548" w:rsidP="00BF0548">
                            <w:r w:rsidRPr="007A4CAB">
                              <w:rPr>
                                <w:b/>
                                <w:bCs/>
                              </w:rPr>
                              <w:t>Word limit: 1000 words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8EA41E" id="_x0000_s1029" type="#_x0000_t202" style="position:absolute;margin-left:.3pt;margin-top:0;width:450pt;height:109pt;z-index:251659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" strokecolor="red">
                <v:textbox>
                  <w:txbxContent>
                    <w:p w14:paraId="3DBF103E" w14:textId="77777777" w:rsidR="00BF0548" w:rsidRPr="007A4CAB" w:rsidRDefault="00BF0548" w:rsidP="00BF0548">
                      <w:pPr>
                        <w:rPr>
                          <w:b/>
                          <w:bCs/>
                        </w:rPr>
                      </w:pPr>
                      <w:r w:rsidRPr="007A4CAB">
                        <w:rPr>
                          <w:b/>
                          <w:bCs/>
                        </w:rPr>
                        <w:t>Essay four:</w:t>
                      </w:r>
                    </w:p>
                    <w:p w14:paraId="65DF00A6" w14:textId="77777777" w:rsidR="00BF0548" w:rsidRPr="007A4CAB" w:rsidRDefault="00BF0548" w:rsidP="00BF0548">
                      <w:pPr>
                        <w:rPr>
                          <w:b/>
                          <w:bCs/>
                        </w:rPr>
                      </w:pPr>
                      <w:r w:rsidRPr="007A4CAB">
                        <w:rPr>
                          <w:b/>
                          <w:bCs/>
                        </w:rPr>
                        <w:t>Examine the various socio-economic and psychological characteristics which can make people vulnerable to exploitation by criminal gangs.</w:t>
                      </w:r>
                    </w:p>
                    <w:p w14:paraId="3728D040" w14:textId="77777777" w:rsidR="00BF0548" w:rsidRPr="007A4CAB" w:rsidRDefault="00BF0548" w:rsidP="00BF0548">
                      <w:pPr>
                        <w:rPr>
                          <w:b/>
                          <w:bCs/>
                        </w:rPr>
                      </w:pPr>
                      <w:r w:rsidRPr="007A4CAB">
                        <w:rPr>
                          <w:b/>
                          <w:bCs/>
                        </w:rPr>
                        <w:t>Your answer must be based on academic research rather than personal experience.</w:t>
                      </w:r>
                    </w:p>
                    <w:p w14:paraId="33C9E8F7" w14:textId="77777777" w:rsidR="00BF0548" w:rsidRDefault="00BF0548" w:rsidP="00BF0548">
                      <w:r w:rsidRPr="007A4CAB">
                        <w:rPr>
                          <w:b/>
                          <w:bCs/>
                        </w:rPr>
                        <w:t>Word limit: 1000 words</w:t>
                      </w:r>
                    </w:p>
                  </w:txbxContent>
                </v:textbox>
                <w10:wrap type="square" anchorx="margin"/>
              </v:shape>
            </w:pict>
          </mc:Fallback>
        </mc:AlternateContent>
      </w:r>
      <w:r w:rsidRPr="00BF0548">
        <w:rPr>
          <w:b/>
          <w:bCs/>
        </w:rPr>
        <w:t>Introduction</w:t>
      </w:r>
    </w:p>
    <w:p w14:paraId="7DF157C1" w14:textId="65B9E608" w:rsidR="00BF0548" w:rsidRPr="00BF0548" w:rsidRDefault="00BF0548" w:rsidP="00BF0548">
      <w:r w:rsidRPr="00BF0548">
        <w:t xml:space="preserve">Characteristics that can make people vulnerable to exploitation by criminal gangs are many and varied. The results of this exploitation can lead to individuals experiencing victimisation at the hands of criminal gangs and experiencing exploitation through coercion into criminality themselves. This exploitation can take on many forms, from sexual exploitation, involvement in drug dealing, </w:t>
      </w:r>
      <w:r w:rsidR="00642D1D" w:rsidRPr="00BF0548">
        <w:t>distribution,</w:t>
      </w:r>
      <w:r w:rsidRPr="00BF0548">
        <w:t xml:space="preserve"> and county lines through to cuckooing and modern slavery.</w:t>
      </w:r>
    </w:p>
    <w:p w14:paraId="2EC08EA9" w14:textId="77777777" w:rsidR="00BF0548" w:rsidRPr="00BF0548" w:rsidRDefault="00BF0548" w:rsidP="00BF0548">
      <w:pPr>
        <w:rPr>
          <w:b/>
          <w:bCs/>
        </w:rPr>
      </w:pPr>
      <w:r w:rsidRPr="00BF0548">
        <w:rPr>
          <w:b/>
          <w:bCs/>
        </w:rPr>
        <w:t>Neighbourhood Instability &amp; Psychopathic Tendencies</w:t>
      </w:r>
    </w:p>
    <w:p w14:paraId="2C2DB380" w14:textId="77777777" w:rsidR="00BF0548" w:rsidRPr="00BF0548" w:rsidRDefault="00BF0548" w:rsidP="00BF0548">
      <w:r w:rsidRPr="00BF0548">
        <w:t>Dup</w:t>
      </w:r>
      <w:r w:rsidRPr="00BF0548">
        <w:rPr>
          <w:rFonts w:cstheme="minorHAnsi"/>
        </w:rPr>
        <w:t>é</w:t>
      </w:r>
      <w:r w:rsidRPr="00BF0548">
        <w:t>r</w:t>
      </w:r>
      <w:r w:rsidRPr="00BF0548">
        <w:rPr>
          <w:rFonts w:cstheme="minorHAnsi"/>
        </w:rPr>
        <w:t>é</w:t>
      </w:r>
      <w:r w:rsidRPr="00BF0548">
        <w:t xml:space="preserve"> et al (2007) looked at the link between psychological characteristics and social characteristics of neighbourhood disadvantage and instability. </w:t>
      </w:r>
    </w:p>
    <w:p w14:paraId="704C01A0" w14:textId="77777777" w:rsidR="00BF0548" w:rsidRPr="00BF0548" w:rsidRDefault="00BF0548" w:rsidP="00BF0548">
      <w:r w:rsidRPr="00BF0548">
        <w:t xml:space="preserve">The psychological characteristics that were researched were, psychopathic tendencies which comprised hyperactivity, low anxiety and low prosociality. These were compared in a subset of Canadian adolescents to the national norms via the 2002 Census of Canada. Hyperactivity has now been included under the banner of ADHD of Attention- Deficit/Hyperactivity Disorder which the National Institute of Mental Health defines as – </w:t>
      </w:r>
    </w:p>
    <w:p w14:paraId="2EE745F2" w14:textId="059D22F8" w:rsidR="00BF0548" w:rsidRPr="00BF0548" w:rsidRDefault="00BF0548" w:rsidP="00642D1D">
      <w:pPr>
        <w:ind w:left="720"/>
        <w:jc w:val="center"/>
      </w:pPr>
      <w:r w:rsidRPr="00BF0548">
        <w:t>…..marked by an ongoing pattern of inattention and/or hyperactivity-impulsivity that interferes with functioning or development. People with ADHD experience an ongoing pattern of the following types of symptoms: Inattention…… Hyperactivity…….Impulsivity…..</w:t>
      </w:r>
    </w:p>
    <w:p w14:paraId="79732143" w14:textId="77777777" w:rsidR="00BF0548" w:rsidRPr="00BF0548" w:rsidRDefault="00BF0548" w:rsidP="00BF0548">
      <w:pPr>
        <w:jc w:val="right"/>
      </w:pPr>
      <w:r w:rsidRPr="00BF0548">
        <w:t>(NIMH, 2024)</w:t>
      </w:r>
    </w:p>
    <w:p w14:paraId="50D00B10" w14:textId="77777777" w:rsidR="00BF0548" w:rsidRPr="00BF0548" w:rsidRDefault="00BF0548" w:rsidP="00BF0548">
      <w:r w:rsidRPr="00BF0548">
        <w:t>In terms of low anxiety my research could not uncover any diagnosis of this which may be a limitation of the study by Dup</w:t>
      </w:r>
      <w:r w:rsidRPr="00BF0548">
        <w:rPr>
          <w:rFonts w:cstheme="minorHAnsi"/>
        </w:rPr>
        <w:t>é</w:t>
      </w:r>
      <w:r w:rsidRPr="00BF0548">
        <w:t>r</w:t>
      </w:r>
      <w:r w:rsidRPr="00BF0548">
        <w:rPr>
          <w:rFonts w:cstheme="minorHAnsi"/>
        </w:rPr>
        <w:t>é</w:t>
      </w:r>
      <w:r w:rsidRPr="00BF0548">
        <w:t xml:space="preserve"> et al (2007). There are numerous definitions surrounding anxiety disorders (Mind.org, 2024) though low anxiety is not recognised.</w:t>
      </w:r>
    </w:p>
    <w:p w14:paraId="58454B3D" w14:textId="77777777" w:rsidR="00BF0548" w:rsidRPr="00BF0548" w:rsidRDefault="00BF0548" w:rsidP="00BF0548">
      <w:r w:rsidRPr="00BF0548">
        <w:t>Low prosociality or low empathy: This is discussed in Penner et al (2005) stating that prosocial acts are usually acts that are beneficial to others. Therefore, and individual with low prosociality would tend not to empathise with others or not commit to charitable activities that have a beneficial effect on society.</w:t>
      </w:r>
    </w:p>
    <w:p w14:paraId="7564489C" w14:textId="77777777" w:rsidR="00BF0548" w:rsidRPr="00BF0548" w:rsidRDefault="00BF0548" w:rsidP="00BF0548">
      <w:r w:rsidRPr="00BF0548">
        <w:t>Examining the social characteristics of neighbourhood disadvantage and neighbourhood instability, Dupéré et al (2007) states that if there is concentrated economic disadvantage in a neighbourhood then it negatively impacts on people’s collective efficacy (Sampson et al, 2002; Sampson et al, 1997). Neighbourhood instability is also examined here and thought to have a negative impact, this instability being characterised by high population turnover, low homeowner, and high renter populations. This instability is thought by the author to lead to limited time for residents to get to know and trust each other.</w:t>
      </w:r>
    </w:p>
    <w:p w14:paraId="3E816F88" w14:textId="77777777" w:rsidR="00642D1D" w:rsidRDefault="00642D1D" w:rsidP="00BF0548"/>
    <w:p w14:paraId="234286A1" w14:textId="27BAA610" w:rsidR="00BF0548" w:rsidRPr="00BF0548" w:rsidRDefault="00BF0548" w:rsidP="00BF0548">
      <w:r w:rsidRPr="00BF0548">
        <w:lastRenderedPageBreak/>
        <w:t>Dupéré et al (2007) concluded in this study that where adolescents with pre-existing psychopathic tendencies resided in areas of neighbourhood instability, this was a predictor that those adolescents could become youth gang members. The same could not be said of the pre-existing psychopathic tendencies linked with neighbourhood concentrated disadvantage.</w:t>
      </w:r>
    </w:p>
    <w:p w14:paraId="4A338F00" w14:textId="77777777" w:rsidR="00BF0548" w:rsidRPr="00BF0548" w:rsidRDefault="00BF0548" w:rsidP="00BF0548">
      <w:pPr>
        <w:rPr>
          <w:b/>
          <w:bCs/>
        </w:rPr>
      </w:pPr>
      <w:r w:rsidRPr="00BF0548">
        <w:rPr>
          <w:b/>
          <w:bCs/>
        </w:rPr>
        <w:t>Perceived Risk Factors in London</w:t>
      </w:r>
    </w:p>
    <w:p w14:paraId="3701DBE7" w14:textId="77777777" w:rsidR="00BF0548" w:rsidRPr="00BF0548" w:rsidRDefault="00BF0548" w:rsidP="00BF0548">
      <w:r w:rsidRPr="00BF0548">
        <w:t>In a research article (Annan et al, 2022) looking at risk factors for involvement in street gangs in London. The method used was to take twenty-six participants from two youth centres from a specific neighbourhood, one being a sport-based centre and the other arts based. The participants were split into two focus groups and asked questions exploring their understanding of their community and social environment, their social interaction with local young people and youth gangs. The authors identify eight themes being, community deprivation, ethnic tension, age/generation disconnect, peer influences, environmental safety, relationship with local police, parent child interaction and media influences.</w:t>
      </w:r>
    </w:p>
    <w:p w14:paraId="5D5DEBC8" w14:textId="2929CA05" w:rsidR="00BF0548" w:rsidRPr="00BF0548" w:rsidRDefault="00BF0548" w:rsidP="00BF0548">
      <w:r w:rsidRPr="00BF0548">
        <w:t>Exploring the themes in more depth what I found to be of interest was the emergence of technology and social media, and the impact on the potential of young people to become vulnerable to exploitation by gangs. ‘Drill’ music (Pinkney et al, 2018) was a theme explored in the research (Annan et al, 2022) and how it is frequently viewed on social media platforms. This music frequently glamorises gang culture, drug and violent gun and knife crime and can sometimes be a contributing factor to young people becoming vulnerable to exploitation. This music and video media is highly accessible on streaming and social media platforms which, combined with the fact that a high proportion of young people have access to smart phones increases the risk of being influenced and of subsequent exploitation.</w:t>
      </w:r>
    </w:p>
    <w:p w14:paraId="772B40B4" w14:textId="77777777" w:rsidR="00BF0548" w:rsidRPr="00BF0548" w:rsidRDefault="00BF0548" w:rsidP="00BF0548">
      <w:r w:rsidRPr="00BF0548">
        <w:t>Culture was also a theme within this research as it was noted that certain ethnic groups such and Somali and Bengali would tend not to mix with each other, even when there was common ground to explore such as football. This is another risk factor that isolates certain communities and can lead to the formation of gangs.</w:t>
      </w:r>
    </w:p>
    <w:p w14:paraId="515E2C8E" w14:textId="77777777" w:rsidR="00BF0548" w:rsidRPr="00BF0548" w:rsidRDefault="00BF0548" w:rsidP="00BF0548">
      <w:pPr>
        <w:rPr>
          <w:b/>
          <w:bCs/>
        </w:rPr>
      </w:pPr>
      <w:r w:rsidRPr="00BF0548">
        <w:rPr>
          <w:b/>
          <w:bCs/>
        </w:rPr>
        <w:t>Exploitation of other demographics</w:t>
      </w:r>
    </w:p>
    <w:p w14:paraId="24E02478" w14:textId="77777777" w:rsidR="00BF0548" w:rsidRPr="00BF0548" w:rsidRDefault="00BF0548" w:rsidP="00BF0548">
      <w:r w:rsidRPr="00BF0548">
        <w:t>Not yet explored in this essay is the exploitation of other vulnerable groups as most of the literature researched thus far has been centred around the exploitation of youths or adolescents. To widen the demographic range, I have reviewed academic research on cuckooing (Spicer et al, 2019). This research explores how residents can be criminally exploited by ‘county lines’ gangs and their residences used for criminality. The research finds that there are four typologies of cuckooing, these being:</w:t>
      </w:r>
    </w:p>
    <w:p w14:paraId="45E3E41D" w14:textId="47A5B05A" w:rsidR="00BF0548" w:rsidRPr="00BF0548" w:rsidRDefault="00BF0548" w:rsidP="00BF0548">
      <w:r w:rsidRPr="00BF0548">
        <w:t xml:space="preserve">Parasitic nest invading: In terms of characteristics the author identifies the exploited individuals as ‘classically’ vulnerable with mental illness, disability or old age being prevalent (Chakraborti and Garland, 2015). A real-life example was provided of a young drug runner who befriended a retired man with mental health issues, gained access to his home and proceeded to keep drugs and a </w:t>
      </w:r>
      <w:r w:rsidR="00642D1D" w:rsidRPr="00BF0548">
        <w:t>sawn-off</w:t>
      </w:r>
      <w:r w:rsidRPr="00BF0548">
        <w:t xml:space="preserve"> shotgun there.</w:t>
      </w:r>
    </w:p>
    <w:p w14:paraId="52B3022D" w14:textId="77777777" w:rsidR="00BF0548" w:rsidRPr="00BF0548" w:rsidRDefault="00BF0548" w:rsidP="00BF0548">
      <w:r w:rsidRPr="00BF0548">
        <w:t>Quasi- cuckooing: where drug suppliers stay at the residence of drug users in exchange for drugs. Subsequently the exploited host becomes uncomfortable with the presence of the drug supplier.</w:t>
      </w:r>
    </w:p>
    <w:p w14:paraId="3FBA503C" w14:textId="77777777" w:rsidR="00642D1D" w:rsidRDefault="00642D1D" w:rsidP="00BF0548"/>
    <w:p w14:paraId="386769CA" w14:textId="3A6B4171" w:rsidR="00BF0548" w:rsidRPr="00BF0548" w:rsidRDefault="00BF0548" w:rsidP="00BF0548">
      <w:r w:rsidRPr="00BF0548">
        <w:lastRenderedPageBreak/>
        <w:t>Coupling: Where county lines dealers enter sexual relationships with female residents. Another real-life example was explored where there was no dependability on drugs, rather it was the power of the relationship that ensured she remained a complaint host. She was quoted as saying “I wasn’t doing [it] for the money, I was doing it for the love”.</w:t>
      </w:r>
      <w:r w:rsidRPr="00BF0548">
        <w:rPr>
          <w:i/>
          <w:iCs/>
        </w:rPr>
        <w:t xml:space="preserve"> </w:t>
      </w:r>
      <w:r w:rsidRPr="00BF0548">
        <w:t>(Spicer et al, 2019)</w:t>
      </w:r>
    </w:p>
    <w:p w14:paraId="7252445E" w14:textId="1B51E1A7" w:rsidR="00BF0548" w:rsidRPr="00BF0548" w:rsidRDefault="00BF0548" w:rsidP="00BF0548">
      <w:r w:rsidRPr="00BF0548">
        <w:t>Local cuckooing; this is when local people take over the residence of someone in their own locality as opposed to a county lines scenario where the exploiter is from outside the local area. An example of a vulnerability characteristic here is where parents are sometimes found to be victims of cuckooing from their offspring.</w:t>
      </w:r>
    </w:p>
    <w:p w14:paraId="5915D01E" w14:textId="77777777" w:rsidR="00BF0548" w:rsidRPr="00BF0548" w:rsidRDefault="00BF0548" w:rsidP="00BF0548">
      <w:pPr>
        <w:rPr>
          <w:b/>
          <w:bCs/>
        </w:rPr>
      </w:pPr>
      <w:r w:rsidRPr="00BF0548">
        <w:rPr>
          <w:b/>
          <w:bCs/>
        </w:rPr>
        <w:t>Conclusion</w:t>
      </w:r>
    </w:p>
    <w:p w14:paraId="34DE0669" w14:textId="77777777" w:rsidR="00BF0548" w:rsidRPr="00BF0548" w:rsidRDefault="00BF0548" w:rsidP="00BF0548">
      <w:r w:rsidRPr="00BF0548">
        <w:t>Examining socio-economic and psychological characteristics which can make people vulnerable to exploitation, I conclude that there are many complex characteristics that can mean vulnerable individuals are exploited in any number of ways. This can be due to socio-economic reasons such as austerity and unemployment through to psychological reasons such as the need for love and companionship or low empathy.</w:t>
      </w:r>
    </w:p>
    <w:p w14:paraId="44A8B91E" w14:textId="77777777" w:rsidR="00BF0548" w:rsidRPr="00BF0548" w:rsidRDefault="00BF0548" w:rsidP="00BF0548">
      <w:r w:rsidRPr="00BF0548">
        <w:t>As I wrote, the importance of safeguarding for all vulnerable individuals became clearer. Safeguarding measures need to be robust enough to protect the most vulnerable in society and these measures and appropriate safeguarding information, must be shared across all accountable agencies.</w:t>
      </w:r>
    </w:p>
    <w:p w14:paraId="17D29EF9" w14:textId="104433C1" w:rsidR="00BF0548" w:rsidRPr="00BF0548" w:rsidRDefault="00BF0548" w:rsidP="00BF0548">
      <w:pPr>
        <w:rPr>
          <w:b/>
          <w:bCs/>
        </w:rPr>
      </w:pPr>
      <w:r w:rsidRPr="00BF0548">
        <w:rPr>
          <w:b/>
          <w:bCs/>
        </w:rPr>
        <w:t>Word Count - 109</w:t>
      </w:r>
      <w:r w:rsidR="00C50D23">
        <w:rPr>
          <w:b/>
          <w:bCs/>
        </w:rPr>
        <w:t>7</w:t>
      </w:r>
    </w:p>
    <w:p w14:paraId="06297F97" w14:textId="77777777" w:rsidR="00BF0548" w:rsidRPr="00BF0548" w:rsidRDefault="00BF0548" w:rsidP="00BF0548">
      <w:pPr>
        <w:rPr>
          <w:b/>
          <w:bCs/>
        </w:rPr>
      </w:pPr>
      <w:r w:rsidRPr="00BF0548">
        <w:rPr>
          <w:b/>
          <w:bCs/>
        </w:rPr>
        <w:t>Bibliography</w:t>
      </w:r>
    </w:p>
    <w:p w14:paraId="01108220" w14:textId="3883BD1B" w:rsidR="00BF0548" w:rsidRPr="00BF0548" w:rsidRDefault="00BF0548" w:rsidP="00BF0548">
      <w:r w:rsidRPr="00BF0548">
        <w:t>Annan, L.G. Gaoua, N. Mileva, K. Borges, M. (2022)</w:t>
      </w:r>
      <w:r w:rsidR="00C50D23">
        <w:t xml:space="preserve">. </w:t>
      </w:r>
      <w:r w:rsidRPr="00BF0548">
        <w:rPr>
          <w:i/>
          <w:iCs/>
        </w:rPr>
        <w:t>What makes young people get involved with street gangs in London? A study of perceived risk factors</w:t>
      </w:r>
      <w:r w:rsidR="00C50D23">
        <w:t>.</w:t>
      </w:r>
      <w:r w:rsidRPr="00BF0548">
        <w:t xml:space="preserve"> J Community Psychol. 50: 2198-2213</w:t>
      </w:r>
    </w:p>
    <w:p w14:paraId="715CB6ED" w14:textId="77777777" w:rsidR="00BF0548" w:rsidRPr="00BF0548" w:rsidRDefault="00BF0548" w:rsidP="00BF0548">
      <w:r w:rsidRPr="00BF0548">
        <w:t xml:space="preserve">Briggs, Daniel John Shaw. (2010). </w:t>
      </w:r>
      <w:r w:rsidRPr="00BF0548">
        <w:rPr>
          <w:i/>
          <w:iCs/>
        </w:rPr>
        <w:t>Crack houses in the UK: Some observations on their operations</w:t>
      </w:r>
      <w:r w:rsidRPr="00BF0548">
        <w:t xml:space="preserve">. Drugs and Alcohol Today. 10. 33-42. </w:t>
      </w:r>
    </w:p>
    <w:p w14:paraId="0CE28FDF" w14:textId="1778C565" w:rsidR="00BF0548" w:rsidRPr="00BF0548" w:rsidRDefault="00BF0548" w:rsidP="00BF0548">
      <w:r w:rsidRPr="00BF0548">
        <w:t xml:space="preserve">Chakraborti, N. Garland, J. (2015): </w:t>
      </w:r>
      <w:r w:rsidRPr="00BF0548">
        <w:rPr>
          <w:i/>
          <w:iCs/>
        </w:rPr>
        <w:t>Hate Crime – Impact, Causes &amp; Responses,</w:t>
      </w:r>
      <w:r w:rsidRPr="00BF0548">
        <w:t xml:space="preserve"> Second Edition (Sage Publications: 2015)</w:t>
      </w:r>
    </w:p>
    <w:p w14:paraId="6AB62112" w14:textId="07D6044B" w:rsidR="00BF0548" w:rsidRPr="00BF0548" w:rsidRDefault="00BF0548" w:rsidP="00BF0548">
      <w:r w:rsidRPr="00BF0548">
        <w:t>Dupéré V, Lacourse E, Willms JD, Vitaro F, Tremblay RE. (2207)</w:t>
      </w:r>
      <w:r w:rsidR="005267DE">
        <w:t>.</w:t>
      </w:r>
      <w:r w:rsidRPr="00BF0548">
        <w:t xml:space="preserve"> </w:t>
      </w:r>
      <w:r w:rsidRPr="00BF0548">
        <w:rPr>
          <w:i/>
          <w:iCs/>
        </w:rPr>
        <w:t>Affiliation to youth gangs during adolescence: the interaction between childhood psychopathic tendencies and neighborhood disadvantage.</w:t>
      </w:r>
      <w:r w:rsidRPr="00BF0548">
        <w:t xml:space="preserve"> J Abnorm Child Psychol. 2007 Dec;35(6):1035-45</w:t>
      </w:r>
    </w:p>
    <w:p w14:paraId="681F9F2E" w14:textId="06D35E08" w:rsidR="00BF0548" w:rsidRPr="00BF0548" w:rsidRDefault="00BF0548" w:rsidP="00BF0548">
      <w:r w:rsidRPr="00BF0548">
        <w:t xml:space="preserve">Luengo Kanacri BP, Eisenberg N, Tramontano C, Zuffiano A, Caprara MG, Regner E, Zhu L, Pastorelli C, Caprara GV. </w:t>
      </w:r>
      <w:r w:rsidR="005267DE">
        <w:t xml:space="preserve">(2021). </w:t>
      </w:r>
      <w:r w:rsidRPr="00BF0548">
        <w:rPr>
          <w:i/>
          <w:iCs/>
        </w:rPr>
        <w:t>Measuring Prosocial Behaviors: Psychometric Properties and Cross-National Validation of the Prosociality Scale in Five Countries</w:t>
      </w:r>
      <w:r w:rsidRPr="00BF0548">
        <w:t xml:space="preserve">. Front Psychol. 2021 Jul 22;12:693174. </w:t>
      </w:r>
    </w:p>
    <w:p w14:paraId="202A9A47" w14:textId="77777777" w:rsidR="00BF0548" w:rsidRPr="00BF0548" w:rsidRDefault="00BF0548" w:rsidP="00BF0548">
      <w:r w:rsidRPr="00BF0548">
        <w:t xml:space="preserve">McLean, Robert &amp; Robinson, Grace &amp; Densley, James. (2020). </w:t>
      </w:r>
      <w:r w:rsidRPr="00BF0548">
        <w:rPr>
          <w:i/>
          <w:iCs/>
        </w:rPr>
        <w:t>County Lines: Criminal Networks and Evolving Drug Markets in Britain.</w:t>
      </w:r>
      <w:r w:rsidRPr="00BF0548">
        <w:t xml:space="preserve"> – Springer</w:t>
      </w:r>
    </w:p>
    <w:p w14:paraId="1D6D6538" w14:textId="77777777" w:rsidR="00BF0548" w:rsidRPr="00BF0548" w:rsidRDefault="00BF0548" w:rsidP="00BF0548">
      <w:r w:rsidRPr="00BF0548">
        <w:t>Mind – What are anxiety disorders? - https://www.mind.org.uk/information-support/types-of-mental-health-problems/anxiety-and-panic-attacks/anxiety-disorders/</w:t>
      </w:r>
    </w:p>
    <w:p w14:paraId="08D0DD81" w14:textId="77777777" w:rsidR="00BF0548" w:rsidRPr="00BF0548" w:rsidRDefault="00BF0548" w:rsidP="00BF0548">
      <w:r w:rsidRPr="00BF0548">
        <w:t>National Institute of Mental Health - Attention-Deficit/Hyperactivity Disorder - National Institute of Mental Health (NIMH) (nih.gov)</w:t>
      </w:r>
    </w:p>
    <w:p w14:paraId="4FCE4E44" w14:textId="77777777" w:rsidR="00BF0548" w:rsidRPr="00BF0548" w:rsidRDefault="00BF0548" w:rsidP="00BF0548">
      <w:r w:rsidRPr="00BF0548">
        <w:lastRenderedPageBreak/>
        <w:t>Penner L. A., Dovidio J. E., Piliavin J. A., Schroeder D. A. (2005</w:t>
      </w:r>
      <w:r w:rsidRPr="00BF0548">
        <w:rPr>
          <w:i/>
          <w:iCs/>
        </w:rPr>
        <w:t xml:space="preserve">). Prosocial behavior: multilevel perspectives. </w:t>
      </w:r>
      <w:r w:rsidRPr="00BF0548">
        <w:t>Annu. Rev. Psychol. 56, 365–392. 10.1146</w:t>
      </w:r>
    </w:p>
    <w:p w14:paraId="389D6D95" w14:textId="77777777" w:rsidR="00BF0548" w:rsidRPr="00BF0548" w:rsidRDefault="00BF0548" w:rsidP="00BF0548">
      <w:r w:rsidRPr="00BF0548">
        <w:t>Pinkney, Craig &amp; Robinson-Edwards, Shona. (2018</w:t>
      </w:r>
      <w:r w:rsidRPr="00BF0548">
        <w:rPr>
          <w:i/>
          <w:iCs/>
        </w:rPr>
        <w:t>). Gangs, music and the mediatisation of crime: Expressions, violations and validations.</w:t>
      </w:r>
      <w:r w:rsidRPr="00BF0548">
        <w:t xml:space="preserve"> Safer Communities. 17. 10.1108/SC-01-2017-0004.</w:t>
      </w:r>
    </w:p>
    <w:p w14:paraId="0A81AFAB" w14:textId="146C26EA" w:rsidR="00BF0548" w:rsidRPr="00BF0548" w:rsidRDefault="00BF0548" w:rsidP="00BF0548">
      <w:r w:rsidRPr="00BF0548">
        <w:t>Sampson RJ, Raudenbush SW, Earls F. (1997</w:t>
      </w:r>
      <w:r w:rsidRPr="00BF0548">
        <w:rPr>
          <w:i/>
          <w:iCs/>
        </w:rPr>
        <w:t>)</w:t>
      </w:r>
      <w:r w:rsidR="005267DE" w:rsidRPr="005267DE">
        <w:rPr>
          <w:i/>
          <w:iCs/>
        </w:rPr>
        <w:t>.</w:t>
      </w:r>
      <w:r w:rsidRPr="00BF0548">
        <w:rPr>
          <w:i/>
          <w:iCs/>
        </w:rPr>
        <w:t xml:space="preserve"> Neighborhoods and violent crime: a multilevel study of collective efficacy.</w:t>
      </w:r>
      <w:r w:rsidRPr="00BF0548">
        <w:t xml:space="preserve"> Science. Aug 15;277(5328):918-24.</w:t>
      </w:r>
    </w:p>
    <w:p w14:paraId="2C3CF1FD" w14:textId="77777777" w:rsidR="00BF0548" w:rsidRPr="00BF0548" w:rsidRDefault="00BF0548" w:rsidP="00BF0548">
      <w:r w:rsidRPr="00BF0548">
        <w:t xml:space="preserve">Sampson, R. J., Morenoff, J. D., &amp; Gannon-Rowley, T. (2002). </w:t>
      </w:r>
      <w:r w:rsidRPr="00BF0548">
        <w:rPr>
          <w:i/>
          <w:iCs/>
        </w:rPr>
        <w:t>Assessing "neighborhood effects": Social processes and new directions in research.</w:t>
      </w:r>
      <w:r w:rsidRPr="00BF0548">
        <w:t xml:space="preserve"> Annual Review of Sociology, 28, 443–47</w:t>
      </w:r>
    </w:p>
    <w:p w14:paraId="391C3999" w14:textId="107DC8D7" w:rsidR="00BF0548" w:rsidRPr="00BF0548" w:rsidRDefault="00BF0548" w:rsidP="00BF0548">
      <w:r w:rsidRPr="00BF0548">
        <w:t>Spicer, J. Moyle, L. Coomber, R. (2019</w:t>
      </w:r>
      <w:r w:rsidRPr="00BF0548">
        <w:rPr>
          <w:i/>
          <w:iCs/>
        </w:rPr>
        <w:t>) The variable and evolving natire of ‘ccukooing as aform of criminal exploitation in street level drug markets</w:t>
      </w:r>
      <w:r w:rsidRPr="00BF0548">
        <w:t>. Trends in Organiszed Crime</w:t>
      </w:r>
      <w:r w:rsidR="005267DE">
        <w:t xml:space="preserve">. </w:t>
      </w:r>
      <w:r w:rsidRPr="00BF0548">
        <w:t>23:301 - 232</w:t>
      </w:r>
    </w:p>
    <w:p w14:paraId="0ADA6F63" w14:textId="77777777" w:rsidR="00BF0548" w:rsidRPr="00BF0548" w:rsidRDefault="00BF0548" w:rsidP="00BF0548">
      <w:r w:rsidRPr="00BF0548">
        <w:t xml:space="preserve">Youth Violence Commission Final Report – July 2020 – Youth Violence Commission - </w:t>
      </w:r>
      <w:hyperlink r:id="rId16" w:history="1">
        <w:r w:rsidRPr="00BF0548">
          <w:rPr>
            <w:color w:val="0000FF"/>
            <w:u w:val="single"/>
          </w:rPr>
          <w:t>https://www.yvcommission.com/</w:t>
        </w:r>
      </w:hyperlink>
    </w:p>
    <w:p w14:paraId="78EFE368" w14:textId="77777777" w:rsidR="00BF0548" w:rsidRPr="00BF0548" w:rsidRDefault="00BF0548" w:rsidP="00BF0548"/>
    <w:p w14:paraId="25F400B2" w14:textId="77777777" w:rsidR="00BF0548" w:rsidRPr="00BF0548" w:rsidRDefault="00BF0548" w:rsidP="00BF0548"/>
    <w:p w14:paraId="1CCB8681" w14:textId="77777777" w:rsidR="00BF0548" w:rsidRPr="00BF0548" w:rsidRDefault="00BF0548" w:rsidP="00BF0548"/>
    <w:p w14:paraId="46F3D489" w14:textId="77777777" w:rsidR="00BF0548" w:rsidRPr="00BF0548" w:rsidRDefault="00BF0548" w:rsidP="00BF0548"/>
    <w:p w14:paraId="132D6529" w14:textId="77777777" w:rsidR="00BF0548" w:rsidRPr="00BF0548" w:rsidRDefault="00BF0548" w:rsidP="00BF0548"/>
    <w:p w14:paraId="42C5EA6C" w14:textId="6BAD3593" w:rsidR="00BF0548" w:rsidRPr="00663957" w:rsidRDefault="00BF0548" w:rsidP="00DD4A16">
      <w:pPr>
        <w:rPr>
          <w:sz w:val="16"/>
          <w:szCs w:val="16"/>
        </w:rPr>
      </w:pPr>
    </w:p>
    <w:sectPr w:rsidR="00BF0548" w:rsidRPr="006639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65CE4" w14:textId="77777777" w:rsidR="00306A8E" w:rsidRDefault="00306A8E" w:rsidP="00306A8E">
      <w:pPr>
        <w:spacing w:after="0" w:line="240" w:lineRule="auto"/>
      </w:pPr>
      <w:r>
        <w:separator/>
      </w:r>
    </w:p>
  </w:endnote>
  <w:endnote w:type="continuationSeparator" w:id="0">
    <w:p w14:paraId="2CF27B96" w14:textId="77777777" w:rsidR="00306A8E" w:rsidRDefault="00306A8E" w:rsidP="00306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83C39" w14:textId="77777777" w:rsidR="00306A8E" w:rsidRDefault="00306A8E" w:rsidP="00306A8E">
      <w:pPr>
        <w:spacing w:after="0" w:line="240" w:lineRule="auto"/>
      </w:pPr>
      <w:r>
        <w:separator/>
      </w:r>
    </w:p>
  </w:footnote>
  <w:footnote w:type="continuationSeparator" w:id="0">
    <w:p w14:paraId="52A68E55" w14:textId="77777777" w:rsidR="00306A8E" w:rsidRDefault="00306A8E" w:rsidP="00306A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9" type="#_x0000_t75" style="width:11.25pt;height:11.25pt" o:bullet="t">
        <v:imagedata r:id="rId1" o:title="mso2C2F"/>
      </v:shape>
    </w:pict>
  </w:numPicBullet>
  <w:abstractNum w:abstractNumId="0" w15:restartNumberingAfterBreak="0">
    <w:nsid w:val="09041585"/>
    <w:multiLevelType w:val="hybridMultilevel"/>
    <w:tmpl w:val="3260F342"/>
    <w:lvl w:ilvl="0" w:tplc="08090007">
      <w:start w:val="1"/>
      <w:numFmt w:val="bullet"/>
      <w:lvlText w:val=""/>
      <w:lvlPicBulletId w:val="0"/>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 w15:restartNumberingAfterBreak="0">
    <w:nsid w:val="32080709"/>
    <w:multiLevelType w:val="hybridMultilevel"/>
    <w:tmpl w:val="AC5E1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9F06A9"/>
    <w:multiLevelType w:val="hybridMultilevel"/>
    <w:tmpl w:val="86981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0B14AA"/>
    <w:multiLevelType w:val="hybridMultilevel"/>
    <w:tmpl w:val="9A6ED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B65A36"/>
    <w:multiLevelType w:val="hybridMultilevel"/>
    <w:tmpl w:val="0AAA9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D1239C"/>
    <w:multiLevelType w:val="hybridMultilevel"/>
    <w:tmpl w:val="7B7E0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424BB"/>
    <w:multiLevelType w:val="hybridMultilevel"/>
    <w:tmpl w:val="F9025E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2851761">
    <w:abstractNumId w:val="0"/>
  </w:num>
  <w:num w:numId="2" w16cid:durableId="1069230442">
    <w:abstractNumId w:val="6"/>
  </w:num>
  <w:num w:numId="3" w16cid:durableId="358891526">
    <w:abstractNumId w:val="5"/>
  </w:num>
  <w:num w:numId="4" w16cid:durableId="1274939984">
    <w:abstractNumId w:val="4"/>
  </w:num>
  <w:num w:numId="5" w16cid:durableId="222758206">
    <w:abstractNumId w:val="1"/>
  </w:num>
  <w:num w:numId="6" w16cid:durableId="155650740">
    <w:abstractNumId w:val="3"/>
  </w:num>
  <w:num w:numId="7" w16cid:durableId="12639928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A16"/>
    <w:rsid w:val="00013861"/>
    <w:rsid w:val="00024264"/>
    <w:rsid w:val="00024AEB"/>
    <w:rsid w:val="00067EFE"/>
    <w:rsid w:val="00077FFE"/>
    <w:rsid w:val="00083118"/>
    <w:rsid w:val="00090D17"/>
    <w:rsid w:val="000A45DC"/>
    <w:rsid w:val="000B2510"/>
    <w:rsid w:val="000C2EA4"/>
    <w:rsid w:val="000C5A7E"/>
    <w:rsid w:val="000D60F5"/>
    <w:rsid w:val="000E2110"/>
    <w:rsid w:val="000E4C11"/>
    <w:rsid w:val="000F43B2"/>
    <w:rsid w:val="001014EA"/>
    <w:rsid w:val="00106864"/>
    <w:rsid w:val="00111D19"/>
    <w:rsid w:val="00121A7C"/>
    <w:rsid w:val="00123E86"/>
    <w:rsid w:val="001271EC"/>
    <w:rsid w:val="00135A8A"/>
    <w:rsid w:val="00136BFB"/>
    <w:rsid w:val="00151157"/>
    <w:rsid w:val="001542FF"/>
    <w:rsid w:val="00156646"/>
    <w:rsid w:val="00164019"/>
    <w:rsid w:val="00174558"/>
    <w:rsid w:val="00174B02"/>
    <w:rsid w:val="0017525F"/>
    <w:rsid w:val="00180562"/>
    <w:rsid w:val="00197E68"/>
    <w:rsid w:val="001C003C"/>
    <w:rsid w:val="001C4582"/>
    <w:rsid w:val="001C598A"/>
    <w:rsid w:val="001D0E84"/>
    <w:rsid w:val="001D12C3"/>
    <w:rsid w:val="00205913"/>
    <w:rsid w:val="00234491"/>
    <w:rsid w:val="00235037"/>
    <w:rsid w:val="00240132"/>
    <w:rsid w:val="00240B5F"/>
    <w:rsid w:val="00241EDE"/>
    <w:rsid w:val="002430C1"/>
    <w:rsid w:val="002452EC"/>
    <w:rsid w:val="0024633A"/>
    <w:rsid w:val="0024682F"/>
    <w:rsid w:val="00247761"/>
    <w:rsid w:val="00251C5C"/>
    <w:rsid w:val="00253F15"/>
    <w:rsid w:val="00254541"/>
    <w:rsid w:val="0025772B"/>
    <w:rsid w:val="002603BC"/>
    <w:rsid w:val="002637F1"/>
    <w:rsid w:val="0026704E"/>
    <w:rsid w:val="00274D6C"/>
    <w:rsid w:val="00275CD0"/>
    <w:rsid w:val="00290954"/>
    <w:rsid w:val="002914A2"/>
    <w:rsid w:val="002A12B9"/>
    <w:rsid w:val="002A3D30"/>
    <w:rsid w:val="002A6515"/>
    <w:rsid w:val="002B55DA"/>
    <w:rsid w:val="002B7D4F"/>
    <w:rsid w:val="002C0E5A"/>
    <w:rsid w:val="002C33F8"/>
    <w:rsid w:val="002C6EBF"/>
    <w:rsid w:val="002E0D66"/>
    <w:rsid w:val="002F238C"/>
    <w:rsid w:val="00301E60"/>
    <w:rsid w:val="00303F87"/>
    <w:rsid w:val="00304EA3"/>
    <w:rsid w:val="00306A8E"/>
    <w:rsid w:val="00311CB2"/>
    <w:rsid w:val="00312599"/>
    <w:rsid w:val="003148B5"/>
    <w:rsid w:val="003236BD"/>
    <w:rsid w:val="00323F06"/>
    <w:rsid w:val="00337D9D"/>
    <w:rsid w:val="00352719"/>
    <w:rsid w:val="00360312"/>
    <w:rsid w:val="003617D4"/>
    <w:rsid w:val="00365F9F"/>
    <w:rsid w:val="003670D8"/>
    <w:rsid w:val="00370C49"/>
    <w:rsid w:val="00392A2A"/>
    <w:rsid w:val="00393DF4"/>
    <w:rsid w:val="003C647C"/>
    <w:rsid w:val="003E35A9"/>
    <w:rsid w:val="003E7124"/>
    <w:rsid w:val="003F4ED2"/>
    <w:rsid w:val="003F730F"/>
    <w:rsid w:val="00400A9E"/>
    <w:rsid w:val="00402A15"/>
    <w:rsid w:val="00413164"/>
    <w:rsid w:val="0042425B"/>
    <w:rsid w:val="00425698"/>
    <w:rsid w:val="00427335"/>
    <w:rsid w:val="00431770"/>
    <w:rsid w:val="004344B8"/>
    <w:rsid w:val="00437D78"/>
    <w:rsid w:val="00454C04"/>
    <w:rsid w:val="00467BC1"/>
    <w:rsid w:val="00485F8A"/>
    <w:rsid w:val="004A48DF"/>
    <w:rsid w:val="004A5684"/>
    <w:rsid w:val="004C1AFB"/>
    <w:rsid w:val="004D5406"/>
    <w:rsid w:val="004D5616"/>
    <w:rsid w:val="004E63B5"/>
    <w:rsid w:val="004E6ABE"/>
    <w:rsid w:val="004F0351"/>
    <w:rsid w:val="004F1EFA"/>
    <w:rsid w:val="004F600A"/>
    <w:rsid w:val="0050475C"/>
    <w:rsid w:val="005169B6"/>
    <w:rsid w:val="005267DE"/>
    <w:rsid w:val="00527A94"/>
    <w:rsid w:val="0053041F"/>
    <w:rsid w:val="00542076"/>
    <w:rsid w:val="00547977"/>
    <w:rsid w:val="00554657"/>
    <w:rsid w:val="00554E00"/>
    <w:rsid w:val="005622BF"/>
    <w:rsid w:val="005748A5"/>
    <w:rsid w:val="0059075A"/>
    <w:rsid w:val="005A1324"/>
    <w:rsid w:val="005A37AE"/>
    <w:rsid w:val="005B6E4D"/>
    <w:rsid w:val="005C0F4F"/>
    <w:rsid w:val="005C1E34"/>
    <w:rsid w:val="005D0BB6"/>
    <w:rsid w:val="005D2ED5"/>
    <w:rsid w:val="005F3CF4"/>
    <w:rsid w:val="00603F9A"/>
    <w:rsid w:val="0061608E"/>
    <w:rsid w:val="00616F50"/>
    <w:rsid w:val="00620A4A"/>
    <w:rsid w:val="006224AB"/>
    <w:rsid w:val="00630893"/>
    <w:rsid w:val="006315A0"/>
    <w:rsid w:val="00635000"/>
    <w:rsid w:val="006416B4"/>
    <w:rsid w:val="00642D1D"/>
    <w:rsid w:val="006630C7"/>
    <w:rsid w:val="00663957"/>
    <w:rsid w:val="0067206B"/>
    <w:rsid w:val="00672295"/>
    <w:rsid w:val="006738D2"/>
    <w:rsid w:val="00674FA0"/>
    <w:rsid w:val="00682BFC"/>
    <w:rsid w:val="00682CCD"/>
    <w:rsid w:val="00694488"/>
    <w:rsid w:val="006A2E4F"/>
    <w:rsid w:val="006A522B"/>
    <w:rsid w:val="006A6EB8"/>
    <w:rsid w:val="006A7288"/>
    <w:rsid w:val="006B208B"/>
    <w:rsid w:val="006B6C45"/>
    <w:rsid w:val="006C0E36"/>
    <w:rsid w:val="006E1A60"/>
    <w:rsid w:val="006E36ED"/>
    <w:rsid w:val="006E5194"/>
    <w:rsid w:val="00712234"/>
    <w:rsid w:val="00712A0E"/>
    <w:rsid w:val="00714725"/>
    <w:rsid w:val="00716C3A"/>
    <w:rsid w:val="0073118A"/>
    <w:rsid w:val="007435BC"/>
    <w:rsid w:val="007455CB"/>
    <w:rsid w:val="00745E2C"/>
    <w:rsid w:val="00762E86"/>
    <w:rsid w:val="007633B1"/>
    <w:rsid w:val="00763A5D"/>
    <w:rsid w:val="0076720A"/>
    <w:rsid w:val="00770743"/>
    <w:rsid w:val="007739AF"/>
    <w:rsid w:val="00776A7F"/>
    <w:rsid w:val="00786ECB"/>
    <w:rsid w:val="007871B5"/>
    <w:rsid w:val="007A0FD5"/>
    <w:rsid w:val="007A1EDB"/>
    <w:rsid w:val="007A5FE8"/>
    <w:rsid w:val="007A6CD3"/>
    <w:rsid w:val="007B07CC"/>
    <w:rsid w:val="007B1CD0"/>
    <w:rsid w:val="007B3CD9"/>
    <w:rsid w:val="007B4F86"/>
    <w:rsid w:val="007E4DAA"/>
    <w:rsid w:val="007F3702"/>
    <w:rsid w:val="007F3815"/>
    <w:rsid w:val="008151AE"/>
    <w:rsid w:val="008466F3"/>
    <w:rsid w:val="00851178"/>
    <w:rsid w:val="0088014D"/>
    <w:rsid w:val="00882B9E"/>
    <w:rsid w:val="00885731"/>
    <w:rsid w:val="008976F7"/>
    <w:rsid w:val="008A0F7F"/>
    <w:rsid w:val="008A6A64"/>
    <w:rsid w:val="008B421A"/>
    <w:rsid w:val="008D174E"/>
    <w:rsid w:val="008D1B7A"/>
    <w:rsid w:val="008D77E2"/>
    <w:rsid w:val="008F5A02"/>
    <w:rsid w:val="008F66FA"/>
    <w:rsid w:val="008F7C1D"/>
    <w:rsid w:val="00900BB2"/>
    <w:rsid w:val="009103BE"/>
    <w:rsid w:val="00914F16"/>
    <w:rsid w:val="00915339"/>
    <w:rsid w:val="009179DC"/>
    <w:rsid w:val="009307EA"/>
    <w:rsid w:val="009311B8"/>
    <w:rsid w:val="00952DD6"/>
    <w:rsid w:val="00953A3B"/>
    <w:rsid w:val="009564A2"/>
    <w:rsid w:val="00962FC6"/>
    <w:rsid w:val="00974813"/>
    <w:rsid w:val="009821B6"/>
    <w:rsid w:val="00990772"/>
    <w:rsid w:val="009914BA"/>
    <w:rsid w:val="009974C0"/>
    <w:rsid w:val="00997E3F"/>
    <w:rsid w:val="009A3319"/>
    <w:rsid w:val="009A596A"/>
    <w:rsid w:val="009A5A16"/>
    <w:rsid w:val="009B296E"/>
    <w:rsid w:val="009B4202"/>
    <w:rsid w:val="009B6967"/>
    <w:rsid w:val="009C7DC6"/>
    <w:rsid w:val="009E2EA3"/>
    <w:rsid w:val="009F23D7"/>
    <w:rsid w:val="00A027A0"/>
    <w:rsid w:val="00A04BC4"/>
    <w:rsid w:val="00A07843"/>
    <w:rsid w:val="00A44016"/>
    <w:rsid w:val="00A50660"/>
    <w:rsid w:val="00A511D6"/>
    <w:rsid w:val="00A52D02"/>
    <w:rsid w:val="00A639CB"/>
    <w:rsid w:val="00A65216"/>
    <w:rsid w:val="00A762CE"/>
    <w:rsid w:val="00A92E07"/>
    <w:rsid w:val="00A938B7"/>
    <w:rsid w:val="00A95EAE"/>
    <w:rsid w:val="00AA46B5"/>
    <w:rsid w:val="00AB0DB4"/>
    <w:rsid w:val="00AC359E"/>
    <w:rsid w:val="00AC5203"/>
    <w:rsid w:val="00AD1BB5"/>
    <w:rsid w:val="00AD4A99"/>
    <w:rsid w:val="00AD4BE3"/>
    <w:rsid w:val="00AD6255"/>
    <w:rsid w:val="00AF0735"/>
    <w:rsid w:val="00AF6BCE"/>
    <w:rsid w:val="00B033FD"/>
    <w:rsid w:val="00B0658B"/>
    <w:rsid w:val="00B1621A"/>
    <w:rsid w:val="00B21365"/>
    <w:rsid w:val="00B23841"/>
    <w:rsid w:val="00B23AF9"/>
    <w:rsid w:val="00B264D6"/>
    <w:rsid w:val="00B3786F"/>
    <w:rsid w:val="00B4370A"/>
    <w:rsid w:val="00B4773B"/>
    <w:rsid w:val="00B61194"/>
    <w:rsid w:val="00B6740F"/>
    <w:rsid w:val="00B67B01"/>
    <w:rsid w:val="00B70D33"/>
    <w:rsid w:val="00B7313A"/>
    <w:rsid w:val="00B753AB"/>
    <w:rsid w:val="00B81632"/>
    <w:rsid w:val="00BA58A3"/>
    <w:rsid w:val="00BA64D8"/>
    <w:rsid w:val="00BA74B1"/>
    <w:rsid w:val="00BB0684"/>
    <w:rsid w:val="00BB5A7A"/>
    <w:rsid w:val="00BC349E"/>
    <w:rsid w:val="00BF0548"/>
    <w:rsid w:val="00BF3376"/>
    <w:rsid w:val="00C03B02"/>
    <w:rsid w:val="00C13406"/>
    <w:rsid w:val="00C15EEE"/>
    <w:rsid w:val="00C2425F"/>
    <w:rsid w:val="00C50D23"/>
    <w:rsid w:val="00C55241"/>
    <w:rsid w:val="00C71CF5"/>
    <w:rsid w:val="00C75705"/>
    <w:rsid w:val="00C87B88"/>
    <w:rsid w:val="00CA270A"/>
    <w:rsid w:val="00CB31EE"/>
    <w:rsid w:val="00CE43E3"/>
    <w:rsid w:val="00CF3AEF"/>
    <w:rsid w:val="00D0275F"/>
    <w:rsid w:val="00D11AA9"/>
    <w:rsid w:val="00D17B4E"/>
    <w:rsid w:val="00D21AB5"/>
    <w:rsid w:val="00D25EF4"/>
    <w:rsid w:val="00D4044D"/>
    <w:rsid w:val="00D43CF7"/>
    <w:rsid w:val="00D44E73"/>
    <w:rsid w:val="00D515D3"/>
    <w:rsid w:val="00D66C9B"/>
    <w:rsid w:val="00D70F33"/>
    <w:rsid w:val="00D742D0"/>
    <w:rsid w:val="00D82C9F"/>
    <w:rsid w:val="00DA1E27"/>
    <w:rsid w:val="00DB20CD"/>
    <w:rsid w:val="00DB31C1"/>
    <w:rsid w:val="00DC54D8"/>
    <w:rsid w:val="00DD4A16"/>
    <w:rsid w:val="00DE14A5"/>
    <w:rsid w:val="00DF1A61"/>
    <w:rsid w:val="00E01504"/>
    <w:rsid w:val="00E04339"/>
    <w:rsid w:val="00E20ECB"/>
    <w:rsid w:val="00E24B90"/>
    <w:rsid w:val="00E252D3"/>
    <w:rsid w:val="00E3057F"/>
    <w:rsid w:val="00E52BEC"/>
    <w:rsid w:val="00E53B63"/>
    <w:rsid w:val="00E56539"/>
    <w:rsid w:val="00E571F4"/>
    <w:rsid w:val="00E61575"/>
    <w:rsid w:val="00E64A3F"/>
    <w:rsid w:val="00E6513B"/>
    <w:rsid w:val="00E724FD"/>
    <w:rsid w:val="00E7415E"/>
    <w:rsid w:val="00E745F4"/>
    <w:rsid w:val="00E76074"/>
    <w:rsid w:val="00E770AA"/>
    <w:rsid w:val="00E77EAF"/>
    <w:rsid w:val="00E87342"/>
    <w:rsid w:val="00E8787C"/>
    <w:rsid w:val="00EA065F"/>
    <w:rsid w:val="00EB0E23"/>
    <w:rsid w:val="00EB6F55"/>
    <w:rsid w:val="00EC0A89"/>
    <w:rsid w:val="00EC14E6"/>
    <w:rsid w:val="00EC374F"/>
    <w:rsid w:val="00F0342B"/>
    <w:rsid w:val="00F10C1D"/>
    <w:rsid w:val="00F25164"/>
    <w:rsid w:val="00F4007D"/>
    <w:rsid w:val="00F432DC"/>
    <w:rsid w:val="00F64801"/>
    <w:rsid w:val="00F74AD0"/>
    <w:rsid w:val="00F80130"/>
    <w:rsid w:val="00F85451"/>
    <w:rsid w:val="00F91454"/>
    <w:rsid w:val="00F918D1"/>
    <w:rsid w:val="00FA185A"/>
    <w:rsid w:val="00FA219E"/>
    <w:rsid w:val="00FC486D"/>
    <w:rsid w:val="00FC48FC"/>
    <w:rsid w:val="00FC50D4"/>
    <w:rsid w:val="00FD585F"/>
    <w:rsid w:val="00FD6C14"/>
    <w:rsid w:val="00FE2FF6"/>
    <w:rsid w:val="00FF5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99019F7"/>
  <w15:chartTrackingRefBased/>
  <w15:docId w15:val="{9E5D2C83-2F99-4835-BC8E-9B506435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0351"/>
    <w:rPr>
      <w:color w:val="0563C1" w:themeColor="hyperlink"/>
      <w:u w:val="single"/>
    </w:rPr>
  </w:style>
  <w:style w:type="character" w:styleId="UnresolvedMention">
    <w:name w:val="Unresolved Mention"/>
    <w:basedOn w:val="DefaultParagraphFont"/>
    <w:uiPriority w:val="99"/>
    <w:semiHidden/>
    <w:unhideWhenUsed/>
    <w:rsid w:val="004F0351"/>
    <w:rPr>
      <w:color w:val="605E5C"/>
      <w:shd w:val="clear" w:color="auto" w:fill="E1DFDD"/>
    </w:rPr>
  </w:style>
  <w:style w:type="paragraph" w:styleId="ListParagraph">
    <w:name w:val="List Paragraph"/>
    <w:basedOn w:val="Normal"/>
    <w:uiPriority w:val="34"/>
    <w:qFormat/>
    <w:rsid w:val="00962FC6"/>
    <w:pPr>
      <w:ind w:left="720"/>
      <w:contextualSpacing/>
    </w:pPr>
  </w:style>
  <w:style w:type="paragraph" w:styleId="NoSpacing">
    <w:name w:val="No Spacing"/>
    <w:uiPriority w:val="1"/>
    <w:qFormat/>
    <w:rsid w:val="00682CCD"/>
    <w:pPr>
      <w:spacing w:after="0" w:line="240" w:lineRule="auto"/>
    </w:pPr>
  </w:style>
  <w:style w:type="paragraph" w:styleId="Header">
    <w:name w:val="header"/>
    <w:basedOn w:val="Normal"/>
    <w:link w:val="HeaderChar"/>
    <w:uiPriority w:val="99"/>
    <w:unhideWhenUsed/>
    <w:rsid w:val="00306A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A8E"/>
  </w:style>
  <w:style w:type="paragraph" w:styleId="Footer">
    <w:name w:val="footer"/>
    <w:basedOn w:val="Normal"/>
    <w:link w:val="FooterChar"/>
    <w:uiPriority w:val="99"/>
    <w:unhideWhenUsed/>
    <w:rsid w:val="00306A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A8E"/>
  </w:style>
  <w:style w:type="character" w:styleId="Emphasis">
    <w:name w:val="Emphasis"/>
    <w:basedOn w:val="DefaultParagraphFont"/>
    <w:uiPriority w:val="20"/>
    <w:qFormat/>
    <w:rsid w:val="002452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339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outhwalescommissioner.org.uk/wp-content/uploads/2024/02/crp005-crime-plan-202327-final.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11/13/section/34/enacte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yvcommissio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populationandmigration/populationestimates/articles/ukpopulationpyramidinteractive/2020-01-08" TargetMode="External"/><Relationship Id="rId5" Type="http://schemas.openxmlformats.org/officeDocument/2006/relationships/webSettings" Target="webSettings.xml"/><Relationship Id="rId15" Type="http://schemas.openxmlformats.org/officeDocument/2006/relationships/hyperlink" Target="https://www.college.police.uk/app/investigation/investigative-interviewing/investigative-interviewing" TargetMode="Externa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simplypsychology.org/cognitive-interview.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4117D8-C8C6-43A0-AE1D-027785492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16</Pages>
  <Words>5774</Words>
  <Characters>32913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Wells,Mark swp8488</dc:creator>
  <cp:keywords/>
  <dc:description/>
  <cp:lastModifiedBy>Wells,Mark swp8488</cp:lastModifiedBy>
  <cp:revision>12</cp:revision>
  <dcterms:created xsi:type="dcterms:W3CDTF">2024-05-27T08:30:00Z</dcterms:created>
  <dcterms:modified xsi:type="dcterms:W3CDTF">2024-05-27T16:37:00Z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2024-03-13T12:46:39Z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fc20782e-64fe-4a23-9e54-4c9a757e3f81</vt:lpwstr>
  </property>
  <property fmtid="{D5CDD505-2E9C-101B-9397-08002B2CF9AE}" pid="8" name="MSIP_Label_66cf8fe5-b7b7-4df7-b38d-1c61ac2f6639_ContentBits">
    <vt:lpwstr>0</vt:lpwstr>
  </property>
</Properties>
</file>