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2716F8" w14:textId="77777777" w:rsidR="00B83FA0" w:rsidRPr="00552376" w:rsidRDefault="00B83FA0" w:rsidP="00637015">
      <w:pPr>
        <w:spacing w:line="360" w:lineRule="auto"/>
        <w:jc w:val="center"/>
        <w:rPr>
          <w:rFonts w:ascii="Arial" w:hAnsi="Arial" w:cs="Arial"/>
          <w:b/>
        </w:rPr>
      </w:pPr>
      <w:r w:rsidRPr="00552376">
        <w:rPr>
          <w:rFonts w:ascii="Arial" w:hAnsi="Arial" w:cs="Arial"/>
          <w:b/>
        </w:rPr>
        <w:t>Leadership and women empowerment in the Front Office and Hotel Administration</w:t>
      </w:r>
    </w:p>
    <w:p w14:paraId="18A8EBAF" w14:textId="77777777" w:rsidR="00B83FA0" w:rsidRPr="00552376" w:rsidRDefault="00B83FA0" w:rsidP="00B83FA0">
      <w:pPr>
        <w:spacing w:line="360" w:lineRule="auto"/>
        <w:jc w:val="both"/>
        <w:rPr>
          <w:rFonts w:ascii="Arial" w:hAnsi="Arial" w:cs="Arial"/>
          <w:b/>
          <w:bCs/>
        </w:rPr>
      </w:pPr>
    </w:p>
    <w:p w14:paraId="236645E8" w14:textId="77777777" w:rsidR="00B83FA0" w:rsidRPr="00552376" w:rsidRDefault="00B83FA0" w:rsidP="00B83FA0">
      <w:pPr>
        <w:spacing w:line="360" w:lineRule="auto"/>
        <w:jc w:val="both"/>
        <w:rPr>
          <w:rFonts w:ascii="Arial" w:hAnsi="Arial" w:cs="Arial"/>
          <w:b/>
          <w:bCs/>
        </w:rPr>
      </w:pPr>
    </w:p>
    <w:p w14:paraId="1E3FC1FE" w14:textId="77777777" w:rsidR="00437F08" w:rsidRPr="00552376" w:rsidRDefault="00437F08" w:rsidP="00437F08">
      <w:pPr>
        <w:jc w:val="center"/>
        <w:rPr>
          <w:rFonts w:ascii="Arial" w:hAnsi="Arial" w:cs="Arial"/>
          <w:b/>
          <w:bCs/>
        </w:rPr>
      </w:pPr>
      <w:r w:rsidRPr="00552376">
        <w:rPr>
          <w:rFonts w:ascii="Arial" w:hAnsi="Arial" w:cs="Arial"/>
          <w:b/>
          <w:bCs/>
        </w:rPr>
        <w:t>Student name: Bianca Stefania Postelnicu</w:t>
      </w:r>
    </w:p>
    <w:p w14:paraId="0F01DD15" w14:textId="77777777" w:rsidR="00437F08" w:rsidRPr="00552376" w:rsidRDefault="00437F08" w:rsidP="00437F08">
      <w:pPr>
        <w:jc w:val="center"/>
        <w:rPr>
          <w:rFonts w:ascii="Arial" w:hAnsi="Arial" w:cs="Arial"/>
          <w:b/>
          <w:bCs/>
        </w:rPr>
      </w:pPr>
    </w:p>
    <w:p w14:paraId="558B1DC2" w14:textId="77777777" w:rsidR="00437F08" w:rsidRPr="00552376" w:rsidRDefault="00437F08" w:rsidP="00437F08">
      <w:pPr>
        <w:jc w:val="center"/>
        <w:rPr>
          <w:rFonts w:ascii="Arial" w:hAnsi="Arial" w:cs="Arial"/>
          <w:b/>
          <w:bCs/>
        </w:rPr>
      </w:pPr>
      <w:bookmarkStart w:id="0" w:name="_Toc158730980"/>
      <w:r w:rsidRPr="00552376">
        <w:rPr>
          <w:rFonts w:ascii="Arial" w:hAnsi="Arial" w:cs="Arial"/>
          <w:b/>
          <w:bCs/>
        </w:rPr>
        <w:t>Student number:</w:t>
      </w:r>
      <w:bookmarkEnd w:id="0"/>
      <w:r w:rsidRPr="00552376">
        <w:rPr>
          <w:rFonts w:ascii="Arial" w:hAnsi="Arial" w:cs="Arial"/>
          <w:b/>
          <w:bCs/>
        </w:rPr>
        <w:t xml:space="preserve"> 2223852</w:t>
      </w:r>
    </w:p>
    <w:p w14:paraId="55017EFB" w14:textId="77777777" w:rsidR="00437F08" w:rsidRPr="00552376" w:rsidRDefault="00437F08" w:rsidP="00437F08">
      <w:pPr>
        <w:jc w:val="center"/>
        <w:rPr>
          <w:rFonts w:ascii="Arial" w:hAnsi="Arial" w:cs="Arial"/>
          <w:b/>
          <w:bCs/>
        </w:rPr>
      </w:pPr>
    </w:p>
    <w:p w14:paraId="3571456A" w14:textId="77777777" w:rsidR="00437F08" w:rsidRPr="00552376" w:rsidRDefault="00437F08" w:rsidP="00437F08">
      <w:pPr>
        <w:jc w:val="center"/>
        <w:rPr>
          <w:rFonts w:ascii="Arial" w:hAnsi="Arial" w:cs="Arial"/>
          <w:b/>
          <w:bCs/>
        </w:rPr>
      </w:pPr>
      <w:bookmarkStart w:id="1" w:name="_Toc158730981"/>
      <w:r w:rsidRPr="00552376">
        <w:rPr>
          <w:rFonts w:ascii="Arial" w:hAnsi="Arial" w:cs="Arial"/>
          <w:b/>
          <w:bCs/>
        </w:rPr>
        <w:t>Programmes:</w:t>
      </w:r>
      <w:bookmarkEnd w:id="1"/>
    </w:p>
    <w:p w14:paraId="5580D25E" w14:textId="77777777" w:rsidR="00437F08" w:rsidRPr="00552376" w:rsidRDefault="00437F08" w:rsidP="00437F08">
      <w:pPr>
        <w:jc w:val="center"/>
        <w:rPr>
          <w:rFonts w:ascii="Arial" w:hAnsi="Arial" w:cs="Arial"/>
          <w:b/>
          <w:bCs/>
        </w:rPr>
      </w:pPr>
      <w:bookmarkStart w:id="2" w:name="_Toc158730982"/>
      <w:r w:rsidRPr="00552376">
        <w:rPr>
          <w:rFonts w:ascii="Arial" w:hAnsi="Arial" w:cs="Arial"/>
          <w:b/>
          <w:bCs/>
        </w:rPr>
        <w:t>BA (Hons) International Hotel Management</w:t>
      </w:r>
      <w:bookmarkEnd w:id="2"/>
    </w:p>
    <w:p w14:paraId="4A133857" w14:textId="77777777" w:rsidR="00437F08" w:rsidRPr="00552376" w:rsidRDefault="00437F08" w:rsidP="00437F08">
      <w:pPr>
        <w:jc w:val="center"/>
        <w:rPr>
          <w:rFonts w:ascii="Arial" w:hAnsi="Arial" w:cs="Arial"/>
          <w:b/>
          <w:bCs/>
        </w:rPr>
      </w:pPr>
    </w:p>
    <w:p w14:paraId="5E65336D" w14:textId="04726714" w:rsidR="00437F08" w:rsidRPr="00552376" w:rsidRDefault="00437F08" w:rsidP="00437F08">
      <w:pPr>
        <w:jc w:val="center"/>
        <w:rPr>
          <w:rFonts w:ascii="Arial" w:hAnsi="Arial" w:cs="Arial"/>
          <w:b/>
          <w:bCs/>
        </w:rPr>
      </w:pPr>
      <w:r w:rsidRPr="00552376">
        <w:rPr>
          <w:rFonts w:ascii="Arial" w:hAnsi="Arial" w:cs="Arial"/>
          <w:b/>
          <w:bCs/>
        </w:rPr>
        <w:t>Module title: Hotel Placement Research Project</w:t>
      </w:r>
    </w:p>
    <w:p w14:paraId="6B72C3EC" w14:textId="77777777" w:rsidR="00437F08" w:rsidRPr="00552376" w:rsidRDefault="00437F08" w:rsidP="00437F08">
      <w:pPr>
        <w:jc w:val="center"/>
        <w:rPr>
          <w:rFonts w:ascii="Arial" w:hAnsi="Arial" w:cs="Arial"/>
          <w:b/>
          <w:bCs/>
        </w:rPr>
      </w:pPr>
    </w:p>
    <w:p w14:paraId="2CD32115" w14:textId="713FD230" w:rsidR="00437F08" w:rsidRPr="00552376" w:rsidRDefault="00437F08" w:rsidP="00437F08">
      <w:pPr>
        <w:jc w:val="center"/>
        <w:rPr>
          <w:rFonts w:ascii="Arial" w:hAnsi="Arial" w:cs="Arial"/>
          <w:b/>
          <w:bCs/>
        </w:rPr>
      </w:pPr>
      <w:r w:rsidRPr="00552376">
        <w:rPr>
          <w:rFonts w:ascii="Arial" w:hAnsi="Arial" w:cs="Arial"/>
          <w:b/>
          <w:bCs/>
        </w:rPr>
        <w:t>Module code: BMIH6008</w:t>
      </w:r>
    </w:p>
    <w:p w14:paraId="3AA8EF48" w14:textId="77777777" w:rsidR="00437F08" w:rsidRPr="00552376" w:rsidRDefault="00437F08" w:rsidP="00437F08">
      <w:pPr>
        <w:jc w:val="center"/>
        <w:rPr>
          <w:rFonts w:ascii="Arial" w:hAnsi="Arial" w:cs="Arial"/>
          <w:b/>
          <w:bCs/>
        </w:rPr>
      </w:pPr>
      <w:bookmarkStart w:id="3" w:name="_Toc158730987"/>
    </w:p>
    <w:p w14:paraId="7DF07006" w14:textId="073C6799" w:rsidR="00437F08" w:rsidRPr="00552376" w:rsidRDefault="00437F08" w:rsidP="00437F08">
      <w:pPr>
        <w:jc w:val="center"/>
        <w:rPr>
          <w:rFonts w:ascii="Arial" w:hAnsi="Arial" w:cs="Arial"/>
          <w:b/>
          <w:bCs/>
        </w:rPr>
      </w:pPr>
      <w:r w:rsidRPr="00552376">
        <w:rPr>
          <w:rFonts w:ascii="Arial" w:hAnsi="Arial" w:cs="Arial"/>
          <w:b/>
          <w:bCs/>
        </w:rPr>
        <w:t>Lecturer:</w:t>
      </w:r>
      <w:bookmarkEnd w:id="3"/>
      <w:r w:rsidRPr="00552376">
        <w:rPr>
          <w:rFonts w:ascii="Arial" w:hAnsi="Arial" w:cs="Arial"/>
          <w:b/>
          <w:bCs/>
        </w:rPr>
        <w:t xml:space="preserve"> Ben Ka Po Chong </w:t>
      </w:r>
    </w:p>
    <w:p w14:paraId="2594AB00" w14:textId="77777777" w:rsidR="00B83FA0" w:rsidRPr="00552376" w:rsidRDefault="00B83FA0" w:rsidP="00B83FA0">
      <w:pPr>
        <w:spacing w:line="360" w:lineRule="auto"/>
        <w:jc w:val="both"/>
        <w:rPr>
          <w:rFonts w:ascii="Arial" w:hAnsi="Arial" w:cs="Arial"/>
          <w:b/>
          <w:bCs/>
        </w:rPr>
      </w:pPr>
    </w:p>
    <w:p w14:paraId="5370F10C" w14:textId="77777777" w:rsidR="00B83FA0" w:rsidRPr="00552376" w:rsidRDefault="00B83FA0" w:rsidP="00B83FA0">
      <w:pPr>
        <w:spacing w:line="360" w:lineRule="auto"/>
        <w:jc w:val="both"/>
        <w:rPr>
          <w:rFonts w:ascii="Arial" w:hAnsi="Arial" w:cs="Arial"/>
          <w:b/>
          <w:bCs/>
        </w:rPr>
      </w:pPr>
    </w:p>
    <w:p w14:paraId="2EDC2F3B" w14:textId="77777777" w:rsidR="00B83FA0" w:rsidRPr="00552376" w:rsidRDefault="00B83FA0" w:rsidP="00B83FA0">
      <w:pPr>
        <w:spacing w:line="360" w:lineRule="auto"/>
        <w:jc w:val="both"/>
        <w:rPr>
          <w:rFonts w:ascii="Arial" w:hAnsi="Arial" w:cs="Arial"/>
          <w:b/>
          <w:bCs/>
        </w:rPr>
      </w:pPr>
    </w:p>
    <w:p w14:paraId="500CA40E" w14:textId="77777777" w:rsidR="00B83FA0" w:rsidRPr="00552376" w:rsidRDefault="00B83FA0" w:rsidP="00B83FA0">
      <w:pPr>
        <w:spacing w:line="360" w:lineRule="auto"/>
        <w:jc w:val="both"/>
        <w:rPr>
          <w:rFonts w:ascii="Arial" w:hAnsi="Arial" w:cs="Arial"/>
          <w:b/>
          <w:bCs/>
        </w:rPr>
      </w:pPr>
    </w:p>
    <w:p w14:paraId="0FFE7AB7" w14:textId="77777777" w:rsidR="00B83FA0" w:rsidRPr="00552376" w:rsidRDefault="00B83FA0" w:rsidP="00B83FA0">
      <w:pPr>
        <w:spacing w:line="360" w:lineRule="auto"/>
        <w:jc w:val="both"/>
        <w:rPr>
          <w:rFonts w:ascii="Arial" w:hAnsi="Arial" w:cs="Arial"/>
          <w:b/>
          <w:bCs/>
        </w:rPr>
      </w:pPr>
    </w:p>
    <w:p w14:paraId="30B678DA" w14:textId="77777777" w:rsidR="00B83FA0" w:rsidRPr="00552376" w:rsidRDefault="00B83FA0" w:rsidP="00B83FA0">
      <w:pPr>
        <w:spacing w:line="360" w:lineRule="auto"/>
        <w:jc w:val="both"/>
        <w:rPr>
          <w:rFonts w:ascii="Arial" w:hAnsi="Arial" w:cs="Arial"/>
          <w:b/>
          <w:bCs/>
        </w:rPr>
      </w:pPr>
    </w:p>
    <w:p w14:paraId="48327588" w14:textId="77777777" w:rsidR="00B83FA0" w:rsidRPr="00552376" w:rsidRDefault="00B83FA0" w:rsidP="00B83FA0">
      <w:pPr>
        <w:spacing w:line="360" w:lineRule="auto"/>
        <w:jc w:val="both"/>
        <w:rPr>
          <w:rFonts w:ascii="Arial" w:hAnsi="Arial" w:cs="Arial"/>
          <w:b/>
          <w:bCs/>
        </w:rPr>
      </w:pPr>
    </w:p>
    <w:p w14:paraId="54974E0D" w14:textId="77777777" w:rsidR="002D4708" w:rsidRPr="00552376" w:rsidRDefault="002D4708" w:rsidP="00B83FA0">
      <w:pPr>
        <w:spacing w:line="360" w:lineRule="auto"/>
        <w:jc w:val="both"/>
        <w:rPr>
          <w:rFonts w:ascii="Arial" w:hAnsi="Arial" w:cs="Arial"/>
          <w:b/>
          <w:bCs/>
        </w:rPr>
      </w:pPr>
    </w:p>
    <w:p w14:paraId="52D3B44D" w14:textId="77777777" w:rsidR="00B83FA0" w:rsidRPr="00552376" w:rsidRDefault="00B83FA0" w:rsidP="00B83FA0">
      <w:pPr>
        <w:spacing w:line="360" w:lineRule="auto"/>
        <w:jc w:val="both"/>
        <w:rPr>
          <w:rFonts w:ascii="Arial" w:hAnsi="Arial" w:cs="Arial"/>
          <w:b/>
          <w:bCs/>
        </w:rPr>
      </w:pPr>
    </w:p>
    <w:p w14:paraId="2338D569" w14:textId="77777777" w:rsidR="00552376" w:rsidRDefault="00552376" w:rsidP="00B83FA0">
      <w:pPr>
        <w:spacing w:line="360" w:lineRule="auto"/>
        <w:jc w:val="both"/>
        <w:rPr>
          <w:rFonts w:ascii="Arial" w:hAnsi="Arial" w:cs="Arial"/>
          <w:b/>
          <w:bCs/>
        </w:rPr>
      </w:pPr>
    </w:p>
    <w:p w14:paraId="38D56744" w14:textId="77777777" w:rsidR="00552376" w:rsidRDefault="00552376" w:rsidP="00B83FA0">
      <w:pPr>
        <w:spacing w:line="360" w:lineRule="auto"/>
        <w:jc w:val="both"/>
        <w:rPr>
          <w:rFonts w:ascii="Arial" w:hAnsi="Arial" w:cs="Arial"/>
          <w:b/>
          <w:bCs/>
        </w:rPr>
      </w:pPr>
    </w:p>
    <w:p w14:paraId="1EB8DC45" w14:textId="565FEB5E" w:rsidR="00B83FA0" w:rsidRPr="00552376" w:rsidRDefault="00B83FA0" w:rsidP="00B83FA0">
      <w:pPr>
        <w:spacing w:line="360" w:lineRule="auto"/>
        <w:jc w:val="both"/>
        <w:rPr>
          <w:rFonts w:ascii="Arial" w:hAnsi="Arial" w:cs="Arial"/>
          <w:b/>
          <w:bCs/>
        </w:rPr>
      </w:pPr>
      <w:r w:rsidRPr="00552376">
        <w:rPr>
          <w:rFonts w:ascii="Arial" w:hAnsi="Arial" w:cs="Arial"/>
          <w:b/>
          <w:bCs/>
        </w:rPr>
        <w:lastRenderedPageBreak/>
        <w:t>Abstract</w:t>
      </w:r>
    </w:p>
    <w:p w14:paraId="34E704EE" w14:textId="77777777" w:rsidR="00B83FA0" w:rsidRPr="00552376" w:rsidRDefault="00B83FA0" w:rsidP="00B83FA0">
      <w:pPr>
        <w:spacing w:line="360" w:lineRule="auto"/>
        <w:jc w:val="both"/>
        <w:rPr>
          <w:rFonts w:ascii="Arial" w:hAnsi="Arial" w:cs="Arial"/>
        </w:rPr>
      </w:pPr>
      <w:r w:rsidRPr="00552376">
        <w:rPr>
          <w:rFonts w:ascii="Arial" w:hAnsi="Arial" w:cs="Arial"/>
          <w:b/>
          <w:bCs/>
        </w:rPr>
        <w:t>Context</w:t>
      </w:r>
      <w:r w:rsidRPr="00552376">
        <w:rPr>
          <w:rFonts w:ascii="Arial" w:hAnsi="Arial" w:cs="Arial"/>
        </w:rPr>
        <w:br/>
        <w:t>Leadership determines who gets heard, trusted, and seen. In hotels, these decisions are filtered through pace and habit. This project explores how leadership styles influence women’s empowerment within hotel operations, focusing on DoubleTree by Hilton Southampton.</w:t>
      </w:r>
    </w:p>
    <w:p w14:paraId="1DB4EB57" w14:textId="77777777" w:rsidR="00B83FA0" w:rsidRPr="00552376" w:rsidRDefault="00B83FA0" w:rsidP="00B83FA0">
      <w:pPr>
        <w:spacing w:line="360" w:lineRule="auto"/>
        <w:jc w:val="both"/>
        <w:rPr>
          <w:rFonts w:ascii="Arial" w:hAnsi="Arial" w:cs="Arial"/>
        </w:rPr>
      </w:pPr>
      <w:r w:rsidRPr="00552376">
        <w:rPr>
          <w:rFonts w:ascii="Arial" w:hAnsi="Arial" w:cs="Arial"/>
          <w:b/>
          <w:bCs/>
        </w:rPr>
        <w:t>Purpose</w:t>
      </w:r>
      <w:r w:rsidRPr="00552376">
        <w:rPr>
          <w:rFonts w:ascii="Arial" w:hAnsi="Arial" w:cs="Arial"/>
        </w:rPr>
        <w:br/>
        <w:t>The research emerged from a ten-week placement across Front Office and Administration, where everyday acts of delegation and recognition were observed directly. Clear gendered contrasts in decision-making autonomy and progression prompted closer analysis.</w:t>
      </w:r>
    </w:p>
    <w:p w14:paraId="40B52A05" w14:textId="77777777" w:rsidR="00B83FA0" w:rsidRPr="00552376" w:rsidRDefault="00B83FA0" w:rsidP="00B83FA0">
      <w:pPr>
        <w:spacing w:line="360" w:lineRule="auto"/>
        <w:jc w:val="both"/>
        <w:rPr>
          <w:rFonts w:ascii="Arial" w:hAnsi="Arial" w:cs="Arial"/>
        </w:rPr>
      </w:pPr>
      <w:r w:rsidRPr="00552376">
        <w:rPr>
          <w:rFonts w:ascii="Arial" w:hAnsi="Arial" w:cs="Arial"/>
          <w:b/>
          <w:bCs/>
        </w:rPr>
        <w:t>Aims and Objectives</w:t>
      </w:r>
    </w:p>
    <w:p w14:paraId="0119CB40" w14:textId="77777777" w:rsidR="00B83FA0" w:rsidRPr="00552376" w:rsidRDefault="00B83FA0" w:rsidP="00B83FA0">
      <w:pPr>
        <w:spacing w:line="360" w:lineRule="auto"/>
        <w:jc w:val="both"/>
        <w:rPr>
          <w:rFonts w:ascii="Arial" w:hAnsi="Arial" w:cs="Arial"/>
        </w:rPr>
      </w:pPr>
      <w:r w:rsidRPr="00552376">
        <w:rPr>
          <w:rFonts w:ascii="Arial" w:hAnsi="Arial" w:cs="Arial"/>
        </w:rPr>
        <w:t>The study asks how leadership behaviours shape empowerment outcomes for women working in operational roles. It pursues three objectives:</w:t>
      </w:r>
    </w:p>
    <w:p w14:paraId="55970A06" w14:textId="77777777" w:rsidR="00B83FA0" w:rsidRPr="00552376" w:rsidRDefault="00B83FA0" w:rsidP="00B83FA0">
      <w:pPr>
        <w:pStyle w:val="ListParagraph"/>
        <w:numPr>
          <w:ilvl w:val="0"/>
          <w:numId w:val="1"/>
        </w:numPr>
        <w:spacing w:line="360" w:lineRule="auto"/>
        <w:jc w:val="both"/>
        <w:rPr>
          <w:rFonts w:ascii="Arial" w:hAnsi="Arial" w:cs="Arial"/>
        </w:rPr>
      </w:pPr>
      <w:r w:rsidRPr="00552376">
        <w:rPr>
          <w:rFonts w:ascii="Arial" w:hAnsi="Arial" w:cs="Arial"/>
        </w:rPr>
        <w:t>Identify the dominant leadership styles within departments.</w:t>
      </w:r>
    </w:p>
    <w:p w14:paraId="1E6875BA" w14:textId="77777777" w:rsidR="00B83FA0" w:rsidRPr="00552376" w:rsidRDefault="00B83FA0" w:rsidP="00B83FA0">
      <w:pPr>
        <w:pStyle w:val="ListParagraph"/>
        <w:numPr>
          <w:ilvl w:val="0"/>
          <w:numId w:val="1"/>
        </w:numPr>
        <w:spacing w:line="360" w:lineRule="auto"/>
        <w:jc w:val="both"/>
        <w:rPr>
          <w:rFonts w:ascii="Arial" w:hAnsi="Arial" w:cs="Arial"/>
        </w:rPr>
      </w:pPr>
      <w:r w:rsidRPr="00552376">
        <w:rPr>
          <w:rFonts w:ascii="Arial" w:hAnsi="Arial" w:cs="Arial"/>
        </w:rPr>
        <w:t>Evaluate empowerment as experienced through autonomy, voice, and participation.</w:t>
      </w:r>
    </w:p>
    <w:p w14:paraId="287934F1" w14:textId="77777777" w:rsidR="00B83FA0" w:rsidRPr="00552376" w:rsidRDefault="00B83FA0" w:rsidP="00B83FA0">
      <w:pPr>
        <w:pStyle w:val="ListParagraph"/>
        <w:numPr>
          <w:ilvl w:val="0"/>
          <w:numId w:val="1"/>
        </w:numPr>
        <w:spacing w:line="360" w:lineRule="auto"/>
        <w:jc w:val="both"/>
        <w:rPr>
          <w:rFonts w:ascii="Arial" w:hAnsi="Arial" w:cs="Arial"/>
        </w:rPr>
      </w:pPr>
      <w:r w:rsidRPr="00552376">
        <w:rPr>
          <w:rFonts w:ascii="Arial" w:hAnsi="Arial" w:cs="Arial"/>
        </w:rPr>
        <w:t>Assess the extent to which Hilton’s corporate initiatives, Thrive@Hilton and Women in Leadership, function locally rather than rhetorically.</w:t>
      </w:r>
    </w:p>
    <w:p w14:paraId="4CF0C942" w14:textId="77777777" w:rsidR="00B83FA0" w:rsidRPr="00552376" w:rsidRDefault="00B83FA0" w:rsidP="00B83FA0">
      <w:pPr>
        <w:spacing w:line="360" w:lineRule="auto"/>
        <w:jc w:val="both"/>
        <w:rPr>
          <w:rFonts w:ascii="Arial" w:hAnsi="Arial" w:cs="Arial"/>
        </w:rPr>
      </w:pPr>
      <w:r w:rsidRPr="00552376">
        <w:rPr>
          <w:rFonts w:ascii="Arial" w:hAnsi="Arial" w:cs="Arial"/>
          <w:b/>
          <w:bCs/>
        </w:rPr>
        <w:t>Approach</w:t>
      </w:r>
      <w:r w:rsidRPr="00552376">
        <w:rPr>
          <w:rFonts w:ascii="Arial" w:hAnsi="Arial" w:cs="Arial"/>
        </w:rPr>
        <w:br/>
        <w:t>A qualitative single-case study was chosen. Data came from participant observation, reflective logs, informal staff conversations, and analysis of Hilton’s ESG and training documents. Themes were derived inductively following Braun and Clarke’s method.</w:t>
      </w:r>
    </w:p>
    <w:p w14:paraId="4C65BC4C" w14:textId="77777777" w:rsidR="00B83FA0" w:rsidRPr="00552376" w:rsidRDefault="00B83FA0" w:rsidP="00B83FA0">
      <w:pPr>
        <w:spacing w:line="360" w:lineRule="auto"/>
        <w:jc w:val="both"/>
        <w:rPr>
          <w:rFonts w:ascii="Arial" w:hAnsi="Arial" w:cs="Arial"/>
        </w:rPr>
      </w:pPr>
      <w:r w:rsidRPr="00552376">
        <w:rPr>
          <w:rFonts w:ascii="Arial" w:hAnsi="Arial" w:cs="Arial"/>
          <w:b/>
          <w:bCs/>
        </w:rPr>
        <w:t>Findings in brief</w:t>
      </w:r>
    </w:p>
    <w:p w14:paraId="75F588D9" w14:textId="77777777" w:rsidR="00B83FA0" w:rsidRPr="00552376" w:rsidRDefault="00B83FA0" w:rsidP="00B83FA0">
      <w:pPr>
        <w:pStyle w:val="ListParagraph"/>
        <w:numPr>
          <w:ilvl w:val="0"/>
          <w:numId w:val="2"/>
        </w:numPr>
        <w:spacing w:line="360" w:lineRule="auto"/>
        <w:jc w:val="both"/>
        <w:rPr>
          <w:rFonts w:ascii="Arial" w:hAnsi="Arial" w:cs="Arial"/>
        </w:rPr>
      </w:pPr>
      <w:r w:rsidRPr="00552376">
        <w:rPr>
          <w:rFonts w:ascii="Arial" w:hAnsi="Arial" w:cs="Arial"/>
        </w:rPr>
        <w:t>Front Office displayed transformational habits (delegated service recovery and open discussion) that raised confidence among female receptionists.</w:t>
      </w:r>
    </w:p>
    <w:p w14:paraId="678FD37B" w14:textId="77777777" w:rsidR="00B83FA0" w:rsidRPr="00552376" w:rsidRDefault="00B83FA0" w:rsidP="00B83FA0">
      <w:pPr>
        <w:pStyle w:val="ListParagraph"/>
        <w:numPr>
          <w:ilvl w:val="0"/>
          <w:numId w:val="2"/>
        </w:numPr>
        <w:spacing w:line="360" w:lineRule="auto"/>
        <w:jc w:val="both"/>
        <w:rPr>
          <w:rFonts w:ascii="Arial" w:hAnsi="Arial" w:cs="Arial"/>
        </w:rPr>
      </w:pPr>
      <w:r w:rsidRPr="00552376">
        <w:rPr>
          <w:rFonts w:ascii="Arial" w:hAnsi="Arial" w:cs="Arial"/>
        </w:rPr>
        <w:t>Housekeeping relied on transactional control, narrowing discretion and dampening initiative.</w:t>
      </w:r>
    </w:p>
    <w:p w14:paraId="13B11032" w14:textId="77777777" w:rsidR="00B83FA0" w:rsidRPr="00552376" w:rsidRDefault="00B83FA0" w:rsidP="00B83FA0">
      <w:pPr>
        <w:pStyle w:val="ListParagraph"/>
        <w:numPr>
          <w:ilvl w:val="0"/>
          <w:numId w:val="2"/>
        </w:numPr>
        <w:spacing w:line="360" w:lineRule="auto"/>
        <w:jc w:val="both"/>
        <w:rPr>
          <w:rFonts w:ascii="Arial" w:hAnsi="Arial" w:cs="Arial"/>
        </w:rPr>
      </w:pPr>
      <w:r w:rsidRPr="00552376">
        <w:rPr>
          <w:rFonts w:ascii="Arial" w:hAnsi="Arial" w:cs="Arial"/>
        </w:rPr>
        <w:lastRenderedPageBreak/>
        <w:t>Food and Beverage revealed inclusive practices that faltered under pressure.</w:t>
      </w:r>
      <w:r w:rsidRPr="00552376">
        <w:rPr>
          <w:rFonts w:ascii="Arial" w:hAnsi="Arial" w:cs="Arial"/>
        </w:rPr>
        <w:br/>
        <w:t>Empowerment appeared only where women controlled genuine decisions; motivation alone did not suffice. Corporate initiatives existed mainly on paper.</w:t>
      </w:r>
    </w:p>
    <w:p w14:paraId="0AC700F8" w14:textId="77777777" w:rsidR="00B83FA0" w:rsidRPr="00552376" w:rsidRDefault="00B83FA0" w:rsidP="00B83FA0">
      <w:pPr>
        <w:spacing w:line="360" w:lineRule="auto"/>
        <w:jc w:val="both"/>
        <w:rPr>
          <w:rFonts w:ascii="Arial" w:hAnsi="Arial" w:cs="Arial"/>
        </w:rPr>
      </w:pPr>
      <w:r w:rsidRPr="00552376">
        <w:rPr>
          <w:rFonts w:ascii="Arial" w:hAnsi="Arial" w:cs="Arial"/>
          <w:b/>
          <w:bCs/>
        </w:rPr>
        <w:t>Implications</w:t>
      </w:r>
      <w:r w:rsidRPr="00552376">
        <w:rPr>
          <w:rFonts w:ascii="Arial" w:hAnsi="Arial" w:cs="Arial"/>
        </w:rPr>
        <w:br/>
        <w:t>Leadership style matters, but systems matter more. The dissertation recommends:</w:t>
      </w:r>
    </w:p>
    <w:p w14:paraId="0F7CE36B" w14:textId="77777777" w:rsidR="00B83FA0" w:rsidRPr="00552376" w:rsidRDefault="00B83FA0" w:rsidP="00B83FA0">
      <w:pPr>
        <w:pStyle w:val="ListParagraph"/>
        <w:numPr>
          <w:ilvl w:val="0"/>
          <w:numId w:val="3"/>
        </w:numPr>
        <w:spacing w:line="360" w:lineRule="auto"/>
        <w:jc w:val="both"/>
        <w:rPr>
          <w:rFonts w:ascii="Arial" w:hAnsi="Arial" w:cs="Arial"/>
        </w:rPr>
      </w:pPr>
      <w:r w:rsidRPr="00552376">
        <w:rPr>
          <w:rFonts w:ascii="Arial" w:hAnsi="Arial" w:cs="Arial"/>
        </w:rPr>
        <w:t>Structured leadership development for supervisors.</w:t>
      </w:r>
    </w:p>
    <w:p w14:paraId="452D31A0" w14:textId="77777777" w:rsidR="00B83FA0" w:rsidRPr="00552376" w:rsidRDefault="00B83FA0" w:rsidP="00B83FA0">
      <w:pPr>
        <w:pStyle w:val="ListParagraph"/>
        <w:numPr>
          <w:ilvl w:val="0"/>
          <w:numId w:val="3"/>
        </w:numPr>
        <w:spacing w:line="360" w:lineRule="auto"/>
        <w:jc w:val="both"/>
        <w:rPr>
          <w:rFonts w:ascii="Arial" w:hAnsi="Arial" w:cs="Arial"/>
        </w:rPr>
      </w:pPr>
      <w:r w:rsidRPr="00552376">
        <w:rPr>
          <w:rFonts w:ascii="Arial" w:hAnsi="Arial" w:cs="Arial"/>
        </w:rPr>
        <w:t>Formal mentoring for women.</w:t>
      </w:r>
    </w:p>
    <w:p w14:paraId="71D591FA" w14:textId="77777777" w:rsidR="00B83FA0" w:rsidRPr="00552376" w:rsidRDefault="00B83FA0" w:rsidP="00B83FA0">
      <w:pPr>
        <w:pStyle w:val="ListParagraph"/>
        <w:numPr>
          <w:ilvl w:val="0"/>
          <w:numId w:val="3"/>
        </w:numPr>
        <w:spacing w:line="360" w:lineRule="auto"/>
        <w:jc w:val="both"/>
        <w:rPr>
          <w:rFonts w:ascii="Arial" w:hAnsi="Arial" w:cs="Arial"/>
        </w:rPr>
      </w:pPr>
      <w:r w:rsidRPr="00552376">
        <w:rPr>
          <w:rFonts w:ascii="Arial" w:hAnsi="Arial" w:cs="Arial"/>
        </w:rPr>
        <w:t>Operational visibility for corporate programmes.</w:t>
      </w:r>
    </w:p>
    <w:p w14:paraId="294E0F45" w14:textId="77777777" w:rsidR="00B83FA0" w:rsidRPr="00552376" w:rsidRDefault="00B83FA0" w:rsidP="00B83FA0">
      <w:pPr>
        <w:pStyle w:val="ListParagraph"/>
        <w:numPr>
          <w:ilvl w:val="0"/>
          <w:numId w:val="3"/>
        </w:numPr>
        <w:spacing w:line="360" w:lineRule="auto"/>
        <w:jc w:val="both"/>
        <w:rPr>
          <w:rFonts w:ascii="Arial" w:hAnsi="Arial" w:cs="Arial"/>
        </w:rPr>
      </w:pPr>
      <w:r w:rsidRPr="00552376">
        <w:rPr>
          <w:rFonts w:ascii="Arial" w:hAnsi="Arial" w:cs="Arial"/>
        </w:rPr>
        <w:t>Empowerment metrics embedded in performance reviews.</w:t>
      </w:r>
    </w:p>
    <w:p w14:paraId="32AC8FD3" w14:textId="77777777" w:rsidR="00B83FA0" w:rsidRPr="00552376" w:rsidRDefault="00B83FA0" w:rsidP="00B83FA0">
      <w:pPr>
        <w:spacing w:line="360" w:lineRule="auto"/>
        <w:jc w:val="both"/>
        <w:rPr>
          <w:rFonts w:ascii="Arial" w:hAnsi="Arial" w:cs="Arial"/>
        </w:rPr>
      </w:pPr>
      <w:r w:rsidRPr="00552376">
        <w:rPr>
          <w:rFonts w:ascii="Arial" w:hAnsi="Arial" w:cs="Arial"/>
        </w:rPr>
        <w:t>When these mechanisms are absent, empowerment depends on personality rather than policy. Hilton’s goal of gender parity by 2030 will hold only if property-level implementation matches the rhetoric.</w:t>
      </w:r>
    </w:p>
    <w:p w14:paraId="21166F9D" w14:textId="77777777" w:rsidR="00B83FA0" w:rsidRPr="00552376" w:rsidRDefault="00B83FA0" w:rsidP="00B83FA0">
      <w:pPr>
        <w:spacing w:line="360" w:lineRule="auto"/>
        <w:jc w:val="both"/>
        <w:rPr>
          <w:rFonts w:ascii="Arial" w:hAnsi="Arial" w:cs="Arial"/>
        </w:rPr>
      </w:pPr>
    </w:p>
    <w:p w14:paraId="74C4AB54" w14:textId="77777777" w:rsidR="00B83FA0" w:rsidRPr="00552376" w:rsidRDefault="00B83FA0" w:rsidP="00B83FA0">
      <w:pPr>
        <w:spacing w:line="360" w:lineRule="auto"/>
        <w:jc w:val="both"/>
        <w:rPr>
          <w:rFonts w:ascii="Arial" w:hAnsi="Arial" w:cs="Arial"/>
          <w:b/>
          <w:bCs/>
        </w:rPr>
      </w:pPr>
    </w:p>
    <w:p w14:paraId="37EDB8CA" w14:textId="77777777" w:rsidR="00B83FA0" w:rsidRPr="00552376" w:rsidRDefault="00B83FA0" w:rsidP="00B83FA0">
      <w:pPr>
        <w:spacing w:line="360" w:lineRule="auto"/>
        <w:jc w:val="both"/>
        <w:rPr>
          <w:rFonts w:ascii="Arial" w:hAnsi="Arial" w:cs="Arial"/>
          <w:b/>
          <w:bCs/>
        </w:rPr>
      </w:pPr>
    </w:p>
    <w:p w14:paraId="35D70037" w14:textId="77777777" w:rsidR="00B83FA0" w:rsidRPr="00552376" w:rsidRDefault="00B83FA0" w:rsidP="00B83FA0">
      <w:pPr>
        <w:spacing w:line="360" w:lineRule="auto"/>
        <w:jc w:val="both"/>
        <w:rPr>
          <w:rFonts w:ascii="Arial" w:hAnsi="Arial" w:cs="Arial"/>
          <w:b/>
          <w:bCs/>
        </w:rPr>
      </w:pPr>
    </w:p>
    <w:p w14:paraId="143007DD" w14:textId="77777777" w:rsidR="00B83FA0" w:rsidRPr="00552376" w:rsidRDefault="00B83FA0" w:rsidP="00B83FA0">
      <w:pPr>
        <w:spacing w:line="360" w:lineRule="auto"/>
        <w:jc w:val="both"/>
        <w:rPr>
          <w:rFonts w:ascii="Arial" w:hAnsi="Arial" w:cs="Arial"/>
          <w:b/>
          <w:bCs/>
        </w:rPr>
      </w:pPr>
    </w:p>
    <w:p w14:paraId="11AA6083" w14:textId="77777777" w:rsidR="00B83FA0" w:rsidRPr="00552376" w:rsidRDefault="00B83FA0" w:rsidP="00B83FA0">
      <w:pPr>
        <w:spacing w:line="360" w:lineRule="auto"/>
        <w:jc w:val="both"/>
        <w:rPr>
          <w:rFonts w:ascii="Arial" w:hAnsi="Arial" w:cs="Arial"/>
          <w:b/>
          <w:bCs/>
        </w:rPr>
      </w:pPr>
    </w:p>
    <w:p w14:paraId="5045300B" w14:textId="77777777" w:rsidR="00B83FA0" w:rsidRPr="00552376" w:rsidRDefault="00B83FA0" w:rsidP="00B83FA0">
      <w:pPr>
        <w:spacing w:line="360" w:lineRule="auto"/>
        <w:jc w:val="both"/>
        <w:rPr>
          <w:rFonts w:ascii="Arial" w:hAnsi="Arial" w:cs="Arial"/>
          <w:b/>
          <w:bCs/>
        </w:rPr>
      </w:pPr>
    </w:p>
    <w:p w14:paraId="09510784" w14:textId="77777777" w:rsidR="00B83FA0" w:rsidRPr="00552376" w:rsidRDefault="00B83FA0" w:rsidP="00B83FA0">
      <w:pPr>
        <w:spacing w:line="360" w:lineRule="auto"/>
        <w:jc w:val="both"/>
        <w:rPr>
          <w:rFonts w:ascii="Arial" w:hAnsi="Arial" w:cs="Arial"/>
          <w:b/>
          <w:bCs/>
        </w:rPr>
      </w:pPr>
    </w:p>
    <w:p w14:paraId="049A0D8D" w14:textId="77777777" w:rsidR="00B83FA0" w:rsidRPr="00552376" w:rsidRDefault="00B83FA0" w:rsidP="00B83FA0">
      <w:pPr>
        <w:spacing w:line="360" w:lineRule="auto"/>
        <w:jc w:val="both"/>
        <w:rPr>
          <w:rFonts w:ascii="Arial" w:hAnsi="Arial" w:cs="Arial"/>
          <w:b/>
          <w:bCs/>
        </w:rPr>
      </w:pPr>
    </w:p>
    <w:p w14:paraId="25068F59" w14:textId="77777777" w:rsidR="00B83FA0" w:rsidRPr="00552376" w:rsidRDefault="00B83FA0" w:rsidP="00B83FA0">
      <w:pPr>
        <w:spacing w:line="360" w:lineRule="auto"/>
        <w:jc w:val="both"/>
        <w:rPr>
          <w:rFonts w:ascii="Arial" w:hAnsi="Arial" w:cs="Arial"/>
          <w:b/>
          <w:bCs/>
        </w:rPr>
      </w:pPr>
    </w:p>
    <w:p w14:paraId="07B61ADC" w14:textId="77777777" w:rsidR="00B83FA0" w:rsidRPr="00552376" w:rsidRDefault="00B83FA0" w:rsidP="00B83FA0">
      <w:pPr>
        <w:spacing w:line="360" w:lineRule="auto"/>
        <w:jc w:val="both"/>
        <w:rPr>
          <w:rFonts w:ascii="Arial" w:hAnsi="Arial" w:cs="Arial"/>
          <w:b/>
          <w:bCs/>
        </w:rPr>
      </w:pPr>
    </w:p>
    <w:p w14:paraId="70310F02" w14:textId="77777777" w:rsidR="00B83FA0" w:rsidRPr="00552376" w:rsidRDefault="00B83FA0" w:rsidP="00B83FA0">
      <w:pPr>
        <w:spacing w:line="360" w:lineRule="auto"/>
        <w:jc w:val="both"/>
        <w:rPr>
          <w:rFonts w:ascii="Arial" w:hAnsi="Arial" w:cs="Arial"/>
          <w:b/>
          <w:bCs/>
        </w:rPr>
      </w:pPr>
    </w:p>
    <w:p w14:paraId="2519BC8F" w14:textId="77777777" w:rsidR="00B83FA0" w:rsidRPr="00552376" w:rsidRDefault="00B83FA0" w:rsidP="00B83FA0">
      <w:pPr>
        <w:spacing w:line="360" w:lineRule="auto"/>
        <w:jc w:val="both"/>
        <w:rPr>
          <w:rFonts w:ascii="Arial" w:hAnsi="Arial" w:cs="Arial"/>
          <w:b/>
          <w:bCs/>
        </w:rPr>
      </w:pPr>
    </w:p>
    <w:p w14:paraId="432112EA" w14:textId="77777777" w:rsidR="00623A9B" w:rsidRPr="00552376" w:rsidRDefault="00623A9B" w:rsidP="00B83FA0">
      <w:pPr>
        <w:spacing w:line="360" w:lineRule="auto"/>
        <w:jc w:val="both"/>
        <w:rPr>
          <w:rFonts w:ascii="Arial" w:hAnsi="Arial" w:cs="Arial"/>
          <w:b/>
          <w:bCs/>
        </w:rPr>
      </w:pPr>
    </w:p>
    <w:p w14:paraId="248FC625" w14:textId="77777777" w:rsidR="00623A9B" w:rsidRPr="00552376" w:rsidRDefault="00623A9B" w:rsidP="00B83FA0">
      <w:pPr>
        <w:spacing w:line="360" w:lineRule="auto"/>
        <w:jc w:val="both"/>
        <w:rPr>
          <w:rFonts w:ascii="Arial" w:hAnsi="Arial" w:cs="Arial"/>
          <w:b/>
          <w:bCs/>
        </w:rPr>
      </w:pPr>
    </w:p>
    <w:p w14:paraId="3DDAD997" w14:textId="77777777" w:rsidR="00623A9B" w:rsidRPr="00552376" w:rsidRDefault="00623A9B" w:rsidP="00B83FA0">
      <w:pPr>
        <w:spacing w:line="360" w:lineRule="auto"/>
        <w:jc w:val="both"/>
        <w:rPr>
          <w:rFonts w:ascii="Arial" w:hAnsi="Arial" w:cs="Arial"/>
          <w:b/>
          <w:bCs/>
        </w:rPr>
      </w:pPr>
    </w:p>
    <w:p w14:paraId="295BA794" w14:textId="77777777" w:rsidR="00623A9B" w:rsidRPr="00552376" w:rsidRDefault="00623A9B" w:rsidP="00B83FA0">
      <w:pPr>
        <w:spacing w:line="360" w:lineRule="auto"/>
        <w:jc w:val="both"/>
        <w:rPr>
          <w:rFonts w:ascii="Arial" w:hAnsi="Arial" w:cs="Arial"/>
          <w:b/>
          <w:bCs/>
        </w:rPr>
      </w:pPr>
    </w:p>
    <w:p w14:paraId="657C3DBD" w14:textId="77777777" w:rsidR="00623A9B" w:rsidRPr="00552376" w:rsidRDefault="00623A9B" w:rsidP="00B83FA0">
      <w:pPr>
        <w:spacing w:line="360" w:lineRule="auto"/>
        <w:jc w:val="both"/>
        <w:rPr>
          <w:rFonts w:ascii="Arial" w:hAnsi="Arial" w:cs="Arial"/>
          <w:b/>
          <w:bCs/>
        </w:rPr>
      </w:pPr>
    </w:p>
    <w:p w14:paraId="02B00477" w14:textId="77777777" w:rsidR="00623A9B" w:rsidRPr="00552376" w:rsidRDefault="00623A9B" w:rsidP="00B83FA0">
      <w:pPr>
        <w:spacing w:line="360" w:lineRule="auto"/>
        <w:jc w:val="both"/>
        <w:rPr>
          <w:rFonts w:ascii="Arial" w:hAnsi="Arial" w:cs="Arial"/>
          <w:b/>
          <w:bCs/>
        </w:rPr>
      </w:pPr>
    </w:p>
    <w:p w14:paraId="0965741F" w14:textId="620F5AF0" w:rsidR="00623A9B" w:rsidRPr="00552376" w:rsidRDefault="00623A9B" w:rsidP="00B83FA0">
      <w:pPr>
        <w:spacing w:line="360" w:lineRule="auto"/>
        <w:jc w:val="both"/>
        <w:rPr>
          <w:rFonts w:ascii="Arial" w:hAnsi="Arial" w:cs="Arial"/>
          <w:b/>
          <w:bCs/>
        </w:rPr>
      </w:pPr>
      <w:r w:rsidRPr="00552376">
        <w:rPr>
          <w:rFonts w:ascii="Arial" w:hAnsi="Arial" w:cs="Arial"/>
          <w:b/>
          <w:bCs/>
          <w:noProof/>
        </w:rPr>
        <w:drawing>
          <wp:inline distT="0" distB="0" distL="0" distR="0" wp14:anchorId="0220A606" wp14:editId="3AC523F1">
            <wp:extent cx="5730240" cy="4061460"/>
            <wp:effectExtent l="0" t="0" r="3810" b="0"/>
            <wp:docPr id="1089843507" name="Picture 1" descr="A close-up of a le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843507" name="Picture 1" descr="A close-up of a letter&#10;&#10;AI-generated content may be incorrect."/>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0240" cy="4061460"/>
                    </a:xfrm>
                    <a:prstGeom prst="rect">
                      <a:avLst/>
                    </a:prstGeom>
                    <a:noFill/>
                    <a:ln>
                      <a:noFill/>
                    </a:ln>
                  </pic:spPr>
                </pic:pic>
              </a:graphicData>
            </a:graphic>
          </wp:inline>
        </w:drawing>
      </w:r>
    </w:p>
    <w:p w14:paraId="55FA9A08" w14:textId="6160B2CB" w:rsidR="00623A9B" w:rsidRPr="00552376" w:rsidRDefault="00623A9B" w:rsidP="00B83FA0">
      <w:pPr>
        <w:spacing w:line="360" w:lineRule="auto"/>
        <w:jc w:val="both"/>
        <w:rPr>
          <w:rFonts w:ascii="Arial" w:hAnsi="Arial" w:cs="Arial"/>
          <w:b/>
          <w:bCs/>
        </w:rPr>
      </w:pPr>
    </w:p>
    <w:p w14:paraId="70C2D415" w14:textId="77777777" w:rsidR="00623A9B" w:rsidRPr="00552376" w:rsidRDefault="00623A9B" w:rsidP="00B83FA0">
      <w:pPr>
        <w:spacing w:line="360" w:lineRule="auto"/>
        <w:jc w:val="both"/>
        <w:rPr>
          <w:rFonts w:ascii="Arial" w:hAnsi="Arial" w:cs="Arial"/>
          <w:b/>
          <w:bCs/>
        </w:rPr>
      </w:pPr>
    </w:p>
    <w:p w14:paraId="5E3EA1FE" w14:textId="77777777" w:rsidR="00623A9B" w:rsidRPr="00552376" w:rsidRDefault="00623A9B" w:rsidP="00B83FA0">
      <w:pPr>
        <w:spacing w:line="360" w:lineRule="auto"/>
        <w:jc w:val="both"/>
        <w:rPr>
          <w:rFonts w:ascii="Arial" w:hAnsi="Arial" w:cs="Arial"/>
          <w:b/>
          <w:bCs/>
        </w:rPr>
      </w:pPr>
    </w:p>
    <w:p w14:paraId="7AAB2569" w14:textId="77777777" w:rsidR="006E6C83" w:rsidRPr="00552376" w:rsidRDefault="006E6C83" w:rsidP="00B83FA0">
      <w:pPr>
        <w:spacing w:line="360" w:lineRule="auto"/>
        <w:jc w:val="both"/>
        <w:rPr>
          <w:rFonts w:ascii="Arial" w:hAnsi="Arial" w:cs="Arial"/>
          <w:b/>
          <w:bCs/>
        </w:rPr>
      </w:pPr>
    </w:p>
    <w:p w14:paraId="7C6BB4F0" w14:textId="77777777" w:rsidR="006E6C83" w:rsidRPr="00552376" w:rsidRDefault="006E6C83" w:rsidP="00B83FA0">
      <w:pPr>
        <w:spacing w:line="360" w:lineRule="auto"/>
        <w:jc w:val="both"/>
        <w:rPr>
          <w:rFonts w:ascii="Arial" w:hAnsi="Arial" w:cs="Arial"/>
          <w:b/>
          <w:bCs/>
        </w:rPr>
      </w:pPr>
    </w:p>
    <w:p w14:paraId="3FCA8B3F" w14:textId="77777777" w:rsidR="006E6C83" w:rsidRPr="00552376" w:rsidRDefault="006E6C83" w:rsidP="00B83FA0">
      <w:pPr>
        <w:spacing w:line="360" w:lineRule="auto"/>
        <w:jc w:val="both"/>
        <w:rPr>
          <w:rFonts w:ascii="Arial" w:hAnsi="Arial" w:cs="Arial"/>
          <w:b/>
          <w:bCs/>
        </w:rPr>
      </w:pPr>
    </w:p>
    <w:p w14:paraId="7C76FF8A" w14:textId="77777777" w:rsidR="00623A9B" w:rsidRDefault="00623A9B" w:rsidP="00B83FA0">
      <w:pPr>
        <w:spacing w:line="360" w:lineRule="auto"/>
        <w:jc w:val="both"/>
        <w:rPr>
          <w:rFonts w:ascii="Arial" w:hAnsi="Arial" w:cs="Arial"/>
          <w:b/>
          <w:bCs/>
        </w:rPr>
      </w:pPr>
    </w:p>
    <w:p w14:paraId="61815F17" w14:textId="77777777" w:rsidR="00552376" w:rsidRPr="00552376" w:rsidRDefault="00552376" w:rsidP="00B83FA0">
      <w:pPr>
        <w:spacing w:line="360" w:lineRule="auto"/>
        <w:jc w:val="both"/>
        <w:rPr>
          <w:rFonts w:ascii="Arial" w:hAnsi="Arial" w:cs="Arial"/>
          <w:b/>
          <w:bCs/>
        </w:rPr>
      </w:pPr>
    </w:p>
    <w:p w14:paraId="6FF61766" w14:textId="22AA5B23" w:rsidR="00B83FA0" w:rsidRPr="00552376" w:rsidRDefault="00B83FA0" w:rsidP="00B83FA0">
      <w:pPr>
        <w:spacing w:line="360" w:lineRule="auto"/>
        <w:jc w:val="both"/>
        <w:rPr>
          <w:rFonts w:ascii="Arial" w:hAnsi="Arial" w:cs="Arial"/>
          <w:b/>
          <w:bCs/>
        </w:rPr>
      </w:pPr>
      <w:r w:rsidRPr="00552376">
        <w:rPr>
          <w:rFonts w:ascii="Arial" w:hAnsi="Arial" w:cs="Arial"/>
          <w:b/>
          <w:bCs/>
        </w:rPr>
        <w:lastRenderedPageBreak/>
        <w:t>Chapter 1</w:t>
      </w:r>
    </w:p>
    <w:p w14:paraId="4EECA5E8"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t>Introduction</w:t>
      </w:r>
    </w:p>
    <w:p w14:paraId="67A586E0" w14:textId="77777777" w:rsidR="00B83FA0" w:rsidRPr="00552376" w:rsidRDefault="00B83FA0" w:rsidP="00B83FA0">
      <w:pPr>
        <w:pStyle w:val="ListParagraph"/>
        <w:numPr>
          <w:ilvl w:val="1"/>
          <w:numId w:val="4"/>
        </w:numPr>
        <w:spacing w:line="360" w:lineRule="auto"/>
        <w:jc w:val="both"/>
        <w:rPr>
          <w:rFonts w:ascii="Arial" w:hAnsi="Arial" w:cs="Arial"/>
        </w:rPr>
      </w:pPr>
      <w:r w:rsidRPr="00552376">
        <w:rPr>
          <w:rFonts w:ascii="Arial" w:hAnsi="Arial" w:cs="Arial"/>
          <w:b/>
          <w:bCs/>
        </w:rPr>
        <w:t>Setting the scene</w:t>
      </w:r>
    </w:p>
    <w:p w14:paraId="54343829" w14:textId="77777777" w:rsidR="00B83FA0" w:rsidRPr="00552376" w:rsidRDefault="00B83FA0" w:rsidP="00B83FA0">
      <w:pPr>
        <w:spacing w:line="360" w:lineRule="auto"/>
        <w:jc w:val="both"/>
        <w:rPr>
          <w:rFonts w:ascii="Arial" w:hAnsi="Arial" w:cs="Arial"/>
        </w:rPr>
      </w:pPr>
      <w:r w:rsidRPr="00552376">
        <w:rPr>
          <w:rFonts w:ascii="Arial" w:hAnsi="Arial" w:cs="Arial"/>
        </w:rPr>
        <w:t>Hospitality depends on people who interpret service minute by minute. Leadership shapes how that interpretation unfolds. Women form the backbone of this workforce yet remain sparse in strategic or managerial ranks. Global brands have recognised the imbalance; Hilton’s Women in Leadership and Thrive@Hilton campaigns are explicit attempts to correct it. Progress, however, remains slow. The property level is where intentions meet routine and either succeed or fade (Gomes and Brake, 2020).</w:t>
      </w:r>
    </w:p>
    <w:p w14:paraId="725B4F3D" w14:textId="77777777" w:rsidR="00B83FA0" w:rsidRPr="00552376" w:rsidRDefault="00B83FA0" w:rsidP="00B83FA0">
      <w:pPr>
        <w:pStyle w:val="ListParagraph"/>
        <w:numPr>
          <w:ilvl w:val="1"/>
          <w:numId w:val="4"/>
        </w:numPr>
        <w:spacing w:line="360" w:lineRule="auto"/>
        <w:jc w:val="both"/>
        <w:rPr>
          <w:rFonts w:ascii="Arial" w:hAnsi="Arial" w:cs="Arial"/>
        </w:rPr>
      </w:pPr>
      <w:r w:rsidRPr="00552376">
        <w:rPr>
          <w:rFonts w:ascii="Arial" w:hAnsi="Arial" w:cs="Arial"/>
          <w:b/>
          <w:bCs/>
        </w:rPr>
        <w:t>The case site</w:t>
      </w:r>
    </w:p>
    <w:p w14:paraId="33FBC8E7" w14:textId="77777777" w:rsidR="00B83FA0" w:rsidRPr="00552376" w:rsidRDefault="00B83FA0" w:rsidP="00B83FA0">
      <w:pPr>
        <w:pStyle w:val="ListParagraph"/>
        <w:numPr>
          <w:ilvl w:val="0"/>
          <w:numId w:val="5"/>
        </w:numPr>
        <w:spacing w:line="360" w:lineRule="auto"/>
        <w:jc w:val="both"/>
        <w:rPr>
          <w:rFonts w:ascii="Arial" w:hAnsi="Arial" w:cs="Arial"/>
        </w:rPr>
      </w:pPr>
      <w:r w:rsidRPr="00552376">
        <w:rPr>
          <w:rFonts w:ascii="Arial" w:hAnsi="Arial" w:cs="Arial"/>
        </w:rPr>
        <w:t>DoubleTree by Hilton Southampton is a mid-scale, full-service hotel operating three main departments:</w:t>
      </w:r>
    </w:p>
    <w:p w14:paraId="5D571591" w14:textId="77777777" w:rsidR="00B83FA0" w:rsidRPr="00552376" w:rsidRDefault="00B83FA0" w:rsidP="00B83FA0">
      <w:pPr>
        <w:pStyle w:val="ListParagraph"/>
        <w:numPr>
          <w:ilvl w:val="0"/>
          <w:numId w:val="5"/>
        </w:numPr>
        <w:spacing w:line="360" w:lineRule="auto"/>
        <w:jc w:val="both"/>
        <w:rPr>
          <w:rFonts w:ascii="Arial" w:hAnsi="Arial" w:cs="Arial"/>
        </w:rPr>
      </w:pPr>
      <w:r w:rsidRPr="00552376">
        <w:rPr>
          <w:rFonts w:ascii="Arial" w:hAnsi="Arial" w:cs="Arial"/>
        </w:rPr>
        <w:t>Front Office - guest interaction and service recovery.</w:t>
      </w:r>
    </w:p>
    <w:p w14:paraId="70E338BC" w14:textId="77777777" w:rsidR="00B83FA0" w:rsidRPr="00552376" w:rsidRDefault="00B83FA0" w:rsidP="00B83FA0">
      <w:pPr>
        <w:pStyle w:val="ListParagraph"/>
        <w:numPr>
          <w:ilvl w:val="0"/>
          <w:numId w:val="5"/>
        </w:numPr>
        <w:spacing w:line="360" w:lineRule="auto"/>
        <w:jc w:val="both"/>
        <w:rPr>
          <w:rFonts w:ascii="Arial" w:hAnsi="Arial" w:cs="Arial"/>
        </w:rPr>
      </w:pPr>
      <w:r w:rsidRPr="00552376">
        <w:rPr>
          <w:rFonts w:ascii="Arial" w:hAnsi="Arial" w:cs="Arial"/>
        </w:rPr>
        <w:t>Food and Beverage - restaurants, bars, and banqueting.</w:t>
      </w:r>
    </w:p>
    <w:p w14:paraId="58047510" w14:textId="77777777" w:rsidR="00B83FA0" w:rsidRPr="00552376" w:rsidRDefault="00B83FA0" w:rsidP="00B83FA0">
      <w:pPr>
        <w:pStyle w:val="ListParagraph"/>
        <w:numPr>
          <w:ilvl w:val="0"/>
          <w:numId w:val="5"/>
        </w:numPr>
        <w:spacing w:line="360" w:lineRule="auto"/>
        <w:jc w:val="both"/>
        <w:rPr>
          <w:rFonts w:ascii="Arial" w:hAnsi="Arial" w:cs="Arial"/>
        </w:rPr>
      </w:pPr>
      <w:r w:rsidRPr="00552376">
        <w:rPr>
          <w:rFonts w:ascii="Arial" w:hAnsi="Arial" w:cs="Arial"/>
        </w:rPr>
        <w:t>Housekeeping - room preparation and cleanliness.</w:t>
      </w:r>
    </w:p>
    <w:p w14:paraId="3E0BCEE3" w14:textId="77777777" w:rsidR="00B83FA0" w:rsidRPr="00552376" w:rsidRDefault="00B83FA0" w:rsidP="00B83FA0">
      <w:pPr>
        <w:spacing w:line="360" w:lineRule="auto"/>
        <w:jc w:val="both"/>
        <w:rPr>
          <w:rFonts w:ascii="Arial" w:hAnsi="Arial" w:cs="Arial"/>
        </w:rPr>
      </w:pPr>
      <w:r w:rsidRPr="00552376">
        <w:rPr>
          <w:rFonts w:ascii="Arial" w:hAnsi="Arial" w:cs="Arial"/>
        </w:rPr>
        <w:t>Women dominate front-line and supervisory roles. During a ten-week placement in 2025, leadership patterns differed strikingly: participative and coaching behaviours in some areas, directive control in others. These contrasts affected both morale and the perceived chance of advancement.</w:t>
      </w:r>
    </w:p>
    <w:p w14:paraId="660CBFC4" w14:textId="77777777" w:rsidR="00B83FA0" w:rsidRPr="00552376" w:rsidRDefault="00B83FA0" w:rsidP="00B83FA0">
      <w:pPr>
        <w:pStyle w:val="ListParagraph"/>
        <w:numPr>
          <w:ilvl w:val="1"/>
          <w:numId w:val="4"/>
        </w:numPr>
        <w:spacing w:line="360" w:lineRule="auto"/>
        <w:jc w:val="both"/>
        <w:rPr>
          <w:rFonts w:ascii="Arial" w:hAnsi="Arial" w:cs="Arial"/>
        </w:rPr>
      </w:pPr>
      <w:r w:rsidRPr="00552376">
        <w:rPr>
          <w:rFonts w:ascii="Arial" w:hAnsi="Arial" w:cs="Arial"/>
          <w:b/>
          <w:bCs/>
        </w:rPr>
        <w:t>Why this study matters</w:t>
      </w:r>
    </w:p>
    <w:p w14:paraId="1225B239" w14:textId="77777777" w:rsidR="00B83FA0" w:rsidRPr="00552376" w:rsidRDefault="00B83FA0" w:rsidP="00B83FA0">
      <w:pPr>
        <w:spacing w:line="360" w:lineRule="auto"/>
        <w:jc w:val="both"/>
        <w:rPr>
          <w:rFonts w:ascii="Arial" w:hAnsi="Arial" w:cs="Arial"/>
        </w:rPr>
      </w:pPr>
      <w:r w:rsidRPr="00552376">
        <w:rPr>
          <w:rFonts w:ascii="Arial" w:hAnsi="Arial" w:cs="Arial"/>
        </w:rPr>
        <w:t xml:space="preserve">Despite well-documented evidence of women’s contribution to quality and stability, their path to management remains narrow. Earlier scholarship (Marinakou 2012; Guillet et al. 2019) describes women’s transformational style but highlights persistent cultural and structural constraints. Observations during the placement echoed those findings. Capability was visible; opportunity was uneven. The question became not </w:t>
      </w:r>
      <w:r w:rsidRPr="00552376">
        <w:rPr>
          <w:rFonts w:ascii="Arial" w:hAnsi="Arial" w:cs="Arial"/>
          <w:i/>
          <w:iCs/>
        </w:rPr>
        <w:t>can</w:t>
      </w:r>
      <w:r w:rsidRPr="00552376">
        <w:rPr>
          <w:rFonts w:ascii="Arial" w:hAnsi="Arial" w:cs="Arial"/>
        </w:rPr>
        <w:t xml:space="preserve"> women lead, but </w:t>
      </w:r>
      <w:r w:rsidRPr="00552376">
        <w:rPr>
          <w:rFonts w:ascii="Arial" w:hAnsi="Arial" w:cs="Arial"/>
          <w:i/>
          <w:iCs/>
        </w:rPr>
        <w:t>are</w:t>
      </w:r>
      <w:r w:rsidRPr="00552376">
        <w:rPr>
          <w:rFonts w:ascii="Arial" w:hAnsi="Arial" w:cs="Arial"/>
        </w:rPr>
        <w:t xml:space="preserve"> they allowed to lead in ways that count toward promotion?</w:t>
      </w:r>
    </w:p>
    <w:p w14:paraId="4B32FD63" w14:textId="77777777" w:rsidR="00B83FA0" w:rsidRPr="00552376" w:rsidRDefault="00B83FA0" w:rsidP="00B83FA0">
      <w:pPr>
        <w:spacing w:line="360" w:lineRule="auto"/>
        <w:jc w:val="both"/>
        <w:rPr>
          <w:rFonts w:ascii="Arial" w:hAnsi="Arial" w:cs="Arial"/>
        </w:rPr>
      </w:pPr>
      <w:r w:rsidRPr="00552376">
        <w:rPr>
          <w:rFonts w:ascii="Arial" w:hAnsi="Arial" w:cs="Arial"/>
          <w:b/>
          <w:bCs/>
        </w:rPr>
        <w:t>1.4 Aim and Objectives</w:t>
      </w:r>
    </w:p>
    <w:p w14:paraId="7E2FA025" w14:textId="77777777" w:rsidR="00B83FA0" w:rsidRPr="00552376" w:rsidRDefault="00B83FA0" w:rsidP="00B83FA0">
      <w:pPr>
        <w:spacing w:line="360" w:lineRule="auto"/>
        <w:jc w:val="both"/>
        <w:rPr>
          <w:rFonts w:ascii="Arial" w:hAnsi="Arial" w:cs="Arial"/>
        </w:rPr>
      </w:pPr>
      <w:r w:rsidRPr="00552376">
        <w:rPr>
          <w:rFonts w:ascii="Arial" w:hAnsi="Arial" w:cs="Arial"/>
          <w:b/>
          <w:bCs/>
        </w:rPr>
        <w:t>Aim</w:t>
      </w:r>
      <w:r w:rsidRPr="00552376">
        <w:rPr>
          <w:rFonts w:ascii="Arial" w:hAnsi="Arial" w:cs="Arial"/>
        </w:rPr>
        <w:br/>
        <w:t xml:space="preserve">To analyse how leadership behaviours influence women’s empowerment within hotel </w:t>
      </w:r>
      <w:r w:rsidRPr="00552376">
        <w:rPr>
          <w:rFonts w:ascii="Arial" w:hAnsi="Arial" w:cs="Arial"/>
        </w:rPr>
        <w:lastRenderedPageBreak/>
        <w:t>operations at DoubleTree by Hilton Southampton, with emphasis on Front Office and Administration.</w:t>
      </w:r>
    </w:p>
    <w:p w14:paraId="041F9BD6" w14:textId="77777777" w:rsidR="00B83FA0" w:rsidRPr="00552376" w:rsidRDefault="00B83FA0" w:rsidP="00B83FA0">
      <w:pPr>
        <w:spacing w:line="360" w:lineRule="auto"/>
        <w:jc w:val="both"/>
        <w:rPr>
          <w:rFonts w:ascii="Arial" w:hAnsi="Arial" w:cs="Arial"/>
        </w:rPr>
      </w:pPr>
      <w:r w:rsidRPr="00552376">
        <w:rPr>
          <w:rFonts w:ascii="Arial" w:hAnsi="Arial" w:cs="Arial"/>
          <w:b/>
          <w:bCs/>
        </w:rPr>
        <w:t>Objectives</w:t>
      </w:r>
    </w:p>
    <w:p w14:paraId="4BAA25E7" w14:textId="77777777" w:rsidR="00B83FA0" w:rsidRPr="00552376" w:rsidRDefault="00B83FA0" w:rsidP="00B83FA0">
      <w:pPr>
        <w:numPr>
          <w:ilvl w:val="0"/>
          <w:numId w:val="6"/>
        </w:numPr>
        <w:spacing w:line="360" w:lineRule="auto"/>
        <w:jc w:val="both"/>
        <w:rPr>
          <w:rFonts w:ascii="Arial" w:hAnsi="Arial" w:cs="Arial"/>
        </w:rPr>
      </w:pPr>
      <w:r w:rsidRPr="00552376">
        <w:rPr>
          <w:rFonts w:ascii="Arial" w:hAnsi="Arial" w:cs="Arial"/>
        </w:rPr>
        <w:t>Identify prevailing leadership styles across departments.</w:t>
      </w:r>
    </w:p>
    <w:p w14:paraId="597CDB7E" w14:textId="77777777" w:rsidR="00B83FA0" w:rsidRPr="00552376" w:rsidRDefault="00B83FA0" w:rsidP="00B83FA0">
      <w:pPr>
        <w:numPr>
          <w:ilvl w:val="0"/>
          <w:numId w:val="6"/>
        </w:numPr>
        <w:spacing w:line="360" w:lineRule="auto"/>
        <w:jc w:val="both"/>
        <w:rPr>
          <w:rFonts w:ascii="Arial" w:hAnsi="Arial" w:cs="Arial"/>
        </w:rPr>
      </w:pPr>
      <w:r w:rsidRPr="00552376">
        <w:rPr>
          <w:rFonts w:ascii="Arial" w:hAnsi="Arial" w:cs="Arial"/>
        </w:rPr>
        <w:t>Evaluate how women experience empowerment through decision-making, feedback, and participation.</w:t>
      </w:r>
    </w:p>
    <w:p w14:paraId="25FD630A" w14:textId="77777777" w:rsidR="00B83FA0" w:rsidRPr="00552376" w:rsidRDefault="00B83FA0" w:rsidP="00B83FA0">
      <w:pPr>
        <w:numPr>
          <w:ilvl w:val="0"/>
          <w:numId w:val="6"/>
        </w:numPr>
        <w:spacing w:line="360" w:lineRule="auto"/>
        <w:jc w:val="both"/>
        <w:rPr>
          <w:rFonts w:ascii="Arial" w:hAnsi="Arial" w:cs="Arial"/>
        </w:rPr>
      </w:pPr>
      <w:r w:rsidRPr="00552376">
        <w:rPr>
          <w:rFonts w:ascii="Arial" w:hAnsi="Arial" w:cs="Arial"/>
        </w:rPr>
        <w:t>Assess how effectively Hilton’s corporate inclusion programmes operate at the property level.</w:t>
      </w:r>
    </w:p>
    <w:p w14:paraId="04CD508D" w14:textId="77777777" w:rsidR="00B83FA0" w:rsidRPr="00552376" w:rsidRDefault="00B83FA0" w:rsidP="00B83FA0">
      <w:pPr>
        <w:pStyle w:val="ListParagraph"/>
        <w:numPr>
          <w:ilvl w:val="1"/>
          <w:numId w:val="4"/>
        </w:numPr>
        <w:spacing w:line="360" w:lineRule="auto"/>
        <w:jc w:val="both"/>
        <w:rPr>
          <w:rFonts w:ascii="Arial" w:hAnsi="Arial" w:cs="Arial"/>
        </w:rPr>
      </w:pPr>
      <w:r w:rsidRPr="00552376">
        <w:rPr>
          <w:rFonts w:ascii="Arial" w:hAnsi="Arial" w:cs="Arial"/>
          <w:b/>
          <w:bCs/>
        </w:rPr>
        <w:t>Analytical direction</w:t>
      </w:r>
    </w:p>
    <w:p w14:paraId="5397E380" w14:textId="77777777" w:rsidR="00B83FA0" w:rsidRPr="00552376" w:rsidRDefault="00B83FA0" w:rsidP="00B83FA0">
      <w:pPr>
        <w:spacing w:line="360" w:lineRule="auto"/>
        <w:jc w:val="both"/>
        <w:rPr>
          <w:rFonts w:ascii="Arial" w:hAnsi="Arial" w:cs="Arial"/>
        </w:rPr>
      </w:pPr>
      <w:r w:rsidRPr="00552376">
        <w:rPr>
          <w:rFonts w:ascii="Arial" w:hAnsi="Arial" w:cs="Arial"/>
        </w:rPr>
        <w:t>Studying empowerment in situ allows leadership to be seen as practice rather than promise. The findings aim to clarify how gender-inclusive leadership can become habitual within daily hotel work rather than exceptional. The research also offers insight relevant to Hilton’s 2030 parity target, testing how global commitments are converted, or diluted, in local settings.</w:t>
      </w:r>
    </w:p>
    <w:p w14:paraId="04FF7AC6" w14:textId="77777777" w:rsidR="00B83FA0" w:rsidRPr="00552376" w:rsidRDefault="00B83FA0" w:rsidP="00B83FA0">
      <w:pPr>
        <w:pStyle w:val="ListParagraph"/>
        <w:numPr>
          <w:ilvl w:val="1"/>
          <w:numId w:val="4"/>
        </w:numPr>
        <w:spacing w:line="360" w:lineRule="auto"/>
        <w:jc w:val="both"/>
        <w:rPr>
          <w:rFonts w:ascii="Arial" w:hAnsi="Arial" w:cs="Arial"/>
        </w:rPr>
      </w:pPr>
      <w:r w:rsidRPr="00552376">
        <w:rPr>
          <w:rFonts w:ascii="Arial" w:hAnsi="Arial" w:cs="Arial"/>
          <w:b/>
          <w:bCs/>
        </w:rPr>
        <w:t>Dissertation outline</w:t>
      </w:r>
    </w:p>
    <w:p w14:paraId="5815A62A" w14:textId="77777777" w:rsidR="00B83FA0" w:rsidRPr="00552376" w:rsidRDefault="00B83FA0" w:rsidP="00B83FA0">
      <w:pPr>
        <w:spacing w:line="360" w:lineRule="auto"/>
        <w:jc w:val="both"/>
        <w:rPr>
          <w:rFonts w:ascii="Arial" w:hAnsi="Arial" w:cs="Arial"/>
        </w:rPr>
      </w:pPr>
      <w:r w:rsidRPr="00552376">
        <w:rPr>
          <w:rFonts w:ascii="Arial" w:hAnsi="Arial" w:cs="Arial"/>
        </w:rPr>
        <w:t>Chapter 2 - reviews leadership, gender, and empowerment literature in hospitality.</w:t>
      </w:r>
    </w:p>
    <w:p w14:paraId="519487DA" w14:textId="77777777" w:rsidR="00B83FA0" w:rsidRPr="00552376" w:rsidRDefault="00B83FA0" w:rsidP="00B83FA0">
      <w:pPr>
        <w:spacing w:line="360" w:lineRule="auto"/>
        <w:jc w:val="both"/>
        <w:rPr>
          <w:rFonts w:ascii="Arial" w:hAnsi="Arial" w:cs="Arial"/>
        </w:rPr>
      </w:pPr>
      <w:r w:rsidRPr="00552376">
        <w:rPr>
          <w:rFonts w:ascii="Arial" w:hAnsi="Arial" w:cs="Arial"/>
        </w:rPr>
        <w:t>Chapter 3 - details the qualitative case approach and data collection.</w:t>
      </w:r>
    </w:p>
    <w:p w14:paraId="4A2C93EE" w14:textId="77777777" w:rsidR="00B83FA0" w:rsidRPr="00552376" w:rsidRDefault="00B83FA0" w:rsidP="00B83FA0">
      <w:pPr>
        <w:spacing w:line="360" w:lineRule="auto"/>
        <w:jc w:val="both"/>
        <w:rPr>
          <w:rFonts w:ascii="Arial" w:hAnsi="Arial" w:cs="Arial"/>
        </w:rPr>
      </w:pPr>
      <w:r w:rsidRPr="00552376">
        <w:rPr>
          <w:rFonts w:ascii="Arial" w:hAnsi="Arial" w:cs="Arial"/>
        </w:rPr>
        <w:t>Chapter 4 - presents and interprets findings in light of theory.</w:t>
      </w:r>
    </w:p>
    <w:p w14:paraId="2B33F438" w14:textId="77777777" w:rsidR="00B83FA0" w:rsidRPr="00552376" w:rsidRDefault="00B83FA0" w:rsidP="00B83FA0">
      <w:pPr>
        <w:spacing w:line="360" w:lineRule="auto"/>
        <w:jc w:val="both"/>
        <w:rPr>
          <w:rFonts w:ascii="Arial" w:hAnsi="Arial" w:cs="Arial"/>
        </w:rPr>
      </w:pPr>
      <w:r w:rsidRPr="00552376">
        <w:rPr>
          <w:rFonts w:ascii="Arial" w:hAnsi="Arial" w:cs="Arial"/>
        </w:rPr>
        <w:t>Chapter 5 - draws conclusions and advances recommendations for embedding inclusive leadership and structured empowerment across hotel departments.</w:t>
      </w:r>
    </w:p>
    <w:p w14:paraId="032CCB42" w14:textId="77777777" w:rsidR="00B83FA0" w:rsidRPr="00552376" w:rsidRDefault="00B83FA0" w:rsidP="00B83FA0">
      <w:pPr>
        <w:spacing w:line="360" w:lineRule="auto"/>
        <w:jc w:val="both"/>
        <w:rPr>
          <w:rFonts w:ascii="Arial" w:hAnsi="Arial" w:cs="Arial"/>
        </w:rPr>
      </w:pPr>
    </w:p>
    <w:p w14:paraId="687E5E51" w14:textId="77777777" w:rsidR="00B83FA0" w:rsidRPr="00552376" w:rsidRDefault="00B83FA0" w:rsidP="00B83FA0">
      <w:pPr>
        <w:spacing w:line="360" w:lineRule="auto"/>
        <w:jc w:val="both"/>
        <w:rPr>
          <w:rFonts w:ascii="Arial" w:hAnsi="Arial" w:cs="Arial"/>
          <w:b/>
          <w:bCs/>
        </w:rPr>
      </w:pPr>
    </w:p>
    <w:p w14:paraId="52F5443C" w14:textId="77777777" w:rsidR="00B83FA0" w:rsidRPr="00552376" w:rsidRDefault="00B83FA0" w:rsidP="00B83FA0">
      <w:pPr>
        <w:spacing w:line="360" w:lineRule="auto"/>
        <w:jc w:val="both"/>
        <w:rPr>
          <w:rFonts w:ascii="Arial" w:hAnsi="Arial" w:cs="Arial"/>
          <w:b/>
          <w:bCs/>
        </w:rPr>
      </w:pPr>
    </w:p>
    <w:p w14:paraId="2647977A" w14:textId="77777777" w:rsidR="00B83FA0" w:rsidRPr="00552376" w:rsidRDefault="00B83FA0" w:rsidP="00B83FA0">
      <w:pPr>
        <w:spacing w:line="360" w:lineRule="auto"/>
        <w:jc w:val="both"/>
        <w:rPr>
          <w:rFonts w:ascii="Arial" w:hAnsi="Arial" w:cs="Arial"/>
          <w:b/>
          <w:bCs/>
        </w:rPr>
      </w:pPr>
    </w:p>
    <w:p w14:paraId="238AE975" w14:textId="77777777" w:rsidR="00B83FA0" w:rsidRPr="00552376" w:rsidRDefault="00B83FA0" w:rsidP="00B83FA0">
      <w:pPr>
        <w:spacing w:line="360" w:lineRule="auto"/>
        <w:jc w:val="both"/>
        <w:rPr>
          <w:rFonts w:ascii="Arial" w:hAnsi="Arial" w:cs="Arial"/>
          <w:b/>
          <w:bCs/>
        </w:rPr>
      </w:pPr>
    </w:p>
    <w:p w14:paraId="232AE195" w14:textId="77777777" w:rsidR="00B83FA0" w:rsidRPr="00552376" w:rsidRDefault="00B83FA0" w:rsidP="00B83FA0">
      <w:pPr>
        <w:spacing w:line="360" w:lineRule="auto"/>
        <w:jc w:val="both"/>
        <w:rPr>
          <w:rFonts w:ascii="Arial" w:hAnsi="Arial" w:cs="Arial"/>
          <w:b/>
          <w:bCs/>
        </w:rPr>
      </w:pPr>
    </w:p>
    <w:p w14:paraId="3F1CCDD2" w14:textId="77777777" w:rsidR="00B83FA0" w:rsidRPr="00552376" w:rsidRDefault="00B83FA0" w:rsidP="00B83FA0">
      <w:pPr>
        <w:spacing w:line="360" w:lineRule="auto"/>
        <w:jc w:val="both"/>
        <w:rPr>
          <w:rFonts w:ascii="Arial" w:hAnsi="Arial" w:cs="Arial"/>
          <w:b/>
          <w:bCs/>
        </w:rPr>
      </w:pPr>
    </w:p>
    <w:p w14:paraId="4F10D013"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lastRenderedPageBreak/>
        <w:t>Chapter 2</w:t>
      </w:r>
    </w:p>
    <w:p w14:paraId="530B3A20"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t>Literature review</w:t>
      </w:r>
    </w:p>
    <w:p w14:paraId="70C1B391"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t>2.1 Framing leadership and women’s empowerment in hospitality</w:t>
      </w:r>
    </w:p>
    <w:p w14:paraId="5212A8A0" w14:textId="77777777" w:rsidR="00B83FA0" w:rsidRPr="00552376" w:rsidRDefault="00B83FA0" w:rsidP="00B83FA0">
      <w:pPr>
        <w:spacing w:line="360" w:lineRule="auto"/>
        <w:jc w:val="both"/>
        <w:rPr>
          <w:rFonts w:ascii="Arial" w:hAnsi="Arial" w:cs="Arial"/>
        </w:rPr>
      </w:pPr>
      <w:r w:rsidRPr="00552376">
        <w:rPr>
          <w:rFonts w:ascii="Arial" w:hAnsi="Arial" w:cs="Arial"/>
        </w:rPr>
        <w:t>Leadership in hotels sits close to how people feel about work because it touches motivation, retention, and performance. The link with women’s empowerment, however, remains contested, and the arguments do not settle neatly (Papadopoulou, 2021). This sits within a wider conversation too, where, as Li and Twining-Ward (2018) and Cole (2018) argue, empowerment in tourism must move beyond symbolic inclusion toward structural transformation, meaning the point is not simply to involve people but to let them shape outcomes.</w:t>
      </w:r>
    </w:p>
    <w:p w14:paraId="30DBF225" w14:textId="77777777" w:rsidR="00B83FA0" w:rsidRPr="00552376" w:rsidRDefault="00B83FA0" w:rsidP="00B83FA0">
      <w:pPr>
        <w:spacing w:line="360" w:lineRule="auto"/>
        <w:jc w:val="both"/>
        <w:rPr>
          <w:rFonts w:ascii="Arial" w:hAnsi="Arial" w:cs="Arial"/>
        </w:rPr>
      </w:pPr>
      <w:r w:rsidRPr="00552376">
        <w:rPr>
          <w:rFonts w:ascii="Arial" w:hAnsi="Arial" w:cs="Arial"/>
        </w:rPr>
        <w:t>Marinakou (2012) presents transformational leadership as well suited to hospitality because a shared vision, plus personal encouragement, gives employees space to use judgment and to be recognised. It makes sense, of course, because daily service depends on discretion. Hinkin and Tracey (1994) suggest that clear guidance and steady confidence from supervisors help staff maintain purpose when work is fast and emotionally charged. At the same time, Hossny (2019) shows how tightly controlled or transactional routines can wear down morale because rigid command sits poorly with the relational nature of service. The contrast across departments made this visible. Context shifted the tone each time. One pattern stayed steady: empowerment held when tone and structure worked together (Raub and Robert, 2010; Pelit, Öztürk and Arslantürk, 2011).</w:t>
      </w:r>
    </w:p>
    <w:p w14:paraId="00E53E20" w14:textId="77777777" w:rsidR="00B83FA0" w:rsidRPr="00552376" w:rsidRDefault="00B83FA0" w:rsidP="00B83FA0">
      <w:pPr>
        <w:spacing w:line="360" w:lineRule="auto"/>
        <w:jc w:val="both"/>
        <w:rPr>
          <w:rFonts w:ascii="Arial" w:hAnsi="Arial" w:cs="Arial"/>
        </w:rPr>
      </w:pPr>
      <w:r w:rsidRPr="00552376">
        <w:rPr>
          <w:rFonts w:ascii="Arial" w:hAnsi="Arial" w:cs="Arial"/>
        </w:rPr>
        <w:t>Elkhwesky et al. (2022) remind us that the neat categories of “transformational” or “inclusive” leadership can blur once real constraints (time, guest proximity, or task design) start shaping behaviour. What works elegantly at the front desk may fail in Housekeeping or Food and Beverage, where pacing and visibility differ. During the placement at DoubleTree by Hilton Southampton, this variation was impossible to miss. Front Office teams operated with relative discretion; Housekeeping followed strict sequences that left little space for initiative. The contrast suggested something important: empowerment does not arise solely from leadership style. It grows, or fails to grow, within the form of the work itself. Leadership provides the tone, but organisation provides the room in which that tone can be heard.</w:t>
      </w:r>
    </w:p>
    <w:p w14:paraId="758D0C71"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lastRenderedPageBreak/>
        <w:t>2.2 Transformational, transactional and inclusive leadership: implications for empowerment</w:t>
      </w:r>
    </w:p>
    <w:p w14:paraId="3F233B72" w14:textId="77777777" w:rsidR="00B83FA0" w:rsidRPr="00552376" w:rsidRDefault="00B83FA0" w:rsidP="00B83FA0">
      <w:pPr>
        <w:spacing w:line="360" w:lineRule="auto"/>
        <w:jc w:val="both"/>
        <w:rPr>
          <w:rFonts w:ascii="Arial" w:hAnsi="Arial" w:cs="Arial"/>
        </w:rPr>
      </w:pPr>
      <w:r w:rsidRPr="00552376">
        <w:rPr>
          <w:rFonts w:ascii="Arial" w:hAnsi="Arial" w:cs="Arial"/>
        </w:rPr>
        <w:t>Transformational leadership (Burns,1978)</w:t>
      </w:r>
      <w:r w:rsidRPr="00552376">
        <w:rPr>
          <w:rFonts w:ascii="Arial" w:hAnsi="Arial" w:cs="Arial"/>
          <w:b/>
          <w:bCs/>
        </w:rPr>
        <w:t xml:space="preserve"> </w:t>
      </w:r>
      <w:r w:rsidRPr="00552376">
        <w:rPr>
          <w:rFonts w:ascii="Arial" w:hAnsi="Arial" w:cs="Arial"/>
        </w:rPr>
        <w:t>often appears in the literature as the preferred model for building empowerment, almost an article of faith within hotel management studies. Marinakou (2012) found that managers who guide, recognise effort, and bring teams into decision-making tend to lead departments that perform more steadily and with greater morale. Hinkin and Tracey (1994) reached a similar conclusion, noting that transformational habits give daily tasks a sense of meaning by tying them to a wider service purpose. In practice, this alignment matters for women, who frequently occupy the guest-facing roles where discretion and acknowledgment become the main sources of professional dignity. When leadership makes that recognition visible, the psychological effect is immediate.</w:t>
      </w:r>
    </w:p>
    <w:p w14:paraId="45AC551D" w14:textId="77777777" w:rsidR="00B83FA0" w:rsidRPr="00552376" w:rsidRDefault="00B83FA0" w:rsidP="00B83FA0">
      <w:pPr>
        <w:spacing w:line="360" w:lineRule="auto"/>
        <w:jc w:val="both"/>
        <w:rPr>
          <w:rFonts w:ascii="Arial" w:hAnsi="Arial" w:cs="Arial"/>
        </w:rPr>
      </w:pPr>
      <w:r w:rsidRPr="00552376">
        <w:rPr>
          <w:rFonts w:ascii="Arial" w:hAnsi="Arial" w:cs="Arial"/>
        </w:rPr>
        <w:t>Here the balance comes first because outcomes depend on it. Targets, rewards, and close monitoring can steady a shift for a while, yet confidence thins if participation is squeezed out. Hossny (2019) makes that point clearly. The DoubleTree placement showed the trade-off in plain view: when supervisors set goals and asked for ideas, women handled issues on their own; when the same goals arrived as checklists and warnings about time, empowerment fell back to compliance. It is evident that the question is not about picking a “good” transformational style or a “bad” transactional one, because operations rarely permit pure forms. They sit in the middle and keep moving with workload and guest demand. Still, it keeps coming up. Elkhwesky et al. (2022) argue for outcome-based evaluation for exactly this reason, since effectiveness rests on how leadership meets departmental limits, not on the label a manager prefers.</w:t>
      </w:r>
    </w:p>
    <w:p w14:paraId="7F4A050F" w14:textId="77777777" w:rsidR="00B83FA0" w:rsidRPr="00552376" w:rsidRDefault="00B83FA0" w:rsidP="00B83FA0">
      <w:pPr>
        <w:spacing w:line="360" w:lineRule="auto"/>
        <w:jc w:val="both"/>
        <w:rPr>
          <w:rFonts w:ascii="Arial" w:hAnsi="Arial" w:cs="Arial"/>
        </w:rPr>
      </w:pPr>
      <w:r w:rsidRPr="00552376">
        <w:rPr>
          <w:rFonts w:ascii="Arial" w:hAnsi="Arial" w:cs="Arial"/>
        </w:rPr>
        <w:t xml:space="preserve">Inclusion widens the frame because trust, openness, and fairness change how people speak. Siyal et al. (2023) describe psychological empowerment growing through those conditions, which turns briefings into exchanges instead of monologues. During the placement, that was visible in small but useful moments: junior women suggested flow tweaks in pre-shift meetings, and some suggestions were carried into service. This still happens. Yet behaviour on its own does not hold empowerment for long, of course. Without structures that repeat the practice—access to training, shared decision forums, clear delegation—momentum fades. Kruja et al. (2016) warn about this drift. </w:t>
      </w:r>
      <w:r w:rsidRPr="00552376">
        <w:rPr>
          <w:rFonts w:ascii="Arial" w:hAnsi="Arial" w:cs="Arial"/>
        </w:rPr>
        <w:lastRenderedPageBreak/>
        <w:t>In short, leadership can open the door because tone matters, but only systems keep it open by embedding the habit.</w:t>
      </w:r>
    </w:p>
    <w:p w14:paraId="55B1143F"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t>2.3 Gender, leadership identities and context</w:t>
      </w:r>
    </w:p>
    <w:p w14:paraId="0562A236" w14:textId="77777777" w:rsidR="00B83FA0" w:rsidRPr="00552376" w:rsidRDefault="00B83FA0" w:rsidP="00B83FA0">
      <w:pPr>
        <w:spacing w:line="360" w:lineRule="auto"/>
        <w:jc w:val="both"/>
        <w:rPr>
          <w:rFonts w:ascii="Arial" w:hAnsi="Arial" w:cs="Arial"/>
        </w:rPr>
      </w:pPr>
      <w:r w:rsidRPr="00552376">
        <w:rPr>
          <w:rFonts w:ascii="Arial" w:hAnsi="Arial" w:cs="Arial"/>
        </w:rPr>
        <w:t>Debate over style and gender keeps circling back because context keeps pulling it in different directions. Whitelaw and Morda (2004) found that men and women in hotels often act in similar managerial ways, although women use communication and coordination more. That sounds neat on paper, yet on the floor it shows up in smaller, quieter shifts. Guillet et al. (2019) add that female leaders switch between what are labelled masculine, feminine, and neutral stances, adjusting tone to the situation rather than to identity. The DoubleTree placement made that visible because supervisors moved with the work. Directive during fast service recovery when speed mattered. More participative when planning rotas or coaching new staff. It is evident why this helped. The flexibility looks natural, so people overlook the judgement behind it. Still, it keeps coming up.</w:t>
      </w:r>
    </w:p>
    <w:p w14:paraId="33F5A59E" w14:textId="77777777" w:rsidR="00B83FA0" w:rsidRPr="00552376" w:rsidRDefault="00B83FA0" w:rsidP="00B83FA0">
      <w:pPr>
        <w:spacing w:line="360" w:lineRule="auto"/>
        <w:jc w:val="both"/>
        <w:rPr>
          <w:rFonts w:ascii="Arial" w:hAnsi="Arial" w:cs="Arial"/>
        </w:rPr>
      </w:pPr>
      <w:r w:rsidRPr="00552376">
        <w:rPr>
          <w:rFonts w:ascii="Arial" w:hAnsi="Arial" w:cs="Arial"/>
        </w:rPr>
        <w:t>There is a risk because praise can freeze into a rule. When writing claims that women naturally prefer participative leadership, a strength can turn into a boundary, and of course that boundary pushes many women into roles heavy on empathy and light on promotion. The pattern that follows is familiar. Women manage emotion, men manage systems. An adaptive view cuts against that, because it locates leadership in task design and power, not in personality. As Peshave and Gupta (2017) notes, many women in hospitality stay concentrated in guest-facing work with little access to budgeting or strategy. Without that access, even highly capable supervisors see potential applauded in words and then missed in succession plans. In practice, context keeps deciding.</w:t>
      </w:r>
    </w:p>
    <w:p w14:paraId="71DF7A7C" w14:textId="77777777" w:rsidR="00B83FA0" w:rsidRPr="00552376" w:rsidRDefault="00B83FA0" w:rsidP="00B83FA0">
      <w:pPr>
        <w:spacing w:line="360" w:lineRule="auto"/>
        <w:jc w:val="both"/>
        <w:rPr>
          <w:rFonts w:ascii="Arial" w:hAnsi="Arial" w:cs="Arial"/>
        </w:rPr>
      </w:pPr>
      <w:r w:rsidRPr="00552376">
        <w:rPr>
          <w:rFonts w:ascii="Arial" w:hAnsi="Arial" w:cs="Arial"/>
        </w:rPr>
        <w:t>These findings remind us that gender and leadership do not stand apart from context; they interact continuously. In practice, identity is performed through the constraints of time, hierarchy, and departmental culture. And somehow, it keeps returning to the same issue, the point at which recognition meets authority, and where one still too often stops short of the other.</w:t>
      </w:r>
    </w:p>
    <w:p w14:paraId="256AC9F4"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t>2.3 Gender, leadership identities and context</w:t>
      </w:r>
    </w:p>
    <w:p w14:paraId="0CD2667E" w14:textId="77777777" w:rsidR="00B83FA0" w:rsidRPr="00552376" w:rsidRDefault="00B83FA0" w:rsidP="00B83FA0">
      <w:pPr>
        <w:spacing w:line="360" w:lineRule="auto"/>
        <w:jc w:val="both"/>
        <w:rPr>
          <w:rFonts w:ascii="Arial" w:hAnsi="Arial" w:cs="Arial"/>
        </w:rPr>
      </w:pPr>
      <w:r w:rsidRPr="00552376">
        <w:rPr>
          <w:rFonts w:ascii="Arial" w:hAnsi="Arial" w:cs="Arial"/>
        </w:rPr>
        <w:lastRenderedPageBreak/>
        <w:t>Debate continues over whether leadership styles truly align with gendered traits or whether context shapes them more decisively. Whitelaw and Morda (2004) observed that in hospitality, men and women often behave in similar managerial ways, though women tend to rely more on communication and relational coordination. In real practice, agility mattered because context kept shifting. Female supervisors adjusted tone and stance as tasks changed. Directive in fast service recovery, participative when planning rotas or coaching new staff. It is evident why that mix worked. Fashakin and Babalola (2025) broaden this point, suggesting that women move fluidly among what are labelled masculine, feminine, and neutral postures, adapting to circumstance rather than fixed identity. The DoubleTree observations matched that view, and the intelligence behind that flexibility is easy to miss because it looks natural. Still, it keeps coming up (Gittell, 2002; Baum, 2019).</w:t>
      </w:r>
    </w:p>
    <w:p w14:paraId="7EB2A2DF" w14:textId="77777777" w:rsidR="00B83FA0" w:rsidRPr="00552376" w:rsidRDefault="00B83FA0" w:rsidP="00B83FA0">
      <w:pPr>
        <w:spacing w:line="360" w:lineRule="auto"/>
        <w:jc w:val="both"/>
        <w:rPr>
          <w:rFonts w:ascii="Arial" w:hAnsi="Arial" w:cs="Arial"/>
        </w:rPr>
      </w:pPr>
      <w:r w:rsidRPr="00552376">
        <w:rPr>
          <w:rFonts w:ascii="Arial" w:hAnsi="Arial" w:cs="Arial"/>
        </w:rPr>
        <w:t>There is a caution here because praise can harden into a boundary. When writing claims that women naturally favour participative styles, it risks turning a strength into a sorting rule. Of course, that kind of rule pushes many women towards roles that demand empathy while offering little path to promotion, so emotion gets managed while systems remain elsewhere. An adaptive model helps because it places leadership inside task structure and power distribution, not inside personality. As Peshave and Gupta (2017) notes, many women in hospitality remain concentrated in guest-facing work with limited exposure to budgeting or strategy, and without that access even the most capable supervisors see potential praised in words and overlooked in succession plans. In practice, gender and leadership never stand apart from context; they keep interacting, hour by hour.</w:t>
      </w:r>
    </w:p>
    <w:p w14:paraId="261F4092" w14:textId="77777777" w:rsidR="00B83FA0" w:rsidRPr="00552376" w:rsidRDefault="00B83FA0" w:rsidP="00B83FA0">
      <w:pPr>
        <w:spacing w:line="360" w:lineRule="auto"/>
        <w:jc w:val="both"/>
        <w:rPr>
          <w:rFonts w:ascii="Arial" w:hAnsi="Arial" w:cs="Arial"/>
        </w:rPr>
      </w:pPr>
      <w:r w:rsidRPr="00552376">
        <w:rPr>
          <w:rFonts w:ascii="Arial" w:hAnsi="Arial" w:cs="Arial"/>
        </w:rPr>
        <w:t>In practice, identity is performed through the constraints of time, hierarchy, and departmental culture. And somehow, it keeps returning to the same issue to the point at which recognition meets authority, and where one still too often stops short of the other.</w:t>
      </w:r>
    </w:p>
    <w:p w14:paraId="17FCE8C0"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t xml:space="preserve">2.4 Structural enablers of empowerment </w:t>
      </w:r>
    </w:p>
    <w:p w14:paraId="5C79BAB5" w14:textId="77777777" w:rsidR="00B83FA0" w:rsidRPr="00552376" w:rsidRDefault="00B83FA0" w:rsidP="00B83FA0">
      <w:pPr>
        <w:spacing w:line="360" w:lineRule="auto"/>
        <w:jc w:val="both"/>
        <w:rPr>
          <w:rFonts w:ascii="Arial" w:hAnsi="Arial" w:cs="Arial"/>
        </w:rPr>
      </w:pPr>
      <w:r w:rsidRPr="00552376">
        <w:rPr>
          <w:rFonts w:ascii="Arial" w:hAnsi="Arial" w:cs="Arial"/>
        </w:rPr>
        <w:t xml:space="preserve">Most studies agree that empowerment does not simply appear because a leader intends it. It becomes real when embedded within organisational structures that make participation routine. Kruja et al. (2016) argue that training, trust, and shared decision mechanisms turn intention into practice, while Siyal et al. (2023) show that when </w:t>
      </w:r>
      <w:r w:rsidRPr="00552376">
        <w:rPr>
          <w:rFonts w:ascii="Arial" w:hAnsi="Arial" w:cs="Arial"/>
        </w:rPr>
        <w:lastRenderedPageBreak/>
        <w:t>employees perceive fairness and openness, they internalise a sense of influence that strengthens performance. In theory, company frameworks such as ESG policies or leadership development programmes could serve as the scaffolding that carries these values forward (Murni, Ruki and Antara 2021). In practice, many remain disconnected from daily work. Shende, Gumaste and Joshi (2020) and Murni et al. (2021) cautions that initiatives lose force when treated as symbolic rather than functional, and this concern was reflected in the placement, where corporate schemes were rarely mentioned during morning briefings or departmental meetings.</w:t>
      </w:r>
    </w:p>
    <w:p w14:paraId="44FC8AFE" w14:textId="77777777" w:rsidR="00B83FA0" w:rsidRPr="00552376" w:rsidRDefault="00B83FA0" w:rsidP="00B83FA0">
      <w:pPr>
        <w:spacing w:line="360" w:lineRule="auto"/>
        <w:jc w:val="both"/>
        <w:rPr>
          <w:rFonts w:ascii="Arial" w:hAnsi="Arial" w:cs="Arial"/>
        </w:rPr>
      </w:pPr>
      <w:r w:rsidRPr="00552376">
        <w:rPr>
          <w:rFonts w:ascii="Arial" w:hAnsi="Arial" w:cs="Arial"/>
        </w:rPr>
        <w:t>Mentoring is one clear route for turning empowerment from words into routine, because guidance and sponsorship make progression visible. Knutson and Cichy (2002) report that many women who advance in hospitality point to mentors who combine sponsorship, honest feedback, and ethical guidance. Even so, they also note persistent bias in recognition systems that limits access to these relationships. Jadnanansing et al. (2021) describe a similar pattern, where stereotypes narrow women’s reach to senior mentors, especially in operational roles. The DoubleTree placement echoed this imbalance. Informal tips moved easily across shifts, of course, yet formal pairs were rare. Support came down to the goodwill of individual supervisors, so access varied by department and by week. Still, it keeps coming up.</w:t>
      </w:r>
    </w:p>
    <w:p w14:paraId="276D18ED" w14:textId="77777777" w:rsidR="00B83FA0" w:rsidRPr="00552376" w:rsidRDefault="00B83FA0" w:rsidP="00B83FA0">
      <w:pPr>
        <w:spacing w:line="360" w:lineRule="auto"/>
        <w:jc w:val="both"/>
        <w:rPr>
          <w:rFonts w:ascii="Arial" w:hAnsi="Arial" w:cs="Arial"/>
        </w:rPr>
      </w:pPr>
      <w:r w:rsidRPr="00552376">
        <w:rPr>
          <w:rFonts w:ascii="Arial" w:hAnsi="Arial" w:cs="Arial"/>
        </w:rPr>
        <w:t>Put together, the literature and the placement imply that empowerment holds only when trust and shared responsibility are anchored in policy because habits need structure. Leadership can set the tone, but the tone fades without rules that keep learning, delegation, and voice in play. The logic is simple and demanding. Sustainable empowerment depends less on personal style and more on how the organisation chooses to formalise care, training, and fairness inside everyday systems.</w:t>
      </w:r>
    </w:p>
    <w:p w14:paraId="1F621018"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t>2.5 Barriers, factors, and the glass ceiling in hotels</w:t>
      </w:r>
    </w:p>
    <w:p w14:paraId="101033F3" w14:textId="77777777" w:rsidR="00B83FA0" w:rsidRPr="00552376" w:rsidRDefault="00B83FA0" w:rsidP="00B83FA0">
      <w:pPr>
        <w:spacing w:line="360" w:lineRule="auto"/>
        <w:jc w:val="both"/>
        <w:rPr>
          <w:rFonts w:ascii="Arial" w:hAnsi="Arial" w:cs="Arial"/>
        </w:rPr>
      </w:pPr>
      <w:r w:rsidRPr="00552376">
        <w:rPr>
          <w:rFonts w:ascii="Arial" w:hAnsi="Arial" w:cs="Arial"/>
        </w:rPr>
        <w:t xml:space="preserve">The literature continues to reveal how persistent the structural ceiling remains within hospitality management. Diaz and Umbreit (1994) anticipated that participatory forms of leadership would gain legitimacy over time, creating new opportunities for women. Yet progress has been uneven, and the ceiling has shifted rather than disappeared. Kumari (2017) demonstrates that job allocation still follows gendered lines: women dominate service and support functions, while strategic and financial positions remain largely male. Whitelaw (2013) adds that frontline managers in hotels are often required </w:t>
      </w:r>
      <w:r w:rsidRPr="00552376">
        <w:rPr>
          <w:rFonts w:ascii="Arial" w:hAnsi="Arial" w:cs="Arial"/>
        </w:rPr>
        <w:lastRenderedPageBreak/>
        <w:t>to show emotional strength and rapid judgment under pressure. When these traits are not formally recognised as leadership criteria, the women who demonstrate them daily are seen as dependable rather than promotable.</w:t>
      </w:r>
    </w:p>
    <w:p w14:paraId="58A5B2D7" w14:textId="77777777" w:rsidR="00B83FA0" w:rsidRPr="00552376" w:rsidRDefault="00B83FA0" w:rsidP="00B83FA0">
      <w:pPr>
        <w:spacing w:line="360" w:lineRule="auto"/>
        <w:jc w:val="both"/>
        <w:rPr>
          <w:rFonts w:ascii="Arial" w:hAnsi="Arial" w:cs="Arial"/>
        </w:rPr>
      </w:pPr>
      <w:r w:rsidRPr="00552376">
        <w:rPr>
          <w:rFonts w:ascii="Arial" w:hAnsi="Arial" w:cs="Arial"/>
        </w:rPr>
        <w:t>Such patterns were also evident during the DoubleTree placement. Women were highly visible in guest-facing and supervisory roles, but their presence thinned at the level where planning and resource control took place (Gomes and Blake's study, 2020). Tasks linked to scheduling, inventory, or budgeting were largely reserved for senior or male staff. These are precisely the experiences that often serve as gateways to promotion. The absence of that exposure limits progression regardless of capability.</w:t>
      </w:r>
    </w:p>
    <w:p w14:paraId="67CAB978" w14:textId="77777777" w:rsidR="00B83FA0" w:rsidRPr="00552376" w:rsidRDefault="00B83FA0" w:rsidP="00B83FA0">
      <w:pPr>
        <w:spacing w:line="360" w:lineRule="auto"/>
        <w:jc w:val="both"/>
        <w:rPr>
          <w:rFonts w:ascii="Arial" w:hAnsi="Arial" w:cs="Arial"/>
        </w:rPr>
      </w:pPr>
      <w:r w:rsidRPr="00552376">
        <w:rPr>
          <w:rFonts w:ascii="Arial" w:hAnsi="Arial" w:cs="Arial"/>
        </w:rPr>
        <w:t>A related constraint lies in the distance between corporate intention and everyday routine. Elkhwesky et al. (2022) identify this as a policy–practice gap, arguing that leadership studies often promise inclusion but fail to show how it operates over time. Brand messages travelled less than expected because daily routines were driven by speed and compliance. Hilton’s diversity aims were clear at brand level, of course, but they did not consistently reach the shift. Empowerment showed up where local managers deliberately opened space for participation. It faded where the tempo demanded quick correction and tight control. It is evident the lever sat in practice, not in slogans.</w:t>
      </w:r>
    </w:p>
    <w:p w14:paraId="673A28DA" w14:textId="77777777" w:rsidR="00B83FA0" w:rsidRPr="00552376" w:rsidRDefault="00B83FA0" w:rsidP="00B83FA0">
      <w:pPr>
        <w:spacing w:line="360" w:lineRule="auto"/>
        <w:jc w:val="both"/>
        <w:rPr>
          <w:rFonts w:ascii="Arial" w:hAnsi="Arial" w:cs="Arial"/>
        </w:rPr>
      </w:pPr>
      <w:r w:rsidRPr="00552376">
        <w:rPr>
          <w:rFonts w:ascii="Arial" w:hAnsi="Arial" w:cs="Arial"/>
        </w:rPr>
        <w:t>In plain terms, barriers to women’s progression in hotels come from everyday arrangements of work. Not from abstract ideas. The main levers are already known: participative leadership, access to strategic tasks, and fair recognition. What remains uncertain is consistency, because organisations still vary in how firmly they apply these levers. And somehow, that question keeps returning, quietly, in every conversation about parity and inclusion.</w:t>
      </w:r>
    </w:p>
    <w:p w14:paraId="3D3E217E"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t>2.6 Integrating leadership theory with the DoubleTree case</w:t>
      </w:r>
    </w:p>
    <w:p w14:paraId="1397A0A3" w14:textId="77777777" w:rsidR="00B83FA0" w:rsidRPr="00552376" w:rsidRDefault="00B83FA0" w:rsidP="00B83FA0">
      <w:pPr>
        <w:spacing w:line="360" w:lineRule="auto"/>
        <w:jc w:val="both"/>
        <w:rPr>
          <w:rFonts w:ascii="Arial" w:hAnsi="Arial" w:cs="Arial"/>
        </w:rPr>
      </w:pPr>
      <w:r w:rsidRPr="00552376">
        <w:rPr>
          <w:rFonts w:ascii="Arial" w:hAnsi="Arial" w:cs="Arial"/>
        </w:rPr>
        <w:t>Confidence grew where behaviour, task design, and structure lined up because style alone did not carry empowerment. Coaching, recognition, and open discussion helped female employees only when real authority followed. When supervisors allowed staff to resolve guest issues directly, empowerment became visible and measurable, which reflects the mechanism described by Hinkin and Tracey (1994) and matches the empowerment pathway outlined by Siyal et al. (2023).</w:t>
      </w:r>
    </w:p>
    <w:p w14:paraId="3AFA5A18" w14:textId="77777777" w:rsidR="00B83FA0" w:rsidRPr="00552376" w:rsidRDefault="00B83FA0" w:rsidP="00B83FA0">
      <w:pPr>
        <w:spacing w:line="360" w:lineRule="auto"/>
        <w:jc w:val="both"/>
        <w:rPr>
          <w:rFonts w:ascii="Arial" w:hAnsi="Arial" w:cs="Arial"/>
        </w:rPr>
      </w:pPr>
      <w:r w:rsidRPr="00552376">
        <w:rPr>
          <w:rFonts w:ascii="Arial" w:hAnsi="Arial" w:cs="Arial"/>
        </w:rPr>
        <w:lastRenderedPageBreak/>
        <w:t>Control held tight in other areas because routine dominated the day. Departments with standardised tasks restricted autonomy and dulled initiative, and the effect matched Hossny’s (2019) warning that directive systems can suppress satisfaction and weaken voice when participation is scarce. Here, leadership intent was overshadowed by work design.</w:t>
      </w:r>
    </w:p>
    <w:p w14:paraId="315F0C22" w14:textId="77777777" w:rsidR="00B83FA0" w:rsidRPr="00552376" w:rsidRDefault="00B83FA0" w:rsidP="00B83FA0">
      <w:pPr>
        <w:spacing w:line="360" w:lineRule="auto"/>
        <w:jc w:val="both"/>
        <w:rPr>
          <w:rFonts w:ascii="Arial" w:hAnsi="Arial" w:cs="Arial"/>
        </w:rPr>
      </w:pPr>
      <w:r w:rsidRPr="00552376">
        <w:rPr>
          <w:rFonts w:ascii="Arial" w:hAnsi="Arial" w:cs="Arial"/>
        </w:rPr>
        <w:t>From an empowerment angle, the question is simple: are people consistently trusted to decide and then recognised for it. Titles and labels matter less. Stability arrives when formal supports carry the behaviour across weeks because habits need scaffolding. Kruja et al. (2016) argue that empowerment becomes steady only when structures such as training frameworks and shared decision forums exist, and the DoubleTree pattern aligned with that view.</w:t>
      </w:r>
    </w:p>
    <w:p w14:paraId="26613DC8" w14:textId="52F509AC" w:rsidR="00B83FA0" w:rsidRPr="00552376" w:rsidRDefault="00B83FA0" w:rsidP="00B83FA0">
      <w:pPr>
        <w:spacing w:line="360" w:lineRule="auto"/>
        <w:jc w:val="both"/>
        <w:rPr>
          <w:rFonts w:ascii="Arial" w:hAnsi="Arial" w:cs="Arial"/>
        </w:rPr>
      </w:pPr>
      <w:r w:rsidRPr="00552376">
        <w:rPr>
          <w:rFonts w:ascii="Arial" w:hAnsi="Arial" w:cs="Arial"/>
        </w:rPr>
        <w:t>Evidence from the placement indicates that these structures existed in partial form and were dependent on individual managers rather than on policy. Leadership mattered, yet it operated within boundaries that it did not fully control.</w:t>
      </w:r>
    </w:p>
    <w:p w14:paraId="7B8BFBCB" w14:textId="77777777" w:rsidR="00B83FA0" w:rsidRPr="00552376" w:rsidRDefault="00B83FA0" w:rsidP="00B83FA0">
      <w:pPr>
        <w:spacing w:line="360" w:lineRule="auto"/>
        <w:jc w:val="both"/>
        <w:rPr>
          <w:rFonts w:ascii="Arial" w:hAnsi="Arial" w:cs="Arial"/>
        </w:rPr>
      </w:pPr>
      <w:r w:rsidRPr="00552376">
        <w:rPr>
          <w:rFonts w:ascii="Arial" w:hAnsi="Arial" w:cs="Arial"/>
        </w:rPr>
        <w:t>In summary, the case reinforces that empowerment is sustained through systems, not speeches. Leadership can inspire, but only institutional frameworks can ensure that authority and trust are repeated daily rather than granted occasionally.</w:t>
      </w:r>
    </w:p>
    <w:p w14:paraId="4447884B"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t>2.7 Gaps and direction for the present study</w:t>
      </w:r>
    </w:p>
    <w:p w14:paraId="07446E4E" w14:textId="77777777" w:rsidR="00B83FA0" w:rsidRPr="00552376" w:rsidRDefault="00B83FA0" w:rsidP="00B83FA0">
      <w:pPr>
        <w:spacing w:line="360" w:lineRule="auto"/>
        <w:jc w:val="both"/>
        <w:rPr>
          <w:rFonts w:ascii="Arial" w:hAnsi="Arial" w:cs="Arial"/>
        </w:rPr>
      </w:pPr>
      <w:r w:rsidRPr="00552376">
        <w:rPr>
          <w:rFonts w:ascii="Arial" w:hAnsi="Arial" w:cs="Arial"/>
        </w:rPr>
        <w:t>Several gaps within existing research justify the need for this investigation. Elkhwesky et al. (2022) point out that hospitality leadership studies often treat leadership styles as fixed categories, rarely addressing how departmental context shapes their effects. The case of DoubleTree by Hilton Southampton allows this relationship to be examined in detail. It provides a chance to observe how leadership behaviour interacts with task structure and daily pressures to produce very different empowerment experiences for women within the same organisation.</w:t>
      </w:r>
    </w:p>
    <w:p w14:paraId="67485DA2" w14:textId="77777777" w:rsidR="00B83FA0" w:rsidRPr="00552376" w:rsidRDefault="00B83FA0" w:rsidP="00B83FA0">
      <w:pPr>
        <w:spacing w:line="360" w:lineRule="auto"/>
        <w:jc w:val="both"/>
        <w:rPr>
          <w:rFonts w:ascii="Arial" w:hAnsi="Arial" w:cs="Arial"/>
        </w:rPr>
      </w:pPr>
      <w:r w:rsidRPr="00552376">
        <w:rPr>
          <w:rFonts w:ascii="Arial" w:hAnsi="Arial" w:cs="Arial"/>
        </w:rPr>
        <w:t xml:space="preserve">Another gap lies in how corporate initiatives are evaluated. Much of the literature considers them only at policy level, leaving little understanding of what happens once they reach individual properties. Ispas (2010) reminds researchers that real progress can only be measured through operational application rather than written commitments. Observing practice during the placement therefore provided meaningful evidence of how programmes such as Women in Leadership or well-being schemes </w:t>
      </w:r>
      <w:r w:rsidRPr="00552376">
        <w:rPr>
          <w:rFonts w:ascii="Arial" w:hAnsi="Arial" w:cs="Arial"/>
        </w:rPr>
        <w:lastRenderedPageBreak/>
        <w:t>are translated into daily procedures. The presence or absence of these routines shows whether empowerment is held up by structure or left to individual discretion because systems either carry it or they do not. It is evident that the difference becomes visible in daily work.</w:t>
      </w:r>
    </w:p>
    <w:p w14:paraId="5E3CEBA3" w14:textId="77777777" w:rsidR="00B83FA0" w:rsidRPr="00552376" w:rsidRDefault="00B83FA0" w:rsidP="00B83FA0">
      <w:pPr>
        <w:spacing w:line="360" w:lineRule="auto"/>
        <w:jc w:val="both"/>
        <w:rPr>
          <w:rFonts w:ascii="Arial" w:hAnsi="Arial" w:cs="Arial"/>
          <w:b/>
          <w:bCs/>
        </w:rPr>
      </w:pPr>
      <w:r w:rsidRPr="00552376">
        <w:rPr>
          <w:rFonts w:ascii="Arial" w:hAnsi="Arial" w:cs="Arial"/>
        </w:rPr>
        <w:t>A limitation in existing research is methodological. Much of the literature relies on cross-sectional surveys that capture opinion at one moment, which leaves the process of empowerment unseen. The placement logs used here add a time dimension, showing how mentoring, delegation, and confidence shift over several weeks, which connects with concerns raised by Knutson and Cichy (2002) and Jadnanansing et al. (2021). The pattern keeps returning. Leadership can support women’s progression, but only when systems reinforce it. Weak role design and uneven access to development still restrain outcomes, a point also reflected in Stoyka’s (2023) discussion.</w:t>
      </w:r>
    </w:p>
    <w:p w14:paraId="6228B99C" w14:textId="77777777" w:rsidR="00B83FA0" w:rsidRPr="00552376" w:rsidRDefault="00B83FA0" w:rsidP="00B83FA0">
      <w:pPr>
        <w:spacing w:line="360" w:lineRule="auto"/>
        <w:jc w:val="both"/>
        <w:rPr>
          <w:rFonts w:ascii="Arial" w:hAnsi="Arial" w:cs="Arial"/>
          <w:b/>
          <w:bCs/>
        </w:rPr>
      </w:pPr>
    </w:p>
    <w:p w14:paraId="4F657701" w14:textId="77777777" w:rsidR="00B83FA0" w:rsidRPr="00552376" w:rsidRDefault="00B83FA0" w:rsidP="00B83FA0">
      <w:pPr>
        <w:spacing w:line="360" w:lineRule="auto"/>
        <w:jc w:val="both"/>
        <w:rPr>
          <w:rFonts w:ascii="Arial" w:hAnsi="Arial" w:cs="Arial"/>
          <w:b/>
          <w:bCs/>
        </w:rPr>
      </w:pPr>
    </w:p>
    <w:p w14:paraId="02933955" w14:textId="77777777" w:rsidR="00B83FA0" w:rsidRPr="00552376" w:rsidRDefault="00B83FA0" w:rsidP="00B83FA0">
      <w:pPr>
        <w:spacing w:line="360" w:lineRule="auto"/>
        <w:jc w:val="both"/>
        <w:rPr>
          <w:rFonts w:ascii="Arial" w:hAnsi="Arial" w:cs="Arial"/>
          <w:b/>
          <w:bCs/>
        </w:rPr>
      </w:pPr>
    </w:p>
    <w:p w14:paraId="650B2ECB" w14:textId="77777777" w:rsidR="00B83FA0" w:rsidRPr="00552376" w:rsidRDefault="00B83FA0" w:rsidP="00B83FA0">
      <w:pPr>
        <w:spacing w:line="360" w:lineRule="auto"/>
        <w:jc w:val="both"/>
        <w:rPr>
          <w:rFonts w:ascii="Arial" w:hAnsi="Arial" w:cs="Arial"/>
          <w:b/>
          <w:bCs/>
        </w:rPr>
      </w:pPr>
    </w:p>
    <w:p w14:paraId="790F156F" w14:textId="77777777" w:rsidR="00B83FA0" w:rsidRPr="00552376" w:rsidRDefault="00B83FA0" w:rsidP="00B83FA0">
      <w:pPr>
        <w:spacing w:line="360" w:lineRule="auto"/>
        <w:jc w:val="both"/>
        <w:rPr>
          <w:rFonts w:ascii="Arial" w:hAnsi="Arial" w:cs="Arial"/>
          <w:b/>
          <w:bCs/>
        </w:rPr>
      </w:pPr>
    </w:p>
    <w:p w14:paraId="52B6458C" w14:textId="77777777" w:rsidR="00B83FA0" w:rsidRPr="00552376" w:rsidRDefault="00B83FA0" w:rsidP="00B83FA0">
      <w:pPr>
        <w:spacing w:line="360" w:lineRule="auto"/>
        <w:jc w:val="both"/>
        <w:rPr>
          <w:rFonts w:ascii="Arial" w:hAnsi="Arial" w:cs="Arial"/>
          <w:b/>
          <w:bCs/>
        </w:rPr>
      </w:pPr>
    </w:p>
    <w:p w14:paraId="35970060" w14:textId="77777777" w:rsidR="00B83FA0" w:rsidRPr="00552376" w:rsidRDefault="00B83FA0" w:rsidP="00B83FA0">
      <w:pPr>
        <w:spacing w:line="360" w:lineRule="auto"/>
        <w:jc w:val="both"/>
        <w:rPr>
          <w:rFonts w:ascii="Arial" w:hAnsi="Arial" w:cs="Arial"/>
          <w:b/>
          <w:bCs/>
        </w:rPr>
      </w:pPr>
    </w:p>
    <w:p w14:paraId="7CF627A8" w14:textId="77777777" w:rsidR="00B83FA0" w:rsidRPr="00552376" w:rsidRDefault="00B83FA0" w:rsidP="00B83FA0">
      <w:pPr>
        <w:spacing w:line="360" w:lineRule="auto"/>
        <w:jc w:val="both"/>
        <w:rPr>
          <w:rFonts w:ascii="Arial" w:hAnsi="Arial" w:cs="Arial"/>
          <w:b/>
          <w:bCs/>
        </w:rPr>
      </w:pPr>
    </w:p>
    <w:p w14:paraId="0A5C4E7F" w14:textId="77777777" w:rsidR="00B83FA0" w:rsidRPr="00552376" w:rsidRDefault="00B83FA0" w:rsidP="00B83FA0">
      <w:pPr>
        <w:spacing w:line="360" w:lineRule="auto"/>
        <w:jc w:val="both"/>
        <w:rPr>
          <w:rFonts w:ascii="Arial" w:hAnsi="Arial" w:cs="Arial"/>
          <w:b/>
          <w:bCs/>
        </w:rPr>
      </w:pPr>
    </w:p>
    <w:p w14:paraId="123C185C" w14:textId="77777777" w:rsidR="00B83FA0" w:rsidRPr="00552376" w:rsidRDefault="00B83FA0" w:rsidP="00B83FA0">
      <w:pPr>
        <w:spacing w:line="360" w:lineRule="auto"/>
        <w:jc w:val="both"/>
        <w:rPr>
          <w:rFonts w:ascii="Arial" w:hAnsi="Arial" w:cs="Arial"/>
          <w:b/>
          <w:bCs/>
        </w:rPr>
      </w:pPr>
    </w:p>
    <w:p w14:paraId="267F3A12" w14:textId="77777777" w:rsidR="00B83FA0" w:rsidRPr="00552376" w:rsidRDefault="00B83FA0" w:rsidP="00B83FA0">
      <w:pPr>
        <w:spacing w:line="360" w:lineRule="auto"/>
        <w:jc w:val="both"/>
        <w:rPr>
          <w:rFonts w:ascii="Arial" w:hAnsi="Arial" w:cs="Arial"/>
          <w:b/>
          <w:bCs/>
        </w:rPr>
      </w:pPr>
    </w:p>
    <w:p w14:paraId="79E3844D" w14:textId="77777777" w:rsidR="00B83FA0" w:rsidRPr="00552376" w:rsidRDefault="00B83FA0" w:rsidP="00B83FA0">
      <w:pPr>
        <w:spacing w:line="360" w:lineRule="auto"/>
        <w:jc w:val="both"/>
        <w:rPr>
          <w:rFonts w:ascii="Arial" w:hAnsi="Arial" w:cs="Arial"/>
          <w:b/>
          <w:bCs/>
        </w:rPr>
      </w:pPr>
    </w:p>
    <w:p w14:paraId="28576DEB" w14:textId="77777777" w:rsidR="00B83FA0" w:rsidRPr="00552376" w:rsidRDefault="00B83FA0" w:rsidP="00B83FA0">
      <w:pPr>
        <w:spacing w:line="360" w:lineRule="auto"/>
        <w:jc w:val="both"/>
        <w:rPr>
          <w:rFonts w:ascii="Arial" w:hAnsi="Arial" w:cs="Arial"/>
          <w:b/>
          <w:bCs/>
        </w:rPr>
      </w:pPr>
    </w:p>
    <w:p w14:paraId="3D20923C" w14:textId="77777777" w:rsidR="00B83FA0" w:rsidRPr="00552376" w:rsidRDefault="00B83FA0" w:rsidP="00B83FA0">
      <w:pPr>
        <w:spacing w:line="360" w:lineRule="auto"/>
        <w:jc w:val="both"/>
        <w:rPr>
          <w:rFonts w:ascii="Arial" w:hAnsi="Arial" w:cs="Arial"/>
          <w:b/>
          <w:bCs/>
        </w:rPr>
      </w:pPr>
    </w:p>
    <w:p w14:paraId="2596D4AD"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lastRenderedPageBreak/>
        <w:t>Chapter 3</w:t>
      </w:r>
    </w:p>
    <w:p w14:paraId="2669B243"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t>Methodology</w:t>
      </w:r>
    </w:p>
    <w:p w14:paraId="3FE87DC5" w14:textId="77777777" w:rsidR="00B83FA0" w:rsidRPr="00552376" w:rsidRDefault="00B83FA0" w:rsidP="00B83FA0">
      <w:pPr>
        <w:spacing w:line="360" w:lineRule="auto"/>
        <w:jc w:val="both"/>
        <w:rPr>
          <w:rFonts w:ascii="Arial" w:hAnsi="Arial" w:cs="Arial"/>
        </w:rPr>
      </w:pPr>
      <w:r w:rsidRPr="00552376">
        <w:rPr>
          <w:rFonts w:ascii="Arial" w:hAnsi="Arial" w:cs="Arial"/>
        </w:rPr>
        <w:t>A qualitative case-study approach was used to examine how leadership behaviours shape women’s empowerment in hotel operations at DoubleTree by Hilton Southampton because the goal was to see practice in working conditions, not only on paper. The method captures organisational behaviour as it unfolds during real shifts and real pressures. Yin (2014) explains that case studies suit questions that begin with how or why because they reveal the reasoning inside social processes. Creswell (2013) also notes that qualitative inquiry helps interpret meaning from lived experience instead of reducing it to frequency or correlation. In hospitality, where hierarchy, culture, and relationships influence empowerment every hour of the day, this interpretivist orientation offers a faithful lens. It is evident why. The work is relational, the pace is uneven, and sense-making happens on the floor. Still, it keeps coming up.</w:t>
      </w:r>
    </w:p>
    <w:p w14:paraId="552DC8B4"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t>3.1 Research Design</w:t>
      </w:r>
    </w:p>
    <w:p w14:paraId="58798EEF" w14:textId="77777777" w:rsidR="00B83FA0" w:rsidRPr="00552376" w:rsidRDefault="00B83FA0" w:rsidP="00B83FA0">
      <w:pPr>
        <w:spacing w:line="360" w:lineRule="auto"/>
        <w:jc w:val="both"/>
        <w:rPr>
          <w:rFonts w:ascii="Arial" w:hAnsi="Arial" w:cs="Arial"/>
        </w:rPr>
      </w:pPr>
      <w:r w:rsidRPr="00552376">
        <w:rPr>
          <w:rFonts w:ascii="Arial" w:hAnsi="Arial" w:cs="Arial"/>
        </w:rPr>
        <w:t>The project centres on one bounded case defined by location (DoubleTree Southampton) and by time (a ten-week professional placement). The purpose was to trace how leadership practices operate across departments under everyday pressure, because that is where empowerment is either allowed or delayed. Stake (1995) argued that a well-studied case can offer depth that large surveys often miss when the aim is analytical generalisation and the purpose is insight over counting. Following this line, the design relies on multiple qualitative sources to secure validity through triangulation while staying close to lived experience, a matter also pointed out by Denzin (1978) and Patton (2012). Participant observation, reflective logs, and document analysis were combined, so evidence could be compared across sources and across days (Yin, 2018). Of course, the mix keeps the view grounded and reduces blind spots. In practice, that balance mattered (Flick, 2018; Tracy, 2010).</w:t>
      </w:r>
    </w:p>
    <w:p w14:paraId="4A6D5618"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t>3.2 Data Collection Methods</w:t>
      </w:r>
    </w:p>
    <w:p w14:paraId="5F8CA671" w14:textId="77777777" w:rsidR="00B83FA0" w:rsidRPr="00552376" w:rsidRDefault="00B83FA0" w:rsidP="00B83FA0">
      <w:pPr>
        <w:spacing w:line="360" w:lineRule="auto"/>
        <w:jc w:val="both"/>
        <w:rPr>
          <w:rFonts w:ascii="Arial" w:hAnsi="Arial" w:cs="Arial"/>
        </w:rPr>
      </w:pPr>
      <w:r w:rsidRPr="00552376">
        <w:rPr>
          <w:rFonts w:ascii="Arial" w:hAnsi="Arial" w:cs="Arial"/>
        </w:rPr>
        <w:t>Four main sources of data were used: participant observation, reflective learning logs, informal staff discussions, and document analysis.</w:t>
      </w:r>
    </w:p>
    <w:p w14:paraId="31DA2115" w14:textId="77777777" w:rsidR="00B83FA0" w:rsidRPr="00552376" w:rsidRDefault="00B83FA0" w:rsidP="00B83FA0">
      <w:pPr>
        <w:spacing w:line="360" w:lineRule="auto"/>
        <w:jc w:val="both"/>
        <w:rPr>
          <w:rFonts w:ascii="Arial" w:hAnsi="Arial" w:cs="Arial"/>
        </w:rPr>
      </w:pPr>
      <w:r w:rsidRPr="00552376">
        <w:rPr>
          <w:rFonts w:ascii="Arial" w:hAnsi="Arial" w:cs="Arial"/>
        </w:rPr>
        <w:t xml:space="preserve">As a placement student, the researcher adopted the participant-as-observer stance described by Gold (1958), taking part in daily operations but keeping a measured </w:t>
      </w:r>
      <w:r w:rsidRPr="00552376">
        <w:rPr>
          <w:rFonts w:ascii="Arial" w:hAnsi="Arial" w:cs="Arial"/>
        </w:rPr>
        <w:lastRenderedPageBreak/>
        <w:t>analytical distance. This dual presence made it possible to record leadership interactions, delegation patterns, and empowerment practices as they occurred. Observations covered Front Office, Food and Beverage, and Housekeeping, which differ markedly in pace, visibility, and gender composition.</w:t>
      </w:r>
    </w:p>
    <w:p w14:paraId="1833E8EA" w14:textId="77777777" w:rsidR="00B83FA0" w:rsidRPr="00552376" w:rsidRDefault="00B83FA0" w:rsidP="00B83FA0">
      <w:pPr>
        <w:spacing w:line="360" w:lineRule="auto"/>
        <w:jc w:val="both"/>
        <w:rPr>
          <w:rFonts w:ascii="Arial" w:hAnsi="Arial" w:cs="Arial"/>
        </w:rPr>
      </w:pPr>
      <w:r w:rsidRPr="00552376">
        <w:rPr>
          <w:rFonts w:ascii="Arial" w:hAnsi="Arial" w:cs="Arial"/>
        </w:rPr>
        <w:t>The reflective learning logs, structured through Gibbs’s (1988) reflective cycle, produced longitudinal notes that traced how perceptions of leadership evolved over the ten weeks. Reflection transformed observation into interpretation by linking emotional reaction to theoretical awareness, echoing Schön (1983) who treats reflection as a form of professional learning.</w:t>
      </w:r>
    </w:p>
    <w:p w14:paraId="1A7B1B06" w14:textId="77777777" w:rsidR="00B83FA0" w:rsidRPr="00552376" w:rsidRDefault="00B83FA0" w:rsidP="00B83FA0">
      <w:pPr>
        <w:spacing w:line="360" w:lineRule="auto"/>
        <w:jc w:val="both"/>
        <w:rPr>
          <w:rFonts w:ascii="Arial" w:hAnsi="Arial" w:cs="Arial"/>
        </w:rPr>
      </w:pPr>
      <w:r w:rsidRPr="00552376">
        <w:rPr>
          <w:rFonts w:ascii="Arial" w:hAnsi="Arial" w:cs="Arial"/>
        </w:rPr>
        <w:t>Informal discussions with supervisors and colleagues supplied another layer of qualitative insight. Although these were not formal interviews, they clarified expectations, attitudes, and implicit rules. Such everyday talk often exposes culture more honestly than rehearsed responses in questionnaires, a view supported by Flick (2014).</w:t>
      </w:r>
    </w:p>
    <w:p w14:paraId="7FC869A0" w14:textId="77777777" w:rsidR="00B83FA0" w:rsidRPr="00552376" w:rsidRDefault="00B83FA0" w:rsidP="00B83FA0">
      <w:pPr>
        <w:spacing w:line="360" w:lineRule="auto"/>
        <w:jc w:val="both"/>
        <w:rPr>
          <w:rFonts w:ascii="Arial" w:hAnsi="Arial" w:cs="Arial"/>
        </w:rPr>
      </w:pPr>
      <w:r w:rsidRPr="00552376">
        <w:rPr>
          <w:rFonts w:ascii="Arial" w:hAnsi="Arial" w:cs="Arial"/>
        </w:rPr>
        <w:t xml:space="preserve">Finally, internal and public Hilton documents—including ESG statements, leadership frameworks, and corporate programmes such as </w:t>
      </w:r>
      <w:r w:rsidRPr="00552376">
        <w:rPr>
          <w:rFonts w:ascii="Arial" w:hAnsi="Arial" w:cs="Arial"/>
          <w:i/>
          <w:iCs/>
        </w:rPr>
        <w:t>Thrive@Hilton</w:t>
      </w:r>
      <w:r w:rsidRPr="00552376">
        <w:rPr>
          <w:rFonts w:ascii="Arial" w:hAnsi="Arial" w:cs="Arial"/>
        </w:rPr>
        <w:t>—were reviewed to compare declared organisational values with what actually took place on site. This comparison made it possible to evaluate the alignment between policy and practice, or at times the distance between them.</w:t>
      </w:r>
    </w:p>
    <w:p w14:paraId="46892506"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t>3.3 Data Analysis</w:t>
      </w:r>
    </w:p>
    <w:p w14:paraId="165E2170" w14:textId="77777777" w:rsidR="00B83FA0" w:rsidRPr="00552376" w:rsidRDefault="00B83FA0" w:rsidP="00B83FA0">
      <w:pPr>
        <w:spacing w:line="360" w:lineRule="auto"/>
        <w:jc w:val="both"/>
        <w:rPr>
          <w:rFonts w:ascii="Arial" w:hAnsi="Arial" w:cs="Arial"/>
        </w:rPr>
      </w:pPr>
      <w:r w:rsidRPr="00552376">
        <w:rPr>
          <w:rFonts w:ascii="Arial" w:hAnsi="Arial" w:cs="Arial"/>
        </w:rPr>
        <w:t>The material was analysed through thematic analysis following the six stages outlined by Braun and Clarke (2006): familiarisation, coding, theme generation, review, definition, and reporting. Codes were developed inductively from field notes and reflective entries, marking recurring references to leadership style (for instance participative or directive), to indicators of empowerment (such as delegation or voice), and to structural limitations (for example gendered task allocation). The process moved repeatedly between data and theory until patterns began to stabilise around themes such as inclusive leadership in front-line operations and policy–practice disconnect.</w:t>
      </w:r>
    </w:p>
    <w:p w14:paraId="34357964" w14:textId="77777777" w:rsidR="00B83FA0" w:rsidRPr="00552376" w:rsidRDefault="00B83FA0" w:rsidP="00B83FA0">
      <w:pPr>
        <w:spacing w:line="360" w:lineRule="auto"/>
        <w:jc w:val="both"/>
        <w:rPr>
          <w:rFonts w:ascii="Arial" w:hAnsi="Arial" w:cs="Arial"/>
        </w:rPr>
      </w:pPr>
      <w:r w:rsidRPr="00552376">
        <w:rPr>
          <w:rFonts w:ascii="Arial" w:hAnsi="Arial" w:cs="Arial"/>
        </w:rPr>
        <w:t xml:space="preserve">The interpretive nature of thematic analysis was appropriate for this inquiry because it allows subjectivity to be acknowledged rather than concealed. Nowell et al. (2017) </w:t>
      </w:r>
      <w:r w:rsidRPr="00552376">
        <w:rPr>
          <w:rFonts w:ascii="Arial" w:hAnsi="Arial" w:cs="Arial"/>
        </w:rPr>
        <w:lastRenderedPageBreak/>
        <w:t>emphasise that the method’s flexibility can accommodate multiple data forms while still retaining discipline through transparent coding, which in turn strengthens credibility. The same logic guided the analytical process here.</w:t>
      </w:r>
    </w:p>
    <w:p w14:paraId="027EB18C" w14:textId="77777777" w:rsidR="00B83FA0" w:rsidRPr="00552376" w:rsidRDefault="00B83FA0" w:rsidP="00B83FA0">
      <w:pPr>
        <w:spacing w:line="360" w:lineRule="auto"/>
        <w:jc w:val="both"/>
        <w:rPr>
          <w:rFonts w:ascii="Arial" w:hAnsi="Arial" w:cs="Arial"/>
          <w:b/>
          <w:bCs/>
        </w:rPr>
      </w:pPr>
    </w:p>
    <w:p w14:paraId="516DEE86"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t>3.4 Ethical Considerations and Limitations</w:t>
      </w:r>
    </w:p>
    <w:p w14:paraId="01645A09" w14:textId="77777777" w:rsidR="00B83FA0" w:rsidRPr="00552376" w:rsidRDefault="00B83FA0" w:rsidP="00B83FA0">
      <w:pPr>
        <w:spacing w:line="360" w:lineRule="auto"/>
        <w:jc w:val="both"/>
        <w:rPr>
          <w:rFonts w:ascii="Arial" w:hAnsi="Arial" w:cs="Arial"/>
        </w:rPr>
      </w:pPr>
      <w:r w:rsidRPr="00552376">
        <w:rPr>
          <w:rFonts w:ascii="Arial" w:hAnsi="Arial" w:cs="Arial"/>
        </w:rPr>
        <w:t>Ethical approval was secured in advance, and everyone involved was informed of the study aims and anonymity rights (BERA, 2018; Bryman, 2016). Records were stored securely and held no identifying details (Saunders, Lewis and Thornhill, 2019). However, without formal interviews, personal perspectives remained limited. The single-site focus also narrows wider application, which Yin (2014) notes is typical for case study depth.</w:t>
      </w:r>
    </w:p>
    <w:p w14:paraId="01DEBD1A" w14:textId="77777777" w:rsidR="00B83FA0" w:rsidRPr="00552376" w:rsidRDefault="00B83FA0" w:rsidP="00B83FA0">
      <w:pPr>
        <w:spacing w:line="360" w:lineRule="auto"/>
        <w:jc w:val="both"/>
        <w:rPr>
          <w:rFonts w:ascii="Arial" w:hAnsi="Arial" w:cs="Arial"/>
        </w:rPr>
      </w:pPr>
      <w:r w:rsidRPr="00552376">
        <w:rPr>
          <w:rFonts w:ascii="Arial" w:hAnsi="Arial" w:cs="Arial"/>
        </w:rPr>
        <w:t>The dual position of researcher and participant inevitably introduced the risk of bias. To minimise this, reflexive memos were used throughout the placement to separate factual description from evolving interpretation.</w:t>
      </w:r>
    </w:p>
    <w:p w14:paraId="590939E7" w14:textId="77777777" w:rsidR="00B83FA0" w:rsidRPr="00552376" w:rsidRDefault="00B83FA0" w:rsidP="00B83FA0">
      <w:pPr>
        <w:spacing w:line="360" w:lineRule="auto"/>
        <w:jc w:val="both"/>
        <w:rPr>
          <w:rFonts w:ascii="Arial" w:hAnsi="Arial" w:cs="Arial"/>
        </w:rPr>
      </w:pPr>
      <w:r w:rsidRPr="00552376">
        <w:rPr>
          <w:rFonts w:ascii="Arial" w:hAnsi="Arial" w:cs="Arial"/>
        </w:rPr>
        <w:t>Even with these constraints, the multi-source qualitative approach offered a textured understanding of how leadership and organisational systems interact to shape empowerment for women working in a functioning hotel. The design aligns with the interpretivist goal of the study and ensures that conclusions arise from authentic, situated experiences rather than abstract theory.</w:t>
      </w:r>
    </w:p>
    <w:p w14:paraId="51FF45BE" w14:textId="77777777" w:rsidR="00B83FA0" w:rsidRPr="00552376" w:rsidRDefault="00B83FA0" w:rsidP="00B83FA0">
      <w:pPr>
        <w:spacing w:line="360" w:lineRule="auto"/>
        <w:jc w:val="both"/>
        <w:rPr>
          <w:rFonts w:ascii="Arial" w:hAnsi="Arial" w:cs="Arial"/>
        </w:rPr>
      </w:pPr>
    </w:p>
    <w:p w14:paraId="49236E0D" w14:textId="77777777" w:rsidR="00B83FA0" w:rsidRPr="00552376" w:rsidRDefault="00B83FA0" w:rsidP="00B83FA0">
      <w:pPr>
        <w:spacing w:line="360" w:lineRule="auto"/>
        <w:jc w:val="both"/>
        <w:rPr>
          <w:rFonts w:ascii="Arial" w:hAnsi="Arial" w:cs="Arial"/>
          <w:b/>
          <w:bCs/>
        </w:rPr>
      </w:pPr>
    </w:p>
    <w:p w14:paraId="6F41D55E" w14:textId="77777777" w:rsidR="00B83FA0" w:rsidRPr="00552376" w:rsidRDefault="00B83FA0" w:rsidP="00B83FA0">
      <w:pPr>
        <w:spacing w:line="360" w:lineRule="auto"/>
        <w:jc w:val="both"/>
        <w:rPr>
          <w:rFonts w:ascii="Arial" w:hAnsi="Arial" w:cs="Arial"/>
          <w:b/>
          <w:bCs/>
        </w:rPr>
      </w:pPr>
    </w:p>
    <w:p w14:paraId="4BA35F86" w14:textId="77777777" w:rsidR="00B83FA0" w:rsidRPr="00552376" w:rsidRDefault="00B83FA0" w:rsidP="00B83FA0">
      <w:pPr>
        <w:spacing w:line="360" w:lineRule="auto"/>
        <w:jc w:val="both"/>
        <w:rPr>
          <w:rFonts w:ascii="Arial" w:hAnsi="Arial" w:cs="Arial"/>
          <w:b/>
          <w:bCs/>
        </w:rPr>
      </w:pPr>
    </w:p>
    <w:p w14:paraId="55947291" w14:textId="77777777" w:rsidR="00B83FA0" w:rsidRPr="00552376" w:rsidRDefault="00B83FA0" w:rsidP="00B83FA0">
      <w:pPr>
        <w:spacing w:line="360" w:lineRule="auto"/>
        <w:jc w:val="both"/>
        <w:rPr>
          <w:rFonts w:ascii="Arial" w:hAnsi="Arial" w:cs="Arial"/>
          <w:b/>
          <w:bCs/>
        </w:rPr>
      </w:pPr>
    </w:p>
    <w:p w14:paraId="3AFC0B2E" w14:textId="77777777" w:rsidR="00B83FA0" w:rsidRPr="00552376" w:rsidRDefault="00B83FA0" w:rsidP="00B83FA0">
      <w:pPr>
        <w:spacing w:line="360" w:lineRule="auto"/>
        <w:jc w:val="both"/>
        <w:rPr>
          <w:rFonts w:ascii="Arial" w:hAnsi="Arial" w:cs="Arial"/>
          <w:b/>
          <w:bCs/>
        </w:rPr>
      </w:pPr>
    </w:p>
    <w:p w14:paraId="7245A9C4" w14:textId="77777777" w:rsidR="00B83FA0" w:rsidRPr="00552376" w:rsidRDefault="00B83FA0" w:rsidP="00B83FA0">
      <w:pPr>
        <w:spacing w:line="360" w:lineRule="auto"/>
        <w:jc w:val="both"/>
        <w:rPr>
          <w:rFonts w:ascii="Arial" w:hAnsi="Arial" w:cs="Arial"/>
          <w:b/>
          <w:bCs/>
        </w:rPr>
      </w:pPr>
    </w:p>
    <w:p w14:paraId="758EBE09" w14:textId="77777777" w:rsidR="00B83FA0" w:rsidRPr="00552376" w:rsidRDefault="00B83FA0" w:rsidP="00B83FA0">
      <w:pPr>
        <w:spacing w:line="360" w:lineRule="auto"/>
        <w:jc w:val="both"/>
        <w:rPr>
          <w:rFonts w:ascii="Arial" w:hAnsi="Arial" w:cs="Arial"/>
          <w:b/>
          <w:bCs/>
        </w:rPr>
      </w:pPr>
    </w:p>
    <w:p w14:paraId="7E2A21A3" w14:textId="77777777" w:rsidR="00B83FA0" w:rsidRPr="00552376" w:rsidRDefault="00B83FA0" w:rsidP="00B83FA0">
      <w:pPr>
        <w:spacing w:line="360" w:lineRule="auto"/>
        <w:jc w:val="both"/>
        <w:rPr>
          <w:rFonts w:ascii="Arial" w:hAnsi="Arial" w:cs="Arial"/>
          <w:b/>
          <w:bCs/>
        </w:rPr>
      </w:pPr>
    </w:p>
    <w:p w14:paraId="3159640D"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lastRenderedPageBreak/>
        <w:t>Chapter 4</w:t>
      </w:r>
    </w:p>
    <w:p w14:paraId="4D6015EC"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t>Findings</w:t>
      </w:r>
    </w:p>
    <w:p w14:paraId="7A35D858"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t>Theme 1: Leadership style varies significantly across departments</w:t>
      </w:r>
    </w:p>
    <w:p w14:paraId="7EB9B175" w14:textId="77777777" w:rsidR="00B83FA0" w:rsidRPr="00552376" w:rsidRDefault="00B83FA0" w:rsidP="00B83FA0">
      <w:pPr>
        <w:spacing w:line="360" w:lineRule="auto"/>
        <w:jc w:val="both"/>
        <w:rPr>
          <w:rFonts w:ascii="Arial" w:hAnsi="Arial" w:cs="Arial"/>
        </w:rPr>
      </w:pPr>
      <w:r w:rsidRPr="00552376">
        <w:rPr>
          <w:rFonts w:ascii="Arial" w:hAnsi="Arial" w:cs="Arial"/>
        </w:rPr>
        <w:t>Across the hotel, leadership followed its own rhythm. Each department worked in a way shaped by daily realities because corporate goals met different kinds of pressure on the ground. Elkhwesky et al. (2022) observe that leadership in hospitality rarely takes one clear form since every function moves at a different pace and under different expectations. The placement mirrored that pattern.</w:t>
      </w:r>
    </w:p>
    <w:p w14:paraId="34D9E1B2"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t>Transformational tendencies in the Front Office</w:t>
      </w:r>
    </w:p>
    <w:p w14:paraId="25B43DCF" w14:textId="77777777" w:rsidR="00B83FA0" w:rsidRPr="00552376" w:rsidRDefault="00B83FA0" w:rsidP="00B83FA0">
      <w:pPr>
        <w:spacing w:line="360" w:lineRule="auto"/>
        <w:jc w:val="both"/>
        <w:rPr>
          <w:rFonts w:ascii="Arial" w:hAnsi="Arial" w:cs="Arial"/>
        </w:rPr>
      </w:pPr>
      <w:r w:rsidRPr="00552376">
        <w:rPr>
          <w:rFonts w:ascii="Arial" w:hAnsi="Arial" w:cs="Arial"/>
        </w:rPr>
        <w:t>Briefings in the Front Office were short but carried focus. They often started with shared goals and ended with a small moment of recognition because supervisors encouraged conversation. “What do you think would work best here?” was a small question that changed the room because it signalled trust and space to think. Marinakou (2012) links this behaviour with transformational leadership, where guidance rests on vision and personal attention instead of direct control. The link felt clear on busy days as well as quiet ones. Staff, most of them women, showed more confidence when they were trusted to handle service recovery on their own. One receptionist said she felt “trusted to fix problems without needing approval,” which echoes Hinkin and Tracey’s (1994) view that motivation strengthens when daily work connects to a larger purpose. The energy was quiet yet visible because people were allowed to act and to use judgement. It showed most during demanding shifts.</w:t>
      </w:r>
    </w:p>
    <w:p w14:paraId="0EB4075E"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t>Transactional logic and limited voice in Housekeeping</w:t>
      </w:r>
    </w:p>
    <w:p w14:paraId="2B8B5A78" w14:textId="77777777" w:rsidR="00B83FA0" w:rsidRPr="00552376" w:rsidRDefault="00B83FA0" w:rsidP="00B83FA0">
      <w:pPr>
        <w:spacing w:line="360" w:lineRule="auto"/>
        <w:jc w:val="both"/>
        <w:rPr>
          <w:rFonts w:ascii="Arial" w:hAnsi="Arial" w:cs="Arial"/>
        </w:rPr>
      </w:pPr>
      <w:r w:rsidRPr="00552376">
        <w:rPr>
          <w:rFonts w:ascii="Arial" w:hAnsi="Arial" w:cs="Arial"/>
        </w:rPr>
        <w:t>On the floor, Housekeeping followed a rhythm set by pace targets and fixed task lists. The shift moved from room to room because printed checklists and timed allocations guided every step. Supervisors often focused on correction, for example pointing out a missed minibar check or an incomplete bathroom review, because the system valued speed and accuracy above interpretation. Housekeeping moved at a pace that left little room for judgement, so work often felt like correction rather than guidance, which aligns with Hossny (2019), and several attendants, mostly women, described feeling unseen in a role with limited decision space, a pattern also noted by Peshave and Gupta (2017).</w:t>
      </w:r>
    </w:p>
    <w:p w14:paraId="1C1A85B6" w14:textId="77777777" w:rsidR="00B83FA0" w:rsidRPr="00552376" w:rsidRDefault="00B83FA0" w:rsidP="00B83FA0">
      <w:pPr>
        <w:spacing w:line="360" w:lineRule="auto"/>
        <w:jc w:val="both"/>
        <w:rPr>
          <w:rFonts w:ascii="Arial" w:hAnsi="Arial" w:cs="Arial"/>
        </w:rPr>
      </w:pPr>
      <w:r w:rsidRPr="00552376">
        <w:rPr>
          <w:rFonts w:ascii="Arial" w:hAnsi="Arial" w:cs="Arial"/>
        </w:rPr>
        <w:lastRenderedPageBreak/>
        <w:t>In practice, empowerment simply did not have enough room to take hold.</w:t>
      </w:r>
    </w:p>
    <w:p w14:paraId="408861F9"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t xml:space="preserve">Emerging inclusivity under pressure in Food and Beverage </w:t>
      </w:r>
    </w:p>
    <w:p w14:paraId="4B23528A" w14:textId="77777777" w:rsidR="00B83FA0" w:rsidRPr="00552376" w:rsidRDefault="00B83FA0" w:rsidP="00B83FA0">
      <w:pPr>
        <w:spacing w:line="360" w:lineRule="auto"/>
        <w:jc w:val="both"/>
        <w:rPr>
          <w:rFonts w:ascii="Arial" w:hAnsi="Arial" w:cs="Arial"/>
        </w:rPr>
      </w:pPr>
      <w:r w:rsidRPr="00552376">
        <w:rPr>
          <w:rFonts w:ascii="Arial" w:hAnsi="Arial" w:cs="Arial"/>
        </w:rPr>
        <w:t>The atmosphere in Food and Beverage shifted more noticeably with volume. At the start of the shift, pre-service briefs encouraged staff to speak about guest flow, table timing, and service priorities. A female supervisor oversaw stock control and scheduling, and her role carried influence beyond the title because she shaped the shift’s organisation. Siyal et al. (2023) describe inclusive leadership as grounded in fairness and openness that support psychological empowerment, and those collaborative discussions aligned with that view. Pressure changed the tone. During heavy service periods, when orders stacked and timing tightened, the same supervisors moved into directive control because mistakes carried immediate cost. A calm “What do you think?” turned into a firm “Follow the plan.” It was predictable, and it continued to surface in the same way. Kruja et al. (2016) argue that empowerment is sustained only when structure supports it, and the volume of service made inclusion conditional. This continues to happen in many hotel environments, even when intentions are good.</w:t>
      </w:r>
    </w:p>
    <w:p w14:paraId="2522641B"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t>Summary of theme</w:t>
      </w:r>
    </w:p>
    <w:p w14:paraId="33672FD5" w14:textId="77777777" w:rsidR="00B83FA0" w:rsidRPr="00552376" w:rsidRDefault="00B83FA0" w:rsidP="00B83FA0">
      <w:pPr>
        <w:spacing w:line="360" w:lineRule="auto"/>
        <w:jc w:val="both"/>
        <w:rPr>
          <w:rFonts w:ascii="Arial" w:hAnsi="Arial" w:cs="Arial"/>
        </w:rPr>
      </w:pPr>
      <w:r w:rsidRPr="00552376">
        <w:rPr>
          <w:rFonts w:ascii="Arial" w:hAnsi="Arial" w:cs="Arial"/>
        </w:rPr>
        <w:t>Across departments, the shape of leadership rose and fell with the tempo of the work. When time allowed discussion, empowerment surfaced in small, steady ways. When pressure increased, hierarchy reappeared because speed and consistency became urgent. The pattern suggests that leadership style in hospitality responds to context more than to personality or gender. Guillet et al. (2019) argue that effectiveness is tied to adaptability, and the observations at DoubleTree fit this argument closely. One thread repeated: when women were invited to contribute meaningfully, confidence strengthened and performance improved. The difficulty was that the conditions allowing that contribution were not consistent.</w:t>
      </w:r>
    </w:p>
    <w:p w14:paraId="18A2D7EC"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t>Theme 2: Empowerment depended on decision-making autonomy</w:t>
      </w:r>
    </w:p>
    <w:p w14:paraId="3A422E89" w14:textId="77777777" w:rsidR="00B83FA0" w:rsidRPr="00552376" w:rsidRDefault="00B83FA0" w:rsidP="00B83FA0">
      <w:pPr>
        <w:spacing w:line="360" w:lineRule="auto"/>
        <w:jc w:val="both"/>
        <w:rPr>
          <w:rFonts w:ascii="Arial" w:hAnsi="Arial" w:cs="Arial"/>
        </w:rPr>
      </w:pPr>
      <w:r w:rsidRPr="00552376">
        <w:rPr>
          <w:rFonts w:ascii="Arial" w:hAnsi="Arial" w:cs="Arial"/>
        </w:rPr>
        <w:t xml:space="preserve">Empowerment showed itself most clearly when staff were trusted to act without waiting for approval. The change was easy to notice. When women could resolve issues directly, confidence rose and service moved faster. When decisions required checking </w:t>
      </w:r>
      <w:r w:rsidRPr="00552376">
        <w:rPr>
          <w:rFonts w:ascii="Arial" w:hAnsi="Arial" w:cs="Arial"/>
        </w:rPr>
        <w:lastRenderedPageBreak/>
        <w:t>with someone else, the work slowed and so did initiative. It kept repeating through the weeks.</w:t>
      </w:r>
    </w:p>
    <w:p w14:paraId="18000148"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t>Autonomy in Front Office</w:t>
      </w:r>
    </w:p>
    <w:p w14:paraId="533DF3E2" w14:textId="77777777" w:rsidR="00B83FA0" w:rsidRPr="00552376" w:rsidRDefault="00B83FA0" w:rsidP="00B83FA0">
      <w:pPr>
        <w:spacing w:line="360" w:lineRule="auto"/>
        <w:jc w:val="both"/>
        <w:rPr>
          <w:rFonts w:ascii="Arial" w:hAnsi="Arial" w:cs="Arial"/>
        </w:rPr>
      </w:pPr>
      <w:r w:rsidRPr="00552376">
        <w:rPr>
          <w:rFonts w:ascii="Arial" w:hAnsi="Arial" w:cs="Arial"/>
        </w:rPr>
        <w:t>In Front Office, female receptionists had permission to offer compensation within a set financial limit. The autonomy was specific and known. It made a difference. Decisions were taken on the spot, and ownership followed. One receptionist put it plainly: “If I can solve it myself, I feel like a professional, not just pressing buttons.” Kruja et al. (2016) suggest that empowerment supports job satisfaction when discretion and trust sit together. Observations aligned with that idea. Confidence increased because the authority to act was real and not implied (Lashley, 2000; Benavides-Velasco, Quintana-Garcia and Marchante-Lara, 2014).</w:t>
      </w:r>
    </w:p>
    <w:p w14:paraId="0AC1FEF2"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t>Restricted empowerment in Housekeeping</w:t>
      </w:r>
    </w:p>
    <w:p w14:paraId="4F5E3539" w14:textId="77777777" w:rsidR="00B83FA0" w:rsidRPr="00552376" w:rsidRDefault="00B83FA0" w:rsidP="00B83FA0">
      <w:pPr>
        <w:spacing w:line="360" w:lineRule="auto"/>
        <w:jc w:val="both"/>
        <w:rPr>
          <w:rFonts w:ascii="Arial" w:hAnsi="Arial" w:cs="Arial"/>
        </w:rPr>
      </w:pPr>
      <w:r w:rsidRPr="00552376">
        <w:rPr>
          <w:rFonts w:ascii="Arial" w:hAnsi="Arial" w:cs="Arial"/>
        </w:rPr>
        <w:t>Housekeeping showed a different pattern, where women were present but their decision space stayed narrow because tasks followed fixed lists and feedback came mainly as corrections, which reflects Kumari (2017) and Kurnikova (2022) on how procedural roles restrict women’s leadership progression.</w:t>
      </w:r>
    </w:p>
    <w:p w14:paraId="6C2CA518" w14:textId="77777777" w:rsidR="00B83FA0" w:rsidRPr="00552376" w:rsidRDefault="00B83FA0" w:rsidP="00B83FA0">
      <w:pPr>
        <w:spacing w:line="360" w:lineRule="auto"/>
        <w:jc w:val="both"/>
        <w:rPr>
          <w:rFonts w:ascii="Arial" w:hAnsi="Arial" w:cs="Arial"/>
        </w:rPr>
      </w:pPr>
      <w:r w:rsidRPr="00552376">
        <w:rPr>
          <w:rFonts w:ascii="Arial" w:hAnsi="Arial" w:cs="Arial"/>
        </w:rPr>
        <w:t>Being visible in front-line roles did not create influence. It felt routine and repetitive. This still happens.</w:t>
      </w:r>
    </w:p>
    <w:p w14:paraId="07C67E50"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t>Task structure shaped empowerment in Food and Beverage</w:t>
      </w:r>
    </w:p>
    <w:p w14:paraId="64E86873" w14:textId="77777777" w:rsidR="00B83FA0" w:rsidRPr="00552376" w:rsidRDefault="00B83FA0" w:rsidP="00B83FA0">
      <w:pPr>
        <w:spacing w:line="360" w:lineRule="auto"/>
        <w:jc w:val="both"/>
        <w:rPr>
          <w:rFonts w:ascii="Arial" w:hAnsi="Arial" w:cs="Arial"/>
        </w:rPr>
      </w:pPr>
      <w:r w:rsidRPr="00552376">
        <w:rPr>
          <w:rFonts w:ascii="Arial" w:hAnsi="Arial" w:cs="Arial"/>
        </w:rPr>
        <w:t>Food and Beverage sat somewhere in between. Inclusive behaviour appeared at times, especially during preparation periods when there was space to think and speak. Yet when shifts became busy, the tone switched. Supervisors moved quickly to directive instruction because time was short. “Just follow the plan” became the standard response. Kruja et al. (2016) describe this as conditional empowerment, where autonomy holds only when the environment allows it. The placement offered a clear example of that tension.</w:t>
      </w:r>
    </w:p>
    <w:p w14:paraId="42FBF61E"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t>Summary of theme</w:t>
      </w:r>
    </w:p>
    <w:p w14:paraId="571DBDC8" w14:textId="77777777" w:rsidR="00B83FA0" w:rsidRPr="00552376" w:rsidRDefault="00B83FA0" w:rsidP="00B83FA0">
      <w:pPr>
        <w:spacing w:line="360" w:lineRule="auto"/>
        <w:jc w:val="both"/>
        <w:rPr>
          <w:rFonts w:ascii="Arial" w:hAnsi="Arial" w:cs="Arial"/>
        </w:rPr>
      </w:pPr>
      <w:r w:rsidRPr="00552376">
        <w:rPr>
          <w:rFonts w:ascii="Arial" w:hAnsi="Arial" w:cs="Arial"/>
        </w:rPr>
        <w:t xml:space="preserve">Across the departments, empowerment did not come from personality or intention alone. It resulted from the amount of decision space the system allowed. When discretion was built into the role, confidence and initiative followed. When the structure </w:t>
      </w:r>
      <w:r w:rsidRPr="00552376">
        <w:rPr>
          <w:rFonts w:ascii="Arial" w:hAnsi="Arial" w:cs="Arial"/>
        </w:rPr>
        <w:lastRenderedPageBreak/>
        <w:t>required compliance, leadership style could only do so much. In practice, the room to act shaped empowerment more than encouragement or positive language. It kept returning to this point again and again.</w:t>
      </w:r>
    </w:p>
    <w:p w14:paraId="2B06762D"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t>Theme 3: Corporate empowerment programmes were largely invisible at property level</w:t>
      </w:r>
    </w:p>
    <w:p w14:paraId="31F071FE" w14:textId="77777777" w:rsidR="00B83FA0" w:rsidRPr="00552376" w:rsidRDefault="00B83FA0" w:rsidP="00B83FA0">
      <w:pPr>
        <w:spacing w:line="360" w:lineRule="auto"/>
        <w:jc w:val="both"/>
        <w:rPr>
          <w:rFonts w:ascii="Arial" w:hAnsi="Arial" w:cs="Arial"/>
        </w:rPr>
      </w:pPr>
      <w:r w:rsidRPr="00552376">
        <w:rPr>
          <w:rFonts w:ascii="Arial" w:hAnsi="Arial" w:cs="Arial"/>
        </w:rPr>
        <w:t>A slideshow at induction mentioned Thrive@Hilton and Women in Leadership, then the topic went quiet because the shift took over. Weeks passed with no mention in briefings or updates. Policy felt close on paper and far on the floor. Marinakou (2012) already warned that leadership frameworks stay aspirational when they sit outside routine, and Ispas (2010) adds that programmes lose substance when they do not join daily operations. The scene on site matched both points.</w:t>
      </w:r>
    </w:p>
    <w:p w14:paraId="7051E859" w14:textId="77777777" w:rsidR="00B83FA0" w:rsidRPr="00552376" w:rsidRDefault="00B83FA0" w:rsidP="00B83FA0">
      <w:pPr>
        <w:spacing w:line="360" w:lineRule="auto"/>
        <w:jc w:val="both"/>
        <w:rPr>
          <w:rFonts w:ascii="Arial" w:hAnsi="Arial" w:cs="Arial"/>
        </w:rPr>
      </w:pPr>
      <w:r w:rsidRPr="00552376">
        <w:rPr>
          <w:rFonts w:ascii="Arial" w:hAnsi="Arial" w:cs="Arial"/>
        </w:rPr>
        <w:t>Two moments made the gap obvious. A short town-hall listed diversity goals and closed with no actions. A deck set out leadership values and never returned to explain what each department should do with them. Jadnanansing et al. (2021) call this “performative inclusion,” where campaigns are frequent and access or growth mechanisms stay thin. In practice, the evidence supported that claim because staff in operational roles, especially women, often did not know which opportunities existed or how to enter them. It is evident the message did not travel.</w:t>
      </w:r>
    </w:p>
    <w:p w14:paraId="114B9EB0" w14:textId="77777777" w:rsidR="00B83FA0" w:rsidRPr="00552376" w:rsidRDefault="00B83FA0" w:rsidP="00B83FA0">
      <w:pPr>
        <w:spacing w:line="360" w:lineRule="auto"/>
        <w:jc w:val="both"/>
        <w:rPr>
          <w:rFonts w:ascii="Arial" w:hAnsi="Arial" w:cs="Arial"/>
        </w:rPr>
      </w:pPr>
      <w:r w:rsidRPr="00552376">
        <w:rPr>
          <w:rFonts w:ascii="Arial" w:hAnsi="Arial" w:cs="Arial"/>
        </w:rPr>
        <w:t>The silence did not look intentional because managers faced occupancy targets, service recovery, and rota gaps. Corporate aims struggled to fit the daily tempo. Hinkin and Tracey (1994) remind us that values shape culture only when they turn into behaviour. Without repetition and accountability, they fade into decoration. Elkhwesky et al. (2022) describe the same policy–practice gap, and the property mirrored it: ESG language was polished while the routine did not show it. Still, it keeps coming up.</w:t>
      </w:r>
    </w:p>
    <w:p w14:paraId="1D137F43" w14:textId="77777777" w:rsidR="00B83FA0" w:rsidRPr="00552376" w:rsidRDefault="00B83FA0" w:rsidP="00B83FA0">
      <w:pPr>
        <w:spacing w:line="360" w:lineRule="auto"/>
        <w:jc w:val="both"/>
        <w:rPr>
          <w:rFonts w:ascii="Arial" w:hAnsi="Arial" w:cs="Arial"/>
        </w:rPr>
      </w:pPr>
      <w:r w:rsidRPr="00552376">
        <w:rPr>
          <w:rFonts w:ascii="Arial" w:hAnsi="Arial" w:cs="Arial"/>
        </w:rPr>
        <w:t>In short, policy lived on screens and empowerment, when it appeared, came from managers who chose to trust their teams. The alignment promised in corporate statements did not show in ordinary practice because follow-through was weak and attention was elsewhere.</w:t>
      </w:r>
    </w:p>
    <w:p w14:paraId="1005DF18"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t>Summary of theme</w:t>
      </w:r>
    </w:p>
    <w:p w14:paraId="4C4C6692" w14:textId="77777777" w:rsidR="00B83FA0" w:rsidRPr="00552376" w:rsidRDefault="00B83FA0" w:rsidP="00B83FA0">
      <w:pPr>
        <w:spacing w:line="360" w:lineRule="auto"/>
        <w:jc w:val="both"/>
        <w:rPr>
          <w:rFonts w:ascii="Arial" w:hAnsi="Arial" w:cs="Arial"/>
        </w:rPr>
      </w:pPr>
      <w:r w:rsidRPr="00552376">
        <w:rPr>
          <w:rFonts w:ascii="Arial" w:hAnsi="Arial" w:cs="Arial"/>
        </w:rPr>
        <w:t xml:space="preserve">At DoubleTree, empowerment moved through personal initiative more than through formal channels because structure was present yet quiet. Corporate programmes </w:t>
      </w:r>
      <w:r w:rsidRPr="00552376">
        <w:rPr>
          <w:rFonts w:ascii="Arial" w:hAnsi="Arial" w:cs="Arial"/>
        </w:rPr>
        <w:lastRenderedPageBreak/>
        <w:t>promised inclusion, but everyday progress depended on whether a leader acted on those principles. Ispas (2010) warned that empowerment collapses into rhetoric when it is not anchored in the rhythm of work, and the placement offered a clear example of that pattern.</w:t>
      </w:r>
    </w:p>
    <w:p w14:paraId="2A07DA7D"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t>Theme 4: Barriers and enablers to women’s progression were structural, not motivational</w:t>
      </w:r>
    </w:p>
    <w:p w14:paraId="0A55B306" w14:textId="77777777" w:rsidR="00B83FA0" w:rsidRPr="00552376" w:rsidRDefault="00B83FA0" w:rsidP="00B83FA0">
      <w:pPr>
        <w:spacing w:line="360" w:lineRule="auto"/>
        <w:jc w:val="both"/>
        <w:rPr>
          <w:rFonts w:ascii="Arial" w:hAnsi="Arial" w:cs="Arial"/>
        </w:rPr>
      </w:pPr>
      <w:r w:rsidRPr="00552376">
        <w:rPr>
          <w:rFonts w:ascii="Arial" w:hAnsi="Arial" w:cs="Arial"/>
        </w:rPr>
        <w:t>The placement pointed to limits that came from systems, not from a lack of ability or ambition. Mentoring, visibility, and access to strategic tasks rested on informal goodwill. Women took on hard work and extra duties, yet progression slowed because pathways were unclear. Knutson and Cichy (2002) emphasise that advancement in hospitality relies on mentoring and sponsorship, and both were in short supply here.</w:t>
      </w:r>
    </w:p>
    <w:p w14:paraId="14C196D8"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t>Mentoring and visibility</w:t>
      </w:r>
    </w:p>
    <w:p w14:paraId="61C48FA5" w14:textId="77777777" w:rsidR="00B83FA0" w:rsidRPr="00552376" w:rsidRDefault="00B83FA0" w:rsidP="00B83FA0">
      <w:pPr>
        <w:spacing w:line="360" w:lineRule="auto"/>
        <w:jc w:val="both"/>
        <w:rPr>
          <w:rFonts w:ascii="Arial" w:hAnsi="Arial" w:cs="Arial"/>
        </w:rPr>
      </w:pPr>
      <w:r w:rsidRPr="00552376">
        <w:rPr>
          <w:rFonts w:ascii="Arial" w:hAnsi="Arial" w:cs="Arial"/>
        </w:rPr>
        <w:t>Conversations about development happened in passing because work moved fast. They were brief and uneven. A male supervisor spoke about training for a Duty Manager role, while female colleagues had no similar plan on record. It looked like habit more than policy because access depended on who asked and who noticed. Mentorship appeared only when a manager chose to offer it. Jadnanansing et al. (2021) describe this unevenness as a long-standing flaw in gender progression systems, where access is informal and rarely documented. The placement reflected that pattern. Some women received quiet support. Others received none. This still happens (Peshave and Gupta, 2017; Mooney and Ryan, 2009).</w:t>
      </w:r>
    </w:p>
    <w:p w14:paraId="4CC7891A"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t>Underuse of women’s skills in strategic work</w:t>
      </w:r>
    </w:p>
    <w:p w14:paraId="1DE39452" w14:textId="77777777" w:rsidR="00B83FA0" w:rsidRPr="00552376" w:rsidRDefault="00B83FA0" w:rsidP="00B83FA0">
      <w:pPr>
        <w:spacing w:line="360" w:lineRule="auto"/>
        <w:jc w:val="both"/>
        <w:rPr>
          <w:rFonts w:ascii="Arial" w:hAnsi="Arial" w:cs="Arial"/>
        </w:rPr>
      </w:pPr>
      <w:r w:rsidRPr="00552376">
        <w:rPr>
          <w:rFonts w:ascii="Arial" w:hAnsi="Arial" w:cs="Arial"/>
        </w:rPr>
        <w:t>Women were steady and confident in guest-facing roles because service required calm judgement, patience, and communication. The shift came with strategic tasks. Very few were brought into rota planning, forecasting, or budgeting, and those are the spaces where leadership is usually recognised. Peshave and Gupta (2017) note that women are frequently held in emotionally demanding roles with limited decision reach, and the pattern at DoubleTree reflected this. One attendant, praised for training skill, never led sessions. Whitelaw (2013) observes that emotional labour rarely earns promotion. The gap remained visible.</w:t>
      </w:r>
    </w:p>
    <w:p w14:paraId="3EBDDA84" w14:textId="77777777" w:rsidR="00B83FA0" w:rsidRPr="00552376" w:rsidRDefault="00B83FA0" w:rsidP="00B83FA0">
      <w:pPr>
        <w:spacing w:line="360" w:lineRule="auto"/>
        <w:jc w:val="both"/>
        <w:rPr>
          <w:rFonts w:ascii="Arial" w:hAnsi="Arial" w:cs="Arial"/>
          <w:b/>
          <w:bCs/>
        </w:rPr>
      </w:pPr>
    </w:p>
    <w:p w14:paraId="1474D3CC"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lastRenderedPageBreak/>
        <w:t>Moments of collaboration</w:t>
      </w:r>
    </w:p>
    <w:p w14:paraId="60EDE46B" w14:textId="77777777" w:rsidR="00B83FA0" w:rsidRPr="00552376" w:rsidRDefault="00B83FA0" w:rsidP="00B83FA0">
      <w:pPr>
        <w:spacing w:line="360" w:lineRule="auto"/>
        <w:jc w:val="both"/>
        <w:rPr>
          <w:rFonts w:ascii="Arial" w:hAnsi="Arial" w:cs="Arial"/>
        </w:rPr>
      </w:pPr>
      <w:r w:rsidRPr="00552376">
        <w:rPr>
          <w:rFonts w:ascii="Arial" w:hAnsi="Arial" w:cs="Arial"/>
        </w:rPr>
        <w:t>There were small breaks in the pattern. In Food and Beverage, a senior manager handed scheduling and inventory duties to a female supervisor. The structural change was small, yet the message carried weight. It allowed her to show leadership in a space that had been closed. Maier (2014) argues that allyship works best when expressed through practical delegation because it lifts visibility and builds confidence. This example supports that view, although it also shows how fragile progress can be. When access depends on individual intention and not on design, momentum fades. This still happens. And Fashakin and Babalola (2025) show that it only lasts when the task becomes part of the job, not a moment of goodwill.</w:t>
      </w:r>
    </w:p>
    <w:p w14:paraId="2160B643"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t>Summary of theme</w:t>
      </w:r>
    </w:p>
    <w:p w14:paraId="163CF691" w14:textId="77777777" w:rsidR="00B83FA0" w:rsidRPr="00552376" w:rsidRDefault="00B83FA0" w:rsidP="00B83FA0">
      <w:pPr>
        <w:spacing w:line="360" w:lineRule="auto"/>
        <w:jc w:val="both"/>
        <w:rPr>
          <w:rFonts w:ascii="Arial" w:hAnsi="Arial" w:cs="Arial"/>
        </w:rPr>
      </w:pPr>
      <w:r w:rsidRPr="00552376">
        <w:rPr>
          <w:rFonts w:ascii="Arial" w:hAnsi="Arial" w:cs="Arial"/>
        </w:rPr>
        <w:t>The picture that forms is straightforward. Women at DoubleTree showed readiness to lead, yet access to recognised leadership spaces was not structured. Progress leaned on personal advocacy and chance openings more than on planning. Peshave and Gupta (2017) and Knutson and Cichy (2002) both caution that without mentoring that is organised and exposure to strategic tasks, capable women remain close to service delivery and far from strategy. Evidence from the placement fits that warning. The limit was not skill or effort. The limit was the missing pathway.</w:t>
      </w:r>
    </w:p>
    <w:p w14:paraId="3BCBE46E"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t>Overall synthesis of evidence</w:t>
      </w:r>
    </w:p>
    <w:p w14:paraId="18071BF1" w14:textId="77777777" w:rsidR="00B83FA0" w:rsidRPr="00552376" w:rsidRDefault="00B83FA0" w:rsidP="00B83FA0">
      <w:pPr>
        <w:spacing w:line="360" w:lineRule="auto"/>
        <w:jc w:val="both"/>
        <w:rPr>
          <w:rFonts w:ascii="Arial" w:hAnsi="Arial" w:cs="Arial"/>
        </w:rPr>
      </w:pPr>
      <w:r w:rsidRPr="00552376">
        <w:rPr>
          <w:rFonts w:ascii="Arial" w:hAnsi="Arial" w:cs="Arial"/>
        </w:rPr>
        <w:t>Looking across the observations, one thread kept returning. Empowerment was uneven, and support did not repeat in a steady way. Context, personality, and small discretionary choices set the tone because systems were patchy. Leadership mattered, although structure decided its reach. Marinakou (2012) and Hossny (2019) both argue that style influences empowerment and that effect weakens when design does not reinforce it. The scene on site mirrored that view.</w:t>
      </w:r>
    </w:p>
    <w:p w14:paraId="63C7A711" w14:textId="77777777" w:rsidR="00B83FA0" w:rsidRPr="00552376" w:rsidRDefault="00B83FA0" w:rsidP="00B83FA0">
      <w:pPr>
        <w:spacing w:line="360" w:lineRule="auto"/>
        <w:jc w:val="both"/>
        <w:rPr>
          <w:rFonts w:ascii="Arial" w:hAnsi="Arial" w:cs="Arial"/>
        </w:rPr>
      </w:pPr>
      <w:r w:rsidRPr="00552376">
        <w:rPr>
          <w:rFonts w:ascii="Arial" w:hAnsi="Arial" w:cs="Arial"/>
        </w:rPr>
        <w:t>First, differences between departments showed how situational leadership can be. When supervisors shared authority and explained decisions, confidence grew and initiative followed. When work ran on rigid checklists, autonomy thinned out. Kruja et al. (2016) and Siyal et al. (2023) point to the same mechanism: empowerment takes hold when staff have genuine control over tasks. Encouragement on its own changed very little unless permission to decide was present.</w:t>
      </w:r>
    </w:p>
    <w:p w14:paraId="7D61320E" w14:textId="77777777" w:rsidR="00B83FA0" w:rsidRPr="00552376" w:rsidRDefault="00B83FA0" w:rsidP="00B83FA0">
      <w:pPr>
        <w:spacing w:line="360" w:lineRule="auto"/>
        <w:jc w:val="both"/>
        <w:rPr>
          <w:rFonts w:ascii="Arial" w:hAnsi="Arial" w:cs="Arial"/>
        </w:rPr>
      </w:pPr>
      <w:r w:rsidRPr="00552376">
        <w:rPr>
          <w:rFonts w:ascii="Arial" w:hAnsi="Arial" w:cs="Arial"/>
        </w:rPr>
        <w:lastRenderedPageBreak/>
        <w:t>Second, corporate initiatives such as Thrive@Hilton or Women in Leadership were close in policy language but distant in daily routines. Translation into practice was weak. Ispas (2010) and Jadnanansing et al. (2021) both warn that inclusion programmes slip into symbolism when they are not embedded in local management habits. During the placement, the strongest examples of empowerment appeared where supervisors chose to act on those values themselves, not because a formal instruction demanded it.</w:t>
      </w:r>
    </w:p>
    <w:p w14:paraId="14CA3F18" w14:textId="77777777" w:rsidR="00B83FA0" w:rsidRPr="00552376" w:rsidRDefault="00B83FA0" w:rsidP="00B83FA0">
      <w:pPr>
        <w:spacing w:line="360" w:lineRule="auto"/>
        <w:jc w:val="both"/>
        <w:rPr>
          <w:rFonts w:ascii="Arial" w:hAnsi="Arial" w:cs="Arial"/>
        </w:rPr>
      </w:pPr>
      <w:r w:rsidRPr="00552376">
        <w:rPr>
          <w:rFonts w:ascii="Arial" w:hAnsi="Arial" w:cs="Arial"/>
        </w:rPr>
        <w:t>Finally, the evidence reinforced a simple point about growth. Women’s professional progress in hospitality still leans on structure that offers entry to strategy and on mentoring that opens doors. Performance alone did not change visibility. Peshave and Gupta (2017) and Knutson and Cichy (2002) highlight that advancement needs exposure and sponsorship alongside skill and the placement made this clear. Women managed complex interpersonal situations with confidence, yet their access to planning or decision spaces stayed narrow. In practice, they led daily without being acknowledged as leaders. The pattern suggested an empowerment model held up by individual supervisors rather than by structure. There were moments when confidence, visibility, and decision authority came together, but those moments depended on personal initiative. Systems were uneven. So empowerment appeared in fragments, moving more through intention than policy, and progress remained fragile.</w:t>
      </w:r>
    </w:p>
    <w:p w14:paraId="2DE346E0" w14:textId="77777777" w:rsidR="00B83FA0" w:rsidRPr="00552376" w:rsidRDefault="00B83FA0" w:rsidP="00B83FA0">
      <w:pPr>
        <w:spacing w:line="360" w:lineRule="auto"/>
        <w:jc w:val="both"/>
        <w:rPr>
          <w:rFonts w:ascii="Arial" w:hAnsi="Arial" w:cs="Arial"/>
          <w:b/>
          <w:bCs/>
        </w:rPr>
      </w:pPr>
    </w:p>
    <w:p w14:paraId="0322B9F9" w14:textId="77777777" w:rsidR="00B83FA0" w:rsidRPr="00552376" w:rsidRDefault="00B83FA0" w:rsidP="00B83FA0">
      <w:pPr>
        <w:spacing w:line="360" w:lineRule="auto"/>
        <w:jc w:val="both"/>
        <w:rPr>
          <w:rFonts w:ascii="Arial" w:hAnsi="Arial" w:cs="Arial"/>
          <w:b/>
          <w:bCs/>
        </w:rPr>
      </w:pPr>
    </w:p>
    <w:p w14:paraId="66453A94" w14:textId="77777777" w:rsidR="00B83FA0" w:rsidRPr="00552376" w:rsidRDefault="00B83FA0" w:rsidP="00B83FA0">
      <w:pPr>
        <w:spacing w:line="360" w:lineRule="auto"/>
        <w:jc w:val="both"/>
        <w:rPr>
          <w:rFonts w:ascii="Arial" w:hAnsi="Arial" w:cs="Arial"/>
          <w:b/>
          <w:bCs/>
        </w:rPr>
      </w:pPr>
    </w:p>
    <w:p w14:paraId="08E537A8" w14:textId="77777777" w:rsidR="00B83FA0" w:rsidRPr="00552376" w:rsidRDefault="00B83FA0" w:rsidP="00B83FA0">
      <w:pPr>
        <w:spacing w:line="360" w:lineRule="auto"/>
        <w:jc w:val="both"/>
        <w:rPr>
          <w:rFonts w:ascii="Arial" w:hAnsi="Arial" w:cs="Arial"/>
          <w:b/>
          <w:bCs/>
        </w:rPr>
      </w:pPr>
    </w:p>
    <w:p w14:paraId="5C94E41F" w14:textId="77777777" w:rsidR="00B83FA0" w:rsidRPr="00552376" w:rsidRDefault="00B83FA0" w:rsidP="00B83FA0">
      <w:pPr>
        <w:spacing w:line="360" w:lineRule="auto"/>
        <w:jc w:val="both"/>
        <w:rPr>
          <w:rFonts w:ascii="Arial" w:hAnsi="Arial" w:cs="Arial"/>
          <w:b/>
          <w:bCs/>
        </w:rPr>
      </w:pPr>
    </w:p>
    <w:p w14:paraId="57006D06" w14:textId="77777777" w:rsidR="00B83FA0" w:rsidRPr="00552376" w:rsidRDefault="00B83FA0" w:rsidP="00B83FA0">
      <w:pPr>
        <w:spacing w:line="360" w:lineRule="auto"/>
        <w:jc w:val="both"/>
        <w:rPr>
          <w:rFonts w:ascii="Arial" w:hAnsi="Arial" w:cs="Arial"/>
          <w:b/>
          <w:bCs/>
        </w:rPr>
      </w:pPr>
    </w:p>
    <w:p w14:paraId="4663715F" w14:textId="77777777" w:rsidR="00B83FA0" w:rsidRPr="00552376" w:rsidRDefault="00B83FA0" w:rsidP="00B83FA0">
      <w:pPr>
        <w:spacing w:line="360" w:lineRule="auto"/>
        <w:jc w:val="both"/>
        <w:rPr>
          <w:rFonts w:ascii="Arial" w:hAnsi="Arial" w:cs="Arial"/>
          <w:b/>
          <w:bCs/>
        </w:rPr>
      </w:pPr>
    </w:p>
    <w:p w14:paraId="70011C74" w14:textId="77777777" w:rsidR="00B83FA0" w:rsidRPr="00552376" w:rsidRDefault="00B83FA0" w:rsidP="00B83FA0">
      <w:pPr>
        <w:spacing w:line="360" w:lineRule="auto"/>
        <w:jc w:val="both"/>
        <w:rPr>
          <w:rFonts w:ascii="Arial" w:hAnsi="Arial" w:cs="Arial"/>
          <w:b/>
          <w:bCs/>
        </w:rPr>
      </w:pPr>
    </w:p>
    <w:p w14:paraId="75AD9143" w14:textId="77777777" w:rsidR="00B83FA0" w:rsidRPr="00552376" w:rsidRDefault="00B83FA0" w:rsidP="00B83FA0">
      <w:pPr>
        <w:spacing w:line="360" w:lineRule="auto"/>
        <w:jc w:val="both"/>
        <w:rPr>
          <w:rFonts w:ascii="Arial" w:hAnsi="Arial" w:cs="Arial"/>
          <w:b/>
          <w:bCs/>
        </w:rPr>
      </w:pPr>
    </w:p>
    <w:p w14:paraId="1EAAB2C0" w14:textId="77777777" w:rsidR="00B83FA0" w:rsidRPr="00552376" w:rsidRDefault="00B83FA0" w:rsidP="00B83FA0">
      <w:pPr>
        <w:spacing w:line="360" w:lineRule="auto"/>
        <w:jc w:val="both"/>
        <w:rPr>
          <w:rFonts w:ascii="Arial" w:hAnsi="Arial" w:cs="Arial"/>
          <w:b/>
          <w:bCs/>
        </w:rPr>
      </w:pPr>
    </w:p>
    <w:p w14:paraId="15982986" w14:textId="60C76D9D" w:rsidR="00B83FA0" w:rsidRPr="00552376" w:rsidRDefault="00552376" w:rsidP="00B83FA0">
      <w:pPr>
        <w:spacing w:line="360" w:lineRule="auto"/>
        <w:jc w:val="both"/>
        <w:rPr>
          <w:rFonts w:ascii="Arial" w:hAnsi="Arial" w:cs="Arial"/>
          <w:b/>
          <w:bCs/>
        </w:rPr>
      </w:pPr>
      <w:r w:rsidRPr="00552376">
        <w:rPr>
          <w:rFonts w:ascii="Arial" w:hAnsi="Arial" w:cs="Arial"/>
          <w:b/>
          <w:bCs/>
        </w:rPr>
        <w:lastRenderedPageBreak/>
        <w:t>Chapter</w:t>
      </w:r>
      <w:r w:rsidR="00B83FA0" w:rsidRPr="00552376">
        <w:rPr>
          <w:rFonts w:ascii="Arial" w:hAnsi="Arial" w:cs="Arial"/>
          <w:b/>
          <w:bCs/>
        </w:rPr>
        <w:t xml:space="preserve"> 5</w:t>
      </w:r>
    </w:p>
    <w:p w14:paraId="097DAEE2"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t>Discussion</w:t>
      </w:r>
    </w:p>
    <w:p w14:paraId="35AAC63B" w14:textId="77777777" w:rsidR="00B83FA0" w:rsidRPr="00552376" w:rsidRDefault="00B83FA0" w:rsidP="00B83FA0">
      <w:pPr>
        <w:spacing w:line="360" w:lineRule="auto"/>
        <w:jc w:val="both"/>
        <w:rPr>
          <w:rFonts w:ascii="Arial" w:hAnsi="Arial" w:cs="Arial"/>
        </w:rPr>
      </w:pPr>
      <w:r w:rsidRPr="00552376">
        <w:rPr>
          <w:rFonts w:ascii="Arial" w:hAnsi="Arial" w:cs="Arial"/>
        </w:rPr>
        <w:t>This discussion returns to one central question: did everyday practice at DoubleTree by Hilton Southampton create space for women to progress, or did the structure restrict that space. Four themes help explain how empowerment appeared and where it weakened.</w:t>
      </w:r>
    </w:p>
    <w:p w14:paraId="73838CC3"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t>1. Leadership style shifted with departmental conditions</w:t>
      </w:r>
    </w:p>
    <w:p w14:paraId="18BC120C" w14:textId="77777777" w:rsidR="00B83FA0" w:rsidRPr="00552376" w:rsidRDefault="00B83FA0" w:rsidP="00B83FA0">
      <w:pPr>
        <w:spacing w:line="360" w:lineRule="auto"/>
        <w:jc w:val="both"/>
        <w:rPr>
          <w:rFonts w:ascii="Arial" w:hAnsi="Arial" w:cs="Arial"/>
        </w:rPr>
      </w:pPr>
      <w:r w:rsidRPr="00552376">
        <w:rPr>
          <w:rFonts w:ascii="Arial" w:hAnsi="Arial" w:cs="Arial"/>
        </w:rPr>
        <w:t>The rhythm of work influenced how supervisors behaved. In the Front Office, conversations with guests required quick emotional adjustment, so supervisors invited staff to propose solutions before receiving guidance. Confidence built gradually. Marinakou (2012) explains that shared purpose supports emotional work, and the atmosphere reflected that. Hinkin and Tracey (1994) highlight how meaning in daily tasks strengthens commitment, and this appeared in how receptionists handled guest recovery.</w:t>
      </w:r>
    </w:p>
    <w:p w14:paraId="020D1DEC" w14:textId="77777777" w:rsidR="00B83FA0" w:rsidRPr="00552376" w:rsidRDefault="00B83FA0" w:rsidP="00B83FA0">
      <w:pPr>
        <w:spacing w:line="360" w:lineRule="auto"/>
        <w:jc w:val="both"/>
        <w:rPr>
          <w:rFonts w:ascii="Arial" w:hAnsi="Arial" w:cs="Arial"/>
        </w:rPr>
      </w:pPr>
      <w:r w:rsidRPr="00552376">
        <w:rPr>
          <w:rFonts w:ascii="Arial" w:hAnsi="Arial" w:cs="Arial"/>
        </w:rPr>
        <w:t>Housekeeping moved differently. Room targets set the pace, and supervisors focused on correction because delays had immediate consequences. It felt routine rather than intentional, although the effect limited voice. Hossny (2019) associates such task-centred leadership with reduced motivation in service roles. Many attendants, mostly women, described being valued for speed. Kumari (2017) notes that women are often kept in operational roles without leadership visibility, and that matched closely.</w:t>
      </w:r>
    </w:p>
    <w:p w14:paraId="4C4185C1" w14:textId="77777777" w:rsidR="00B83FA0" w:rsidRPr="00552376" w:rsidRDefault="00B83FA0" w:rsidP="00B83FA0">
      <w:pPr>
        <w:spacing w:line="360" w:lineRule="auto"/>
        <w:jc w:val="both"/>
        <w:rPr>
          <w:rFonts w:ascii="Arial" w:hAnsi="Arial" w:cs="Arial"/>
        </w:rPr>
      </w:pPr>
      <w:r w:rsidRPr="00552376">
        <w:rPr>
          <w:rFonts w:ascii="Arial" w:hAnsi="Arial" w:cs="Arial"/>
        </w:rPr>
        <w:t>Food and Beverage presented a mixed picture. Pre-service briefings allowed discussion, and a female supervisor managing stock and scheduling showed how responsibility can expand informally. Siyal et al. (2023) describe inclusive leadership as rooted in fairness, which fit these moments. Yet, when service intensified, decision time disappeared and leadership narrowed into instruction. Elkhwesky et al. (2022) call this reactive leadership shaped by pace. The placement suggested that leadership style responded to conditions rather than organisational messaging. Guillet et al. (2019) argue that effective leadership depends on adaptability, and the situation aligned with that view.</w:t>
      </w:r>
    </w:p>
    <w:p w14:paraId="08B51E9A"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t>2. Empowerment strengthened when women had decision autonomy</w:t>
      </w:r>
    </w:p>
    <w:p w14:paraId="2763AA20" w14:textId="77777777" w:rsidR="00B83FA0" w:rsidRPr="00552376" w:rsidRDefault="00B83FA0" w:rsidP="00B83FA0">
      <w:pPr>
        <w:spacing w:line="360" w:lineRule="auto"/>
        <w:jc w:val="both"/>
        <w:rPr>
          <w:rFonts w:ascii="Arial" w:hAnsi="Arial" w:cs="Arial"/>
        </w:rPr>
      </w:pPr>
      <w:r w:rsidRPr="00552376">
        <w:rPr>
          <w:rFonts w:ascii="Arial" w:hAnsi="Arial" w:cs="Arial"/>
        </w:rPr>
        <w:lastRenderedPageBreak/>
        <w:t>Confidence increased where women could act without seeking approval. Receptionists adjusted bookings and offered compensation directly, and the responsibility felt real. Kruja et al. (2016) emphasise that empowerment improves performance when authority is meaningful, and this pattern supported that principle.</w:t>
      </w:r>
    </w:p>
    <w:p w14:paraId="35825F99" w14:textId="77777777" w:rsidR="00B83FA0" w:rsidRPr="00552376" w:rsidRDefault="00B83FA0" w:rsidP="00B83FA0">
      <w:pPr>
        <w:spacing w:line="360" w:lineRule="auto"/>
        <w:jc w:val="both"/>
        <w:rPr>
          <w:rFonts w:ascii="Arial" w:hAnsi="Arial" w:cs="Arial"/>
        </w:rPr>
      </w:pPr>
      <w:r w:rsidRPr="00552376">
        <w:rPr>
          <w:rFonts w:ascii="Arial" w:hAnsi="Arial" w:cs="Arial"/>
        </w:rPr>
        <w:t>Housekeeping did not allow similar discretion. Tasks followed fixed checklists, and support from supervisors did not change the limits. Kumari (2017) explains that compliance-based roles restrict empowerment structurally. Siyal et al. (2023) add that leadership behaviour cannot create empowerment without decision latitude. Food and Beverage showed conditional empowerment. During quieter periods, decisions were shared; during busy service, instruction dominated. Sayyadi (2023) describes this conditional shift clearly. Encouragement may create confidence temporarily, but authority sustains it (Kruja et al., 2016).</w:t>
      </w:r>
    </w:p>
    <w:p w14:paraId="659A3F7B"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t>3. Corporate empowerment programmes were distant from daily routines</w:t>
      </w:r>
    </w:p>
    <w:p w14:paraId="698235C9" w14:textId="77777777" w:rsidR="00B83FA0" w:rsidRPr="00552376" w:rsidRDefault="00B83FA0" w:rsidP="00B83FA0">
      <w:pPr>
        <w:spacing w:line="360" w:lineRule="auto"/>
        <w:jc w:val="both"/>
        <w:rPr>
          <w:rFonts w:ascii="Arial" w:hAnsi="Arial" w:cs="Arial"/>
        </w:rPr>
      </w:pPr>
      <w:r w:rsidRPr="00552376">
        <w:rPr>
          <w:rFonts w:ascii="Arial" w:hAnsi="Arial" w:cs="Arial"/>
        </w:rPr>
        <w:t>Corporate materials promoted Thrive@Hilton and Women in Leadership, but these programmes had little presence in everyday development. Ispas (2010) notes that initiatives lose impact when disconnected from practice. Jadnanansing et al. (2021) add that women often lack access to leadership pathways when they are not built into scheduling or review systems. Marinakou (2012) describes how organisations may use inclusive language without embedding reinforcement. Elkhwesky et al. (2022) caution that corporate strategy does not translate evenly across properties. Diaz and Umbreit (1994) anticipated more participative leadership, yet without repetition the shift remained limited.</w:t>
      </w:r>
    </w:p>
    <w:p w14:paraId="435653A2"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t>4. Progression depended on structural access, not capability</w:t>
      </w:r>
    </w:p>
    <w:p w14:paraId="61D3521B" w14:textId="77777777" w:rsidR="00B83FA0" w:rsidRPr="00552376" w:rsidRDefault="00B83FA0" w:rsidP="00B83FA0">
      <w:pPr>
        <w:spacing w:line="360" w:lineRule="auto"/>
        <w:jc w:val="both"/>
        <w:rPr>
          <w:rFonts w:ascii="Arial" w:hAnsi="Arial" w:cs="Arial"/>
        </w:rPr>
      </w:pPr>
      <w:r w:rsidRPr="00552376">
        <w:rPr>
          <w:rFonts w:ascii="Arial" w:hAnsi="Arial" w:cs="Arial"/>
        </w:rPr>
        <w:t xml:space="preserve">Women demonstrated skill in guest management, problem solving, and emotional labour. Progression depended on personal advocacy. Knutson and Cichy (2002) link advancement with mentoring. Only one woman moved toward supervisory development, supported directly by a manager, which matches Salvator et al. (2021). Jadnanansing et al. (2021) describe representation gaps as structural. Women were active in service delivery but rarely involved in rota planning or budgeting. Whitelaw (2013) argues that rapid decision-making under pressure is a leadership competency, yet it did not translate into promotion because evaluation criteria prioritised strategic </w:t>
      </w:r>
      <w:r w:rsidRPr="00552376">
        <w:rPr>
          <w:rFonts w:ascii="Arial" w:hAnsi="Arial" w:cs="Arial"/>
        </w:rPr>
        <w:lastRenderedPageBreak/>
        <w:t>tasks women were not invited into. Kumari (2017) notes that emotional labour roles often limit strategic access, and that pattern was visible.</w:t>
      </w:r>
    </w:p>
    <w:p w14:paraId="0301B100"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t>Conclusion</w:t>
      </w:r>
    </w:p>
    <w:p w14:paraId="72F002A5" w14:textId="77777777" w:rsidR="00B83FA0" w:rsidRPr="00552376" w:rsidRDefault="00B83FA0" w:rsidP="00B83FA0">
      <w:pPr>
        <w:spacing w:line="360" w:lineRule="auto"/>
        <w:jc w:val="both"/>
        <w:rPr>
          <w:rFonts w:ascii="Arial" w:hAnsi="Arial" w:cs="Arial"/>
        </w:rPr>
      </w:pPr>
      <w:r w:rsidRPr="00552376">
        <w:rPr>
          <w:rFonts w:ascii="Arial" w:hAnsi="Arial" w:cs="Arial"/>
        </w:rPr>
        <w:t>Empowerment appeared where decision space was shared, but progression remained limited because mentoring, development pathways, and strategic exposure were inconsistent. This reflects Marinakou (2012), Knutson and Cichy (2002), and Siyal et al. (2023): empowerment lasts when leadership and structure work together. When structure is weak, progress is temporary.</w:t>
      </w:r>
    </w:p>
    <w:p w14:paraId="7CA2763E" w14:textId="77777777" w:rsidR="00B83FA0" w:rsidRPr="00552376" w:rsidRDefault="00B83FA0" w:rsidP="00B83FA0">
      <w:pPr>
        <w:spacing w:line="360" w:lineRule="auto"/>
        <w:jc w:val="both"/>
        <w:rPr>
          <w:rFonts w:ascii="Arial" w:hAnsi="Arial" w:cs="Arial"/>
        </w:rPr>
      </w:pPr>
      <w:r w:rsidRPr="00552376">
        <w:rPr>
          <w:rFonts w:ascii="Arial" w:hAnsi="Arial" w:cs="Arial"/>
        </w:rPr>
        <w:t>It keeps coming back to the same point. Systems decide whether empowerment holds (Lashley, 1999).</w:t>
      </w:r>
    </w:p>
    <w:p w14:paraId="7F9F147E" w14:textId="77777777" w:rsidR="00B83FA0" w:rsidRPr="00552376" w:rsidRDefault="00B83FA0" w:rsidP="00B83FA0">
      <w:pPr>
        <w:spacing w:line="360" w:lineRule="auto"/>
        <w:jc w:val="both"/>
        <w:rPr>
          <w:rFonts w:ascii="Arial" w:hAnsi="Arial" w:cs="Arial"/>
        </w:rPr>
      </w:pPr>
    </w:p>
    <w:p w14:paraId="14E21C3D" w14:textId="77777777" w:rsidR="00B83FA0" w:rsidRPr="00552376" w:rsidRDefault="00B83FA0" w:rsidP="00B83FA0">
      <w:pPr>
        <w:spacing w:line="360" w:lineRule="auto"/>
        <w:jc w:val="both"/>
        <w:rPr>
          <w:rFonts w:ascii="Arial" w:hAnsi="Arial" w:cs="Arial"/>
        </w:rPr>
      </w:pPr>
    </w:p>
    <w:p w14:paraId="41620A61" w14:textId="77777777" w:rsidR="00B83FA0" w:rsidRPr="00552376" w:rsidRDefault="00B83FA0" w:rsidP="00B83FA0">
      <w:pPr>
        <w:spacing w:line="360" w:lineRule="auto"/>
        <w:jc w:val="both"/>
        <w:rPr>
          <w:rFonts w:ascii="Arial" w:hAnsi="Arial" w:cs="Arial"/>
        </w:rPr>
      </w:pPr>
    </w:p>
    <w:p w14:paraId="69350A3F" w14:textId="77777777" w:rsidR="00B83FA0" w:rsidRPr="00552376" w:rsidRDefault="00B83FA0" w:rsidP="00B83FA0">
      <w:pPr>
        <w:spacing w:line="360" w:lineRule="auto"/>
        <w:jc w:val="both"/>
        <w:rPr>
          <w:rFonts w:ascii="Arial" w:hAnsi="Arial" w:cs="Arial"/>
        </w:rPr>
      </w:pPr>
    </w:p>
    <w:p w14:paraId="32D6F904" w14:textId="77777777" w:rsidR="00B83FA0" w:rsidRPr="00552376" w:rsidRDefault="00B83FA0" w:rsidP="00B83FA0">
      <w:pPr>
        <w:spacing w:line="360" w:lineRule="auto"/>
        <w:jc w:val="both"/>
        <w:rPr>
          <w:rFonts w:ascii="Arial" w:hAnsi="Arial" w:cs="Arial"/>
        </w:rPr>
      </w:pPr>
    </w:p>
    <w:p w14:paraId="7C1BD808" w14:textId="77777777" w:rsidR="00B83FA0" w:rsidRPr="00552376" w:rsidRDefault="00B83FA0" w:rsidP="00B83FA0">
      <w:pPr>
        <w:spacing w:line="360" w:lineRule="auto"/>
        <w:jc w:val="both"/>
        <w:rPr>
          <w:rFonts w:ascii="Arial" w:hAnsi="Arial" w:cs="Arial"/>
        </w:rPr>
      </w:pPr>
    </w:p>
    <w:p w14:paraId="533B92FB" w14:textId="77777777" w:rsidR="00B83FA0" w:rsidRPr="00552376" w:rsidRDefault="00B83FA0" w:rsidP="00B83FA0">
      <w:pPr>
        <w:spacing w:line="360" w:lineRule="auto"/>
        <w:jc w:val="both"/>
        <w:rPr>
          <w:rFonts w:ascii="Arial" w:hAnsi="Arial" w:cs="Arial"/>
        </w:rPr>
      </w:pPr>
    </w:p>
    <w:p w14:paraId="2F828C90" w14:textId="77777777" w:rsidR="00B83FA0" w:rsidRPr="00552376" w:rsidRDefault="00B83FA0" w:rsidP="00B83FA0">
      <w:pPr>
        <w:spacing w:line="360" w:lineRule="auto"/>
        <w:jc w:val="both"/>
        <w:rPr>
          <w:rFonts w:ascii="Arial" w:hAnsi="Arial" w:cs="Arial"/>
        </w:rPr>
      </w:pPr>
    </w:p>
    <w:p w14:paraId="3E5740F0" w14:textId="77777777" w:rsidR="00B83FA0" w:rsidRPr="00552376" w:rsidRDefault="00B83FA0" w:rsidP="00B83FA0">
      <w:pPr>
        <w:spacing w:line="360" w:lineRule="auto"/>
        <w:jc w:val="both"/>
        <w:rPr>
          <w:rFonts w:ascii="Arial" w:hAnsi="Arial" w:cs="Arial"/>
        </w:rPr>
      </w:pPr>
    </w:p>
    <w:p w14:paraId="3462FBBF" w14:textId="77777777" w:rsidR="00B83FA0" w:rsidRPr="00552376" w:rsidRDefault="00B83FA0" w:rsidP="00B83FA0">
      <w:pPr>
        <w:spacing w:line="360" w:lineRule="auto"/>
        <w:jc w:val="both"/>
        <w:rPr>
          <w:rFonts w:ascii="Arial" w:hAnsi="Arial" w:cs="Arial"/>
        </w:rPr>
      </w:pPr>
    </w:p>
    <w:p w14:paraId="5460AFF1" w14:textId="77777777" w:rsidR="00B83FA0" w:rsidRPr="00552376" w:rsidRDefault="00B83FA0" w:rsidP="00B83FA0">
      <w:pPr>
        <w:spacing w:line="360" w:lineRule="auto"/>
        <w:jc w:val="both"/>
        <w:rPr>
          <w:rFonts w:ascii="Arial" w:hAnsi="Arial" w:cs="Arial"/>
        </w:rPr>
      </w:pPr>
    </w:p>
    <w:p w14:paraId="1C4A9D6D" w14:textId="77777777" w:rsidR="00B83FA0" w:rsidRPr="00552376" w:rsidRDefault="00B83FA0" w:rsidP="00B83FA0">
      <w:pPr>
        <w:spacing w:line="360" w:lineRule="auto"/>
        <w:jc w:val="both"/>
        <w:rPr>
          <w:rFonts w:ascii="Arial" w:hAnsi="Arial" w:cs="Arial"/>
        </w:rPr>
      </w:pPr>
    </w:p>
    <w:p w14:paraId="75860F26" w14:textId="77777777" w:rsidR="00B83FA0" w:rsidRPr="00552376" w:rsidRDefault="00B83FA0" w:rsidP="00B83FA0">
      <w:pPr>
        <w:spacing w:line="360" w:lineRule="auto"/>
        <w:jc w:val="both"/>
        <w:rPr>
          <w:rFonts w:ascii="Arial" w:hAnsi="Arial" w:cs="Arial"/>
        </w:rPr>
      </w:pPr>
    </w:p>
    <w:p w14:paraId="3300199E" w14:textId="77777777" w:rsidR="00B83FA0" w:rsidRPr="00552376" w:rsidRDefault="00B83FA0" w:rsidP="00B83FA0">
      <w:pPr>
        <w:spacing w:line="360" w:lineRule="auto"/>
        <w:jc w:val="both"/>
        <w:rPr>
          <w:rFonts w:ascii="Arial" w:hAnsi="Arial" w:cs="Arial"/>
        </w:rPr>
      </w:pPr>
    </w:p>
    <w:p w14:paraId="25E3A322" w14:textId="77777777" w:rsidR="00B83FA0" w:rsidRPr="00552376" w:rsidRDefault="00B83FA0" w:rsidP="00B83FA0">
      <w:pPr>
        <w:spacing w:line="360" w:lineRule="auto"/>
        <w:jc w:val="both"/>
        <w:rPr>
          <w:rFonts w:ascii="Arial" w:hAnsi="Arial" w:cs="Arial"/>
          <w:b/>
          <w:bCs/>
        </w:rPr>
      </w:pPr>
    </w:p>
    <w:p w14:paraId="6A118844" w14:textId="77777777" w:rsidR="00552376" w:rsidRDefault="00552376" w:rsidP="00B83FA0">
      <w:pPr>
        <w:spacing w:line="360" w:lineRule="auto"/>
        <w:jc w:val="both"/>
        <w:rPr>
          <w:rFonts w:ascii="Arial" w:hAnsi="Arial" w:cs="Arial"/>
          <w:b/>
          <w:bCs/>
        </w:rPr>
      </w:pPr>
    </w:p>
    <w:p w14:paraId="28F615F0" w14:textId="5DC50304" w:rsidR="00B83FA0" w:rsidRPr="00552376" w:rsidRDefault="00B83FA0" w:rsidP="00B83FA0">
      <w:pPr>
        <w:spacing w:line="360" w:lineRule="auto"/>
        <w:jc w:val="both"/>
        <w:rPr>
          <w:rFonts w:ascii="Arial" w:hAnsi="Arial" w:cs="Arial"/>
          <w:b/>
          <w:bCs/>
        </w:rPr>
      </w:pPr>
      <w:r w:rsidRPr="00552376">
        <w:rPr>
          <w:rFonts w:ascii="Arial" w:hAnsi="Arial" w:cs="Arial"/>
          <w:b/>
          <w:bCs/>
        </w:rPr>
        <w:lastRenderedPageBreak/>
        <w:t>Chapter 6</w:t>
      </w:r>
    </w:p>
    <w:p w14:paraId="03B44FB7"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t>Conclusion</w:t>
      </w:r>
    </w:p>
    <w:p w14:paraId="3762C372" w14:textId="77777777" w:rsidR="00B83FA0" w:rsidRPr="00552376" w:rsidRDefault="00B83FA0" w:rsidP="00B83FA0">
      <w:pPr>
        <w:spacing w:line="360" w:lineRule="auto"/>
        <w:jc w:val="both"/>
        <w:rPr>
          <w:rFonts w:ascii="Arial" w:hAnsi="Arial" w:cs="Arial"/>
        </w:rPr>
      </w:pPr>
      <w:r w:rsidRPr="00552376">
        <w:rPr>
          <w:rFonts w:ascii="Arial" w:hAnsi="Arial" w:cs="Arial"/>
        </w:rPr>
        <w:t>Change in hotel work shows up in routines and in who gets to decide, shift after shift. Small choices build the culture, and consistency keeps it in place. Encouragement helps, but authority and clear process do the heavy lifting.</w:t>
      </w:r>
    </w:p>
    <w:p w14:paraId="62F0CD72" w14:textId="77777777" w:rsidR="00B83FA0" w:rsidRPr="00552376" w:rsidRDefault="00B83FA0" w:rsidP="00B83FA0">
      <w:pPr>
        <w:spacing w:line="360" w:lineRule="auto"/>
        <w:jc w:val="both"/>
        <w:rPr>
          <w:rFonts w:ascii="Arial" w:hAnsi="Arial" w:cs="Arial"/>
        </w:rPr>
      </w:pPr>
      <w:r w:rsidRPr="00552376">
        <w:rPr>
          <w:rFonts w:ascii="Arial" w:hAnsi="Arial" w:cs="Arial"/>
        </w:rPr>
        <w:t>To understand how this played out at DoubleTree by Hilton Southampton, leadership was watched in day-to-day conditions through participant observation, reflective logs, and document review. The aim was straightforward: see where women gain decision space and where systems limit it. Four core messages emerged.</w:t>
      </w:r>
    </w:p>
    <w:p w14:paraId="4B0670DF"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t>Leadership style and departmental context</w:t>
      </w:r>
    </w:p>
    <w:p w14:paraId="5124E869" w14:textId="77777777" w:rsidR="00B83FA0" w:rsidRPr="00552376" w:rsidRDefault="00B83FA0" w:rsidP="00B83FA0">
      <w:pPr>
        <w:spacing w:line="360" w:lineRule="auto"/>
        <w:jc w:val="both"/>
        <w:rPr>
          <w:rFonts w:ascii="Arial" w:hAnsi="Arial" w:cs="Arial"/>
        </w:rPr>
      </w:pPr>
      <w:r w:rsidRPr="00552376">
        <w:rPr>
          <w:rFonts w:ascii="Arial" w:hAnsi="Arial" w:cs="Arial"/>
        </w:rPr>
        <w:t>Permission rose and fell with the shift because pressure changed the way managers led, and this observation was also supported by Edmondson (2003). Some teams were invited to speak and decide, and supervisors asked for views, then backed the action. Others worked to a checklist because pace targets and task order demanded it. Where leaders made space for judgment and explained the why, people stepped forward, service recovered faster, and responsibility felt shared (Liao and Chuang, 2007),. When control tightened during busy spells, initiative slipped and decisions moved back to the top because quick correction seemed safer than coaching (Hughes and Rog, 2008). It is evident that this was practical and close to the work. Still, it keeps coming up (Gittell, 2002).</w:t>
      </w:r>
    </w:p>
    <w:p w14:paraId="0FF4F657" w14:textId="77777777" w:rsidR="00B83FA0" w:rsidRPr="00552376" w:rsidRDefault="00B83FA0" w:rsidP="00B83FA0">
      <w:pPr>
        <w:spacing w:line="360" w:lineRule="auto"/>
        <w:jc w:val="both"/>
        <w:rPr>
          <w:rFonts w:ascii="Arial" w:hAnsi="Arial" w:cs="Arial"/>
        </w:rPr>
      </w:pPr>
      <w:r w:rsidRPr="00552376">
        <w:rPr>
          <w:rFonts w:ascii="Arial" w:hAnsi="Arial" w:cs="Arial"/>
        </w:rPr>
        <w:t>In Front Office, transformational habits were easiest to spot because guest contact and teamwork allowed discretion. Housekeeping stayed tied to fixed pace measures, so growth had little room to take root because throughput ruled the day. Food and Beverage shifted between both modes, more open when calm and more directive once service intensified. The broader point aligns with Kruja et al. (2016) and Hossny (2019), because empowerment holds when the system leaves space for it and weakens when routine tightens. Of course, style matters, yet conditions decide how far it can travel.</w:t>
      </w:r>
    </w:p>
    <w:p w14:paraId="439B1430"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t>Empowerment through clear authority</w:t>
      </w:r>
    </w:p>
    <w:p w14:paraId="2F625233" w14:textId="77777777" w:rsidR="00B83FA0" w:rsidRPr="00552376" w:rsidRDefault="00B83FA0" w:rsidP="00B83FA0">
      <w:pPr>
        <w:spacing w:line="360" w:lineRule="auto"/>
        <w:jc w:val="both"/>
        <w:rPr>
          <w:rFonts w:ascii="Arial" w:hAnsi="Arial" w:cs="Arial"/>
        </w:rPr>
      </w:pPr>
      <w:r w:rsidRPr="00552376">
        <w:rPr>
          <w:rFonts w:ascii="Arial" w:hAnsi="Arial" w:cs="Arial"/>
        </w:rPr>
        <w:lastRenderedPageBreak/>
        <w:t>Supportive words help, although progress came when staff knew exactly what they could decide and when. Confidence rose where discretion existed and slipped when procedures were rigid. Kruja et al. (2016) describe empowerment as the match between responsibility and control, and that match was visible in the Front Office but appeared less often elsewhere. The lesson is simple. Authority needs to be defined so that people can act without hesitation.</w:t>
      </w:r>
    </w:p>
    <w:p w14:paraId="69F8436B"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t>Corporate commitment and daily practice</w:t>
      </w:r>
    </w:p>
    <w:p w14:paraId="743F585A" w14:textId="77777777" w:rsidR="00B83FA0" w:rsidRPr="00552376" w:rsidRDefault="00B83FA0" w:rsidP="00B83FA0">
      <w:pPr>
        <w:spacing w:line="360" w:lineRule="auto"/>
        <w:jc w:val="both"/>
        <w:rPr>
          <w:rFonts w:ascii="Arial" w:hAnsi="Arial" w:cs="Arial"/>
        </w:rPr>
      </w:pPr>
      <w:r w:rsidRPr="00552376">
        <w:rPr>
          <w:rFonts w:ascii="Arial" w:hAnsi="Arial" w:cs="Arial"/>
        </w:rPr>
        <w:t>Brand programmes were present in documents, yet they rarely surfaced in routine briefings or team discussions. Thrive@Hilton and Women in Leadership were known, but they did not guide daily choices on the floor. Ispas (2010) cautions that development schemes lose force when they sit apart from operations, and that concern was easy to see here. Where local managers chose to apply the ideas, inclusion felt active. Where they did not, policy remained quiet.</w:t>
      </w:r>
    </w:p>
    <w:p w14:paraId="3D2D77E5"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t>Structural barriers and women’s progression</w:t>
      </w:r>
    </w:p>
    <w:p w14:paraId="145D6822" w14:textId="77777777" w:rsidR="00B83FA0" w:rsidRPr="00552376" w:rsidRDefault="00B83FA0" w:rsidP="00B83FA0">
      <w:pPr>
        <w:spacing w:line="360" w:lineRule="auto"/>
        <w:jc w:val="both"/>
        <w:rPr>
          <w:rFonts w:ascii="Arial" w:hAnsi="Arial" w:cs="Arial"/>
        </w:rPr>
      </w:pPr>
      <w:r w:rsidRPr="00552376">
        <w:rPr>
          <w:rFonts w:ascii="Arial" w:hAnsi="Arial" w:cs="Arial"/>
        </w:rPr>
        <w:t>Capability among women was visible across service recovery and coordination, and guests felt the benefit. However, access to strategic tasks stayed limited, and mentoring arrived inconsistently. Advancement depends on visibility in decision spaces and sponsorship that opens doors, as Knutson and Cichy (2002) and Peshave and Gupta (2017) underline. Readiness was there. The route to show it was narrow.</w:t>
      </w:r>
    </w:p>
    <w:p w14:paraId="5E708EF5"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t>Final reflection</w:t>
      </w:r>
    </w:p>
    <w:p w14:paraId="1F292619" w14:textId="77777777" w:rsidR="00B83FA0" w:rsidRPr="00552376" w:rsidRDefault="00B83FA0" w:rsidP="00B83FA0">
      <w:pPr>
        <w:spacing w:line="360" w:lineRule="auto"/>
        <w:jc w:val="both"/>
        <w:rPr>
          <w:rFonts w:ascii="Arial" w:hAnsi="Arial" w:cs="Arial"/>
        </w:rPr>
      </w:pPr>
      <w:r w:rsidRPr="00552376">
        <w:rPr>
          <w:rFonts w:ascii="Arial" w:hAnsi="Arial" w:cs="Arial"/>
        </w:rPr>
        <w:t>Taken together, the picture points to systems that need to repeat fair practice until it becomes habit. Clear delegation, steady mentoring, and visible routes to development make inclusion durable. Without those anchors, progress appears in fragments. At DoubleTree by Hilton Southampton, inclusion showed when trust met design and it faded when speed and compliance took over. The larger task is to build empowerment into the fabric of everyday work so that opportunity sits inside process and not on the margins. This continues to come up, and it will keep returning until the routine holds it in place.</w:t>
      </w:r>
    </w:p>
    <w:p w14:paraId="143B55B7" w14:textId="77777777" w:rsidR="00552376" w:rsidRDefault="00552376" w:rsidP="00B83FA0">
      <w:pPr>
        <w:spacing w:line="360" w:lineRule="auto"/>
        <w:jc w:val="both"/>
        <w:rPr>
          <w:rFonts w:ascii="Arial" w:hAnsi="Arial" w:cs="Arial"/>
          <w:b/>
          <w:bCs/>
        </w:rPr>
      </w:pPr>
    </w:p>
    <w:p w14:paraId="0B33ABF8" w14:textId="77777777" w:rsidR="00552376" w:rsidRDefault="00552376" w:rsidP="00B83FA0">
      <w:pPr>
        <w:spacing w:line="360" w:lineRule="auto"/>
        <w:jc w:val="both"/>
        <w:rPr>
          <w:rFonts w:ascii="Arial" w:hAnsi="Arial" w:cs="Arial"/>
          <w:b/>
          <w:bCs/>
        </w:rPr>
      </w:pPr>
    </w:p>
    <w:p w14:paraId="08A73F70" w14:textId="43541197" w:rsidR="00B83FA0" w:rsidRPr="00552376" w:rsidRDefault="00B83FA0" w:rsidP="00B83FA0">
      <w:pPr>
        <w:spacing w:line="360" w:lineRule="auto"/>
        <w:jc w:val="both"/>
        <w:rPr>
          <w:rFonts w:ascii="Arial" w:hAnsi="Arial" w:cs="Arial"/>
          <w:b/>
          <w:bCs/>
        </w:rPr>
      </w:pPr>
      <w:r w:rsidRPr="00552376">
        <w:rPr>
          <w:rFonts w:ascii="Arial" w:hAnsi="Arial" w:cs="Arial"/>
          <w:b/>
          <w:bCs/>
        </w:rPr>
        <w:lastRenderedPageBreak/>
        <w:t>Recommendations</w:t>
      </w:r>
    </w:p>
    <w:p w14:paraId="13396190" w14:textId="77777777" w:rsidR="00B83FA0" w:rsidRPr="00552376" w:rsidRDefault="00B83FA0" w:rsidP="00B83FA0">
      <w:pPr>
        <w:spacing w:line="360" w:lineRule="auto"/>
        <w:jc w:val="both"/>
        <w:rPr>
          <w:rFonts w:ascii="Arial" w:hAnsi="Arial" w:cs="Arial"/>
        </w:rPr>
      </w:pPr>
      <w:r w:rsidRPr="00552376">
        <w:rPr>
          <w:rFonts w:ascii="Arial" w:hAnsi="Arial" w:cs="Arial"/>
        </w:rPr>
        <w:t>On site, empowerment and leadership growth leaned on individual behaviour because routine systems were uneven. To give women clear room to progress, daily practice needs structure that repeats. The points below turn the earlier insights into actions that sit inside normal operations.</w:t>
      </w:r>
    </w:p>
    <w:p w14:paraId="1B609BCB"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t>Build consistent leadership habits through training</w:t>
      </w:r>
    </w:p>
    <w:p w14:paraId="6445835A" w14:textId="77777777" w:rsidR="00B83FA0" w:rsidRPr="00552376" w:rsidRDefault="00B83FA0" w:rsidP="00B83FA0">
      <w:pPr>
        <w:spacing w:line="360" w:lineRule="auto"/>
        <w:jc w:val="both"/>
        <w:rPr>
          <w:rFonts w:ascii="Arial" w:hAnsi="Arial" w:cs="Arial"/>
        </w:rPr>
      </w:pPr>
      <w:r w:rsidRPr="00552376">
        <w:rPr>
          <w:rFonts w:ascii="Arial" w:hAnsi="Arial" w:cs="Arial"/>
        </w:rPr>
        <w:t>Leadership looked different across departments. Some supervisors delegated and recognised effort; others focused on pace and control. Style shapes morale and confidence, so steady development matters. Dashper (2020) notes that inclusive leadership is learned through practice, and Gander and Sharafizad (2025) stress that fair progression rests on measured competence.</w:t>
      </w:r>
    </w:p>
    <w:p w14:paraId="59CCEDE8" w14:textId="77777777" w:rsidR="00B83FA0" w:rsidRPr="00552376" w:rsidRDefault="00B83FA0" w:rsidP="00B83FA0">
      <w:pPr>
        <w:spacing w:line="360" w:lineRule="auto"/>
        <w:jc w:val="both"/>
        <w:rPr>
          <w:rFonts w:ascii="Arial" w:hAnsi="Arial" w:cs="Arial"/>
        </w:rPr>
      </w:pPr>
      <w:r w:rsidRPr="00552376">
        <w:rPr>
          <w:rFonts w:ascii="Arial" w:hAnsi="Arial" w:cs="Arial"/>
          <w:b/>
          <w:bCs/>
        </w:rPr>
        <w:t>Recommended actions:</w:t>
      </w:r>
    </w:p>
    <w:p w14:paraId="25CFD1CC" w14:textId="77777777" w:rsidR="00B83FA0" w:rsidRPr="00552376" w:rsidRDefault="00B83FA0" w:rsidP="00B83FA0">
      <w:pPr>
        <w:pStyle w:val="ListParagraph"/>
        <w:numPr>
          <w:ilvl w:val="0"/>
          <w:numId w:val="7"/>
        </w:numPr>
        <w:spacing w:line="360" w:lineRule="auto"/>
        <w:jc w:val="both"/>
        <w:rPr>
          <w:rFonts w:ascii="Arial" w:hAnsi="Arial" w:cs="Arial"/>
        </w:rPr>
      </w:pPr>
      <w:r w:rsidRPr="00552376">
        <w:rPr>
          <w:rFonts w:ascii="Arial" w:hAnsi="Arial" w:cs="Arial"/>
        </w:rPr>
        <w:t>Introduce quarterly workshops for supervisors on delegation, feedback, and unconscious gender bias.</w:t>
      </w:r>
    </w:p>
    <w:p w14:paraId="30B043E5" w14:textId="77777777" w:rsidR="00B83FA0" w:rsidRPr="00552376" w:rsidRDefault="00B83FA0" w:rsidP="00B83FA0">
      <w:pPr>
        <w:pStyle w:val="ListParagraph"/>
        <w:numPr>
          <w:ilvl w:val="0"/>
          <w:numId w:val="7"/>
        </w:numPr>
        <w:spacing w:line="360" w:lineRule="auto"/>
        <w:jc w:val="both"/>
        <w:rPr>
          <w:rFonts w:ascii="Arial" w:hAnsi="Arial" w:cs="Arial"/>
        </w:rPr>
      </w:pPr>
      <w:r w:rsidRPr="00552376">
        <w:rPr>
          <w:rFonts w:ascii="Arial" w:hAnsi="Arial" w:cs="Arial"/>
        </w:rPr>
        <w:t>Use real operational cases, such as service recovery or rota conflict, so learning connects with daily work.</w:t>
      </w:r>
    </w:p>
    <w:p w14:paraId="75297849" w14:textId="77777777" w:rsidR="00B83FA0" w:rsidRPr="00552376" w:rsidRDefault="00B83FA0" w:rsidP="00B83FA0">
      <w:pPr>
        <w:pStyle w:val="ListParagraph"/>
        <w:numPr>
          <w:ilvl w:val="0"/>
          <w:numId w:val="7"/>
        </w:numPr>
        <w:spacing w:line="360" w:lineRule="auto"/>
        <w:jc w:val="both"/>
        <w:rPr>
          <w:rFonts w:ascii="Arial" w:hAnsi="Arial" w:cs="Arial"/>
        </w:rPr>
      </w:pPr>
      <w:r w:rsidRPr="00552376">
        <w:rPr>
          <w:rFonts w:ascii="Arial" w:hAnsi="Arial" w:cs="Arial"/>
        </w:rPr>
        <w:t>Add leadership behaviours to performance reviews alongside technical metrics.</w:t>
      </w:r>
    </w:p>
    <w:p w14:paraId="52F88F64" w14:textId="77777777" w:rsidR="00B83FA0" w:rsidRPr="00552376" w:rsidRDefault="00B83FA0" w:rsidP="00B83FA0">
      <w:pPr>
        <w:spacing w:line="360" w:lineRule="auto"/>
        <w:jc w:val="both"/>
        <w:rPr>
          <w:rFonts w:ascii="Arial" w:hAnsi="Arial" w:cs="Arial"/>
        </w:rPr>
      </w:pPr>
      <w:r w:rsidRPr="00552376">
        <w:rPr>
          <w:rFonts w:ascii="Arial" w:hAnsi="Arial" w:cs="Arial"/>
          <w:b/>
          <w:bCs/>
        </w:rPr>
        <w:t>Expected impact:</w:t>
      </w:r>
      <w:r w:rsidRPr="00552376">
        <w:rPr>
          <w:rFonts w:ascii="Arial" w:hAnsi="Arial" w:cs="Arial"/>
        </w:rPr>
        <w:t xml:space="preserve"> Leadership becomes a shared skill, inconsistency reduces, and trust grows across departments.</w:t>
      </w:r>
    </w:p>
    <w:p w14:paraId="24A1C75F"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t>Turn encouragement into clear authority</w:t>
      </w:r>
    </w:p>
    <w:p w14:paraId="6D6A4B65" w14:textId="77777777" w:rsidR="00B83FA0" w:rsidRPr="00552376" w:rsidRDefault="00B83FA0" w:rsidP="00B83FA0">
      <w:pPr>
        <w:spacing w:line="360" w:lineRule="auto"/>
        <w:jc w:val="both"/>
        <w:rPr>
          <w:rFonts w:ascii="Arial" w:hAnsi="Arial" w:cs="Arial"/>
        </w:rPr>
      </w:pPr>
      <w:r w:rsidRPr="00552376">
        <w:rPr>
          <w:rFonts w:ascii="Arial" w:hAnsi="Arial" w:cs="Arial"/>
        </w:rPr>
        <w:t>Kind words help, although confidence grows when people know exactly what they can decide. Kruja et al. (2016) show that empowerment holds when decision authority is explicit and supported by trust.</w:t>
      </w:r>
    </w:p>
    <w:p w14:paraId="21DB5143" w14:textId="77777777" w:rsidR="00B83FA0" w:rsidRPr="00552376" w:rsidRDefault="00B83FA0" w:rsidP="00B83FA0">
      <w:pPr>
        <w:spacing w:line="360" w:lineRule="auto"/>
        <w:jc w:val="both"/>
        <w:rPr>
          <w:rFonts w:ascii="Arial" w:hAnsi="Arial" w:cs="Arial"/>
        </w:rPr>
      </w:pPr>
      <w:r w:rsidRPr="00552376">
        <w:rPr>
          <w:rFonts w:ascii="Arial" w:hAnsi="Arial" w:cs="Arial"/>
          <w:b/>
          <w:bCs/>
        </w:rPr>
        <w:t>Recommended actions:</w:t>
      </w:r>
    </w:p>
    <w:p w14:paraId="75C93CA5" w14:textId="77777777" w:rsidR="00B83FA0" w:rsidRPr="00552376" w:rsidRDefault="00B83FA0" w:rsidP="00B83FA0">
      <w:pPr>
        <w:pStyle w:val="ListParagraph"/>
        <w:numPr>
          <w:ilvl w:val="0"/>
          <w:numId w:val="8"/>
        </w:numPr>
        <w:spacing w:line="360" w:lineRule="auto"/>
        <w:jc w:val="both"/>
        <w:rPr>
          <w:rFonts w:ascii="Arial" w:hAnsi="Arial" w:cs="Arial"/>
        </w:rPr>
      </w:pPr>
      <w:r w:rsidRPr="00552376">
        <w:rPr>
          <w:rFonts w:ascii="Arial" w:hAnsi="Arial" w:cs="Arial"/>
        </w:rPr>
        <w:t>Set empowerment thresholds that authorise staff to resolve issues within clear financial or procedural limits.</w:t>
      </w:r>
    </w:p>
    <w:p w14:paraId="442886D1" w14:textId="77777777" w:rsidR="00B83FA0" w:rsidRPr="00552376" w:rsidRDefault="00B83FA0" w:rsidP="00B83FA0">
      <w:pPr>
        <w:pStyle w:val="ListParagraph"/>
        <w:numPr>
          <w:ilvl w:val="0"/>
          <w:numId w:val="8"/>
        </w:numPr>
        <w:spacing w:line="360" w:lineRule="auto"/>
        <w:jc w:val="both"/>
        <w:rPr>
          <w:rFonts w:ascii="Arial" w:hAnsi="Arial" w:cs="Arial"/>
        </w:rPr>
      </w:pPr>
      <w:r w:rsidRPr="00552376">
        <w:rPr>
          <w:rFonts w:ascii="Arial" w:hAnsi="Arial" w:cs="Arial"/>
        </w:rPr>
        <w:t>Extend empowerment cards to Housekeeping and Food and Beverage, matching the scope already used in Front Office.</w:t>
      </w:r>
    </w:p>
    <w:p w14:paraId="61C8E9F3" w14:textId="77777777" w:rsidR="00B83FA0" w:rsidRPr="00552376" w:rsidRDefault="00B83FA0" w:rsidP="00B83FA0">
      <w:pPr>
        <w:pStyle w:val="ListParagraph"/>
        <w:numPr>
          <w:ilvl w:val="0"/>
          <w:numId w:val="8"/>
        </w:numPr>
        <w:spacing w:line="360" w:lineRule="auto"/>
        <w:jc w:val="both"/>
        <w:rPr>
          <w:rFonts w:ascii="Arial" w:hAnsi="Arial" w:cs="Arial"/>
        </w:rPr>
      </w:pPr>
      <w:r w:rsidRPr="00552376">
        <w:rPr>
          <w:rFonts w:ascii="Arial" w:hAnsi="Arial" w:cs="Arial"/>
        </w:rPr>
        <w:t>Run a weekly voice forum where employees present small improvements, rotating facilitation to increase visibility for women.</w:t>
      </w:r>
    </w:p>
    <w:p w14:paraId="73C3E9F0" w14:textId="77777777" w:rsidR="00B83FA0" w:rsidRPr="00552376" w:rsidRDefault="00B83FA0" w:rsidP="00B83FA0">
      <w:pPr>
        <w:spacing w:line="360" w:lineRule="auto"/>
        <w:jc w:val="both"/>
        <w:rPr>
          <w:rFonts w:ascii="Arial" w:hAnsi="Arial" w:cs="Arial"/>
        </w:rPr>
      </w:pPr>
      <w:r w:rsidRPr="00552376">
        <w:rPr>
          <w:rFonts w:ascii="Arial" w:hAnsi="Arial" w:cs="Arial"/>
          <w:b/>
          <w:bCs/>
        </w:rPr>
        <w:lastRenderedPageBreak/>
        <w:t>Expected impact:</w:t>
      </w:r>
      <w:r w:rsidRPr="00552376">
        <w:rPr>
          <w:rFonts w:ascii="Arial" w:hAnsi="Arial" w:cs="Arial"/>
        </w:rPr>
        <w:t xml:space="preserve"> Decision space becomes predictable, transparent, and measurable. Managers rely less on discretion, and staff act sooner.</w:t>
      </w:r>
    </w:p>
    <w:p w14:paraId="3DF29426" w14:textId="77777777" w:rsidR="00B83FA0" w:rsidRPr="00552376" w:rsidRDefault="00B83FA0" w:rsidP="00B83FA0">
      <w:pPr>
        <w:spacing w:line="360" w:lineRule="auto"/>
        <w:jc w:val="both"/>
        <w:rPr>
          <w:rFonts w:ascii="Arial" w:hAnsi="Arial" w:cs="Arial"/>
          <w:b/>
          <w:bCs/>
        </w:rPr>
      </w:pPr>
    </w:p>
    <w:p w14:paraId="1E2A484E" w14:textId="77777777" w:rsidR="00B83FA0" w:rsidRPr="00552376" w:rsidRDefault="00B83FA0" w:rsidP="00B83FA0">
      <w:pPr>
        <w:spacing w:line="360" w:lineRule="auto"/>
        <w:jc w:val="both"/>
        <w:rPr>
          <w:rFonts w:ascii="Arial" w:hAnsi="Arial" w:cs="Arial"/>
          <w:b/>
          <w:bCs/>
        </w:rPr>
      </w:pPr>
    </w:p>
    <w:p w14:paraId="57248B49"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t>Bring corporate programmes into daily routines</w:t>
      </w:r>
    </w:p>
    <w:p w14:paraId="30005D24" w14:textId="77777777" w:rsidR="00B83FA0" w:rsidRPr="00552376" w:rsidRDefault="00B83FA0" w:rsidP="00B83FA0">
      <w:pPr>
        <w:spacing w:line="360" w:lineRule="auto"/>
        <w:jc w:val="both"/>
        <w:rPr>
          <w:rFonts w:ascii="Arial" w:hAnsi="Arial" w:cs="Arial"/>
        </w:rPr>
      </w:pPr>
      <w:r w:rsidRPr="00552376">
        <w:rPr>
          <w:rFonts w:ascii="Arial" w:hAnsi="Arial" w:cs="Arial"/>
          <w:b/>
          <w:bCs/>
        </w:rPr>
        <w:t>Thrive@Hilton and Women in Leadership often appear strong on paper, yet in daily operations they tend to fade.</w:t>
      </w:r>
      <w:r w:rsidRPr="00552376">
        <w:rPr>
          <w:rFonts w:ascii="Arial" w:hAnsi="Arial" w:cs="Arial"/>
        </w:rPr>
        <w:t xml:space="preserve"> Ispas (2010) warned that programmes lose strength when they stay symbolic, and it feels accurate because visibility depends on process, not intention. It also depends on who carries the message, of course, since energy travels through people more than through handbooks.</w:t>
      </w:r>
    </w:p>
    <w:p w14:paraId="1901FDF4" w14:textId="77777777" w:rsidR="00B83FA0" w:rsidRPr="00552376" w:rsidRDefault="00B83FA0" w:rsidP="00B83FA0">
      <w:pPr>
        <w:spacing w:line="360" w:lineRule="auto"/>
        <w:jc w:val="both"/>
        <w:rPr>
          <w:rFonts w:ascii="Arial" w:hAnsi="Arial" w:cs="Arial"/>
        </w:rPr>
      </w:pPr>
      <w:r w:rsidRPr="00552376">
        <w:rPr>
          <w:rFonts w:ascii="Arial" w:hAnsi="Arial" w:cs="Arial"/>
          <w:b/>
          <w:bCs/>
        </w:rPr>
        <w:t>Recommended actions</w:t>
      </w:r>
    </w:p>
    <w:p w14:paraId="7C78453D" w14:textId="77777777" w:rsidR="00B83FA0" w:rsidRPr="00552376" w:rsidRDefault="00B83FA0" w:rsidP="00B83FA0">
      <w:pPr>
        <w:pStyle w:val="ListParagraph"/>
        <w:numPr>
          <w:ilvl w:val="0"/>
          <w:numId w:val="9"/>
        </w:numPr>
        <w:spacing w:line="360" w:lineRule="auto"/>
        <w:jc w:val="both"/>
        <w:rPr>
          <w:rFonts w:ascii="Arial" w:hAnsi="Arial" w:cs="Arial"/>
        </w:rPr>
      </w:pPr>
      <w:r w:rsidRPr="00552376">
        <w:rPr>
          <w:rFonts w:ascii="Arial" w:hAnsi="Arial" w:cs="Arial"/>
        </w:rPr>
        <w:t>Assign a Programme Champion in every department to share updates, track engagement, and connect staff with new opportunities.</w:t>
      </w:r>
    </w:p>
    <w:p w14:paraId="2D053FEE" w14:textId="77777777" w:rsidR="00B83FA0" w:rsidRPr="00552376" w:rsidRDefault="00B83FA0" w:rsidP="00B83FA0">
      <w:pPr>
        <w:pStyle w:val="ListParagraph"/>
        <w:numPr>
          <w:ilvl w:val="0"/>
          <w:numId w:val="9"/>
        </w:numPr>
        <w:spacing w:line="360" w:lineRule="auto"/>
        <w:jc w:val="both"/>
        <w:rPr>
          <w:rFonts w:ascii="Arial" w:hAnsi="Arial" w:cs="Arial"/>
        </w:rPr>
      </w:pPr>
      <w:r w:rsidRPr="00552376">
        <w:rPr>
          <w:rFonts w:ascii="Arial" w:hAnsi="Arial" w:cs="Arial"/>
        </w:rPr>
        <w:t>Include programme participation inside personal development reviews because progress only lasts when it has structure.</w:t>
      </w:r>
    </w:p>
    <w:p w14:paraId="3D725039" w14:textId="77777777" w:rsidR="00B83FA0" w:rsidRPr="00552376" w:rsidRDefault="00B83FA0" w:rsidP="00B83FA0">
      <w:pPr>
        <w:pStyle w:val="ListParagraph"/>
        <w:numPr>
          <w:ilvl w:val="0"/>
          <w:numId w:val="9"/>
        </w:numPr>
        <w:spacing w:line="360" w:lineRule="auto"/>
        <w:jc w:val="both"/>
        <w:rPr>
          <w:rFonts w:ascii="Arial" w:hAnsi="Arial" w:cs="Arial"/>
        </w:rPr>
      </w:pPr>
      <w:r w:rsidRPr="00552376">
        <w:rPr>
          <w:rFonts w:ascii="Arial" w:hAnsi="Arial" w:cs="Arial"/>
        </w:rPr>
        <w:t>Share short examples of participant results in internal updates so the benefits look practical, not abstract.</w:t>
      </w:r>
    </w:p>
    <w:p w14:paraId="657C6E7A" w14:textId="77777777" w:rsidR="00B83FA0" w:rsidRPr="00552376" w:rsidRDefault="00B83FA0" w:rsidP="00B83FA0">
      <w:pPr>
        <w:spacing w:line="360" w:lineRule="auto"/>
        <w:jc w:val="both"/>
        <w:rPr>
          <w:rFonts w:ascii="Arial" w:hAnsi="Arial" w:cs="Arial"/>
        </w:rPr>
      </w:pPr>
      <w:r w:rsidRPr="00552376">
        <w:rPr>
          <w:rFonts w:ascii="Arial" w:hAnsi="Arial" w:cs="Arial"/>
          <w:b/>
          <w:bCs/>
        </w:rPr>
        <w:t>Expected impact</w:t>
      </w:r>
    </w:p>
    <w:p w14:paraId="71A71B01" w14:textId="77777777" w:rsidR="00B83FA0" w:rsidRPr="00552376" w:rsidRDefault="00B83FA0" w:rsidP="00B83FA0">
      <w:pPr>
        <w:spacing w:line="360" w:lineRule="auto"/>
        <w:jc w:val="both"/>
        <w:rPr>
          <w:rFonts w:ascii="Arial" w:hAnsi="Arial" w:cs="Arial"/>
        </w:rPr>
      </w:pPr>
      <w:r w:rsidRPr="00552376">
        <w:rPr>
          <w:rFonts w:ascii="Arial" w:hAnsi="Arial" w:cs="Arial"/>
        </w:rPr>
        <w:t>Staff begin to see these schemes as tools that belong to them because they reach the floor, not just the screen. Engagement strengthens, and accountability becomes easier to trace.</w:t>
      </w:r>
    </w:p>
    <w:p w14:paraId="32C3E9A7"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t>Make mentoring structured and visible</w:t>
      </w:r>
    </w:p>
    <w:p w14:paraId="20E781EA" w14:textId="77777777" w:rsidR="00B83FA0" w:rsidRPr="00552376" w:rsidRDefault="00B83FA0" w:rsidP="00B83FA0">
      <w:pPr>
        <w:spacing w:line="360" w:lineRule="auto"/>
        <w:jc w:val="both"/>
        <w:rPr>
          <w:rFonts w:ascii="Arial" w:hAnsi="Arial" w:cs="Arial"/>
        </w:rPr>
      </w:pPr>
      <w:r w:rsidRPr="00552376">
        <w:rPr>
          <w:rFonts w:ascii="Arial" w:hAnsi="Arial" w:cs="Arial"/>
        </w:rPr>
        <w:t>Support was present, but it shifted too much with personality and goodwill. A clear routine would make growth predictable rather than accidental. Knutson and Cichy (2002) emphasise that mentoring is a strong driver of women’s leadership, and the placement reflected that quietly.</w:t>
      </w:r>
    </w:p>
    <w:p w14:paraId="6C6FA41B" w14:textId="77777777" w:rsidR="00B83FA0" w:rsidRPr="00552376" w:rsidRDefault="00B83FA0" w:rsidP="00B83FA0">
      <w:pPr>
        <w:spacing w:line="360" w:lineRule="auto"/>
        <w:jc w:val="both"/>
        <w:rPr>
          <w:rFonts w:ascii="Arial" w:hAnsi="Arial" w:cs="Arial"/>
        </w:rPr>
      </w:pPr>
      <w:r w:rsidRPr="00552376">
        <w:rPr>
          <w:rFonts w:ascii="Arial" w:hAnsi="Arial" w:cs="Arial"/>
          <w:b/>
          <w:bCs/>
        </w:rPr>
        <w:t>Actions</w:t>
      </w:r>
    </w:p>
    <w:p w14:paraId="11F77F32" w14:textId="77777777" w:rsidR="00B83FA0" w:rsidRPr="00552376" w:rsidRDefault="00B83FA0" w:rsidP="00B83FA0">
      <w:pPr>
        <w:pStyle w:val="ListParagraph"/>
        <w:numPr>
          <w:ilvl w:val="0"/>
          <w:numId w:val="10"/>
        </w:numPr>
        <w:spacing w:line="360" w:lineRule="auto"/>
        <w:jc w:val="both"/>
        <w:rPr>
          <w:rFonts w:ascii="Arial" w:hAnsi="Arial" w:cs="Arial"/>
        </w:rPr>
      </w:pPr>
      <w:r w:rsidRPr="00552376">
        <w:rPr>
          <w:rFonts w:ascii="Arial" w:hAnsi="Arial" w:cs="Arial"/>
        </w:rPr>
        <w:t>Set six-month mentoring cycles and match women seeking progression with managers from different departments.</w:t>
      </w:r>
    </w:p>
    <w:p w14:paraId="5ED75D7B" w14:textId="77777777" w:rsidR="00B83FA0" w:rsidRPr="00552376" w:rsidRDefault="00B83FA0" w:rsidP="00B83FA0">
      <w:pPr>
        <w:pStyle w:val="ListParagraph"/>
        <w:numPr>
          <w:ilvl w:val="0"/>
          <w:numId w:val="10"/>
        </w:numPr>
        <w:spacing w:line="360" w:lineRule="auto"/>
        <w:jc w:val="both"/>
        <w:rPr>
          <w:rFonts w:ascii="Arial" w:hAnsi="Arial" w:cs="Arial"/>
        </w:rPr>
      </w:pPr>
      <w:r w:rsidRPr="00552376">
        <w:rPr>
          <w:rFonts w:ascii="Arial" w:hAnsi="Arial" w:cs="Arial"/>
        </w:rPr>
        <w:lastRenderedPageBreak/>
        <w:t>Hold one goal-setting meeting and one review meeting per cycle.</w:t>
      </w:r>
    </w:p>
    <w:p w14:paraId="072A19FE" w14:textId="77777777" w:rsidR="00B83FA0" w:rsidRPr="00552376" w:rsidRDefault="00B83FA0" w:rsidP="00B83FA0">
      <w:pPr>
        <w:pStyle w:val="ListParagraph"/>
        <w:numPr>
          <w:ilvl w:val="0"/>
          <w:numId w:val="10"/>
        </w:numPr>
        <w:spacing w:line="360" w:lineRule="auto"/>
        <w:jc w:val="both"/>
        <w:rPr>
          <w:rFonts w:ascii="Arial" w:hAnsi="Arial" w:cs="Arial"/>
        </w:rPr>
      </w:pPr>
      <w:r w:rsidRPr="00552376">
        <w:rPr>
          <w:rFonts w:ascii="Arial" w:hAnsi="Arial" w:cs="Arial"/>
        </w:rPr>
        <w:t>Use a short template focused on confidence, exposure to decisions, and visibility.</w:t>
      </w:r>
    </w:p>
    <w:p w14:paraId="7533E4BC" w14:textId="77777777" w:rsidR="00B83FA0" w:rsidRPr="00552376" w:rsidRDefault="00B83FA0" w:rsidP="00B83FA0">
      <w:pPr>
        <w:spacing w:line="360" w:lineRule="auto"/>
        <w:jc w:val="both"/>
        <w:rPr>
          <w:rFonts w:ascii="Arial" w:hAnsi="Arial" w:cs="Arial"/>
        </w:rPr>
      </w:pPr>
      <w:r w:rsidRPr="00552376">
        <w:rPr>
          <w:rFonts w:ascii="Arial" w:hAnsi="Arial" w:cs="Arial"/>
          <w:b/>
          <w:bCs/>
        </w:rPr>
        <w:t>Expected effect</w:t>
      </w:r>
    </w:p>
    <w:p w14:paraId="62DAFABA" w14:textId="77777777" w:rsidR="00B83FA0" w:rsidRPr="00552376" w:rsidRDefault="00B83FA0" w:rsidP="00B83FA0">
      <w:pPr>
        <w:spacing w:line="360" w:lineRule="auto"/>
        <w:jc w:val="both"/>
        <w:rPr>
          <w:rFonts w:ascii="Arial" w:hAnsi="Arial" w:cs="Arial"/>
        </w:rPr>
      </w:pPr>
      <w:r w:rsidRPr="00552376">
        <w:rPr>
          <w:rFonts w:ascii="Arial" w:hAnsi="Arial" w:cs="Arial"/>
        </w:rPr>
        <w:t>Development becomes consistent and professional. People know what to expect and when.</w:t>
      </w:r>
    </w:p>
    <w:p w14:paraId="05D1AA49"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t>Expand access to strategic tasks</w:t>
      </w:r>
    </w:p>
    <w:p w14:paraId="577E5788" w14:textId="77777777" w:rsidR="00B83FA0" w:rsidRPr="00552376" w:rsidRDefault="00B83FA0" w:rsidP="00B83FA0">
      <w:pPr>
        <w:spacing w:line="360" w:lineRule="auto"/>
        <w:jc w:val="both"/>
        <w:rPr>
          <w:rFonts w:ascii="Arial" w:hAnsi="Arial" w:cs="Arial"/>
        </w:rPr>
      </w:pPr>
      <w:r w:rsidRPr="00552376">
        <w:rPr>
          <w:rFonts w:ascii="Arial" w:hAnsi="Arial" w:cs="Arial"/>
        </w:rPr>
        <w:t>Women handled service work confidently, yet planning and budgeting stayed closed spaces. Peshave and Gupta (2017) link progression to experience in scheduling and forecasting, which matches what emerged. Leadership grows through proximity to decision-making.</w:t>
      </w:r>
    </w:p>
    <w:p w14:paraId="24F0F245" w14:textId="77777777" w:rsidR="00B83FA0" w:rsidRPr="00552376" w:rsidRDefault="00B83FA0" w:rsidP="00B83FA0">
      <w:pPr>
        <w:spacing w:line="360" w:lineRule="auto"/>
        <w:jc w:val="both"/>
        <w:rPr>
          <w:rFonts w:ascii="Arial" w:hAnsi="Arial" w:cs="Arial"/>
        </w:rPr>
      </w:pPr>
      <w:r w:rsidRPr="00552376">
        <w:rPr>
          <w:rFonts w:ascii="Arial" w:hAnsi="Arial" w:cs="Arial"/>
          <w:b/>
          <w:bCs/>
        </w:rPr>
        <w:t>Actions</w:t>
      </w:r>
    </w:p>
    <w:p w14:paraId="4A8B1031" w14:textId="77777777" w:rsidR="00B83FA0" w:rsidRPr="00552376" w:rsidRDefault="00B83FA0" w:rsidP="00B83FA0">
      <w:pPr>
        <w:pStyle w:val="ListParagraph"/>
        <w:numPr>
          <w:ilvl w:val="0"/>
          <w:numId w:val="11"/>
        </w:numPr>
        <w:spacing w:line="360" w:lineRule="auto"/>
        <w:jc w:val="both"/>
        <w:rPr>
          <w:rFonts w:ascii="Arial" w:hAnsi="Arial" w:cs="Arial"/>
        </w:rPr>
      </w:pPr>
      <w:r w:rsidRPr="00552376">
        <w:rPr>
          <w:rFonts w:ascii="Arial" w:hAnsi="Arial" w:cs="Arial"/>
        </w:rPr>
        <w:t>Rotate staff into scheduling, stock control, and forecasting tasks.</w:t>
      </w:r>
    </w:p>
    <w:p w14:paraId="53F8FA72" w14:textId="77777777" w:rsidR="00B83FA0" w:rsidRPr="00552376" w:rsidRDefault="00B83FA0" w:rsidP="00B83FA0">
      <w:pPr>
        <w:pStyle w:val="ListParagraph"/>
        <w:numPr>
          <w:ilvl w:val="0"/>
          <w:numId w:val="11"/>
        </w:numPr>
        <w:spacing w:line="360" w:lineRule="auto"/>
        <w:jc w:val="both"/>
        <w:rPr>
          <w:rFonts w:ascii="Arial" w:hAnsi="Arial" w:cs="Arial"/>
        </w:rPr>
      </w:pPr>
      <w:r w:rsidRPr="00552376">
        <w:rPr>
          <w:rFonts w:ascii="Arial" w:hAnsi="Arial" w:cs="Arial"/>
        </w:rPr>
        <w:t>Invite selected staff to management meetings and discuss what they observed afterwards.</w:t>
      </w:r>
    </w:p>
    <w:p w14:paraId="11ACCEAB" w14:textId="77777777" w:rsidR="00B83FA0" w:rsidRPr="00552376" w:rsidRDefault="00B83FA0" w:rsidP="00B83FA0">
      <w:pPr>
        <w:pStyle w:val="ListParagraph"/>
        <w:numPr>
          <w:ilvl w:val="0"/>
          <w:numId w:val="11"/>
        </w:numPr>
        <w:spacing w:line="360" w:lineRule="auto"/>
        <w:jc w:val="both"/>
        <w:rPr>
          <w:rFonts w:ascii="Arial" w:hAnsi="Arial" w:cs="Arial"/>
        </w:rPr>
      </w:pPr>
      <w:r w:rsidRPr="00552376">
        <w:rPr>
          <w:rFonts w:ascii="Arial" w:hAnsi="Arial" w:cs="Arial"/>
        </w:rPr>
        <w:t>Log new responsibilities in development records so progress is visible at review time.</w:t>
      </w:r>
    </w:p>
    <w:p w14:paraId="2D813523" w14:textId="77777777" w:rsidR="00B83FA0" w:rsidRPr="00552376" w:rsidRDefault="00B83FA0" w:rsidP="00B83FA0">
      <w:pPr>
        <w:spacing w:line="360" w:lineRule="auto"/>
        <w:jc w:val="both"/>
        <w:rPr>
          <w:rFonts w:ascii="Arial" w:hAnsi="Arial" w:cs="Arial"/>
        </w:rPr>
      </w:pPr>
      <w:r w:rsidRPr="00552376">
        <w:rPr>
          <w:rFonts w:ascii="Arial" w:hAnsi="Arial" w:cs="Arial"/>
          <w:b/>
          <w:bCs/>
        </w:rPr>
        <w:t>Expected effect</w:t>
      </w:r>
    </w:p>
    <w:p w14:paraId="50E05056" w14:textId="77777777" w:rsidR="00B83FA0" w:rsidRPr="00552376" w:rsidRDefault="00B83FA0" w:rsidP="00B83FA0">
      <w:pPr>
        <w:spacing w:line="360" w:lineRule="auto"/>
        <w:jc w:val="both"/>
        <w:rPr>
          <w:rFonts w:ascii="Arial" w:hAnsi="Arial" w:cs="Arial"/>
        </w:rPr>
      </w:pPr>
      <w:r w:rsidRPr="00552376">
        <w:rPr>
          <w:rFonts w:ascii="Arial" w:hAnsi="Arial" w:cs="Arial"/>
        </w:rPr>
        <w:t>Potential is demonstrated through action. Promotion discussions become clearer and fairer.</w:t>
      </w:r>
    </w:p>
    <w:p w14:paraId="4876DE2A"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t>Connect empowerment to performance</w:t>
      </w:r>
    </w:p>
    <w:p w14:paraId="1335D2D1" w14:textId="77777777" w:rsidR="00B83FA0" w:rsidRPr="00552376" w:rsidRDefault="00B83FA0" w:rsidP="00B83FA0">
      <w:pPr>
        <w:spacing w:line="360" w:lineRule="auto"/>
        <w:jc w:val="both"/>
        <w:rPr>
          <w:rFonts w:ascii="Arial" w:hAnsi="Arial" w:cs="Arial"/>
        </w:rPr>
      </w:pPr>
      <w:r w:rsidRPr="00552376">
        <w:rPr>
          <w:rFonts w:ascii="Arial" w:hAnsi="Arial" w:cs="Arial"/>
        </w:rPr>
        <w:t>Progress fades when it is not tracked. Mooney (2020) argues that inclusion gains stability when tied to indicators, and the reasoning is clear. Without measures, momentum slips.</w:t>
      </w:r>
    </w:p>
    <w:p w14:paraId="12E56270" w14:textId="77777777" w:rsidR="00B83FA0" w:rsidRPr="00552376" w:rsidRDefault="00B83FA0" w:rsidP="00B83FA0">
      <w:pPr>
        <w:spacing w:line="360" w:lineRule="auto"/>
        <w:jc w:val="both"/>
        <w:rPr>
          <w:rFonts w:ascii="Arial" w:hAnsi="Arial" w:cs="Arial"/>
        </w:rPr>
      </w:pPr>
      <w:r w:rsidRPr="00552376">
        <w:rPr>
          <w:rFonts w:ascii="Arial" w:hAnsi="Arial" w:cs="Arial"/>
          <w:b/>
          <w:bCs/>
        </w:rPr>
        <w:t>Actions</w:t>
      </w:r>
    </w:p>
    <w:p w14:paraId="04FE133F" w14:textId="77777777" w:rsidR="00B83FA0" w:rsidRPr="00552376" w:rsidRDefault="00B83FA0" w:rsidP="00B83FA0">
      <w:pPr>
        <w:pStyle w:val="ListParagraph"/>
        <w:numPr>
          <w:ilvl w:val="0"/>
          <w:numId w:val="12"/>
        </w:numPr>
        <w:spacing w:line="360" w:lineRule="auto"/>
        <w:jc w:val="both"/>
        <w:rPr>
          <w:rFonts w:ascii="Arial" w:hAnsi="Arial" w:cs="Arial"/>
        </w:rPr>
      </w:pPr>
      <w:r w:rsidRPr="00552376">
        <w:rPr>
          <w:rFonts w:ascii="Arial" w:hAnsi="Arial" w:cs="Arial"/>
        </w:rPr>
        <w:t>Add empowerment markers to KPIs, such as independent decision use and participation in development activities</w:t>
      </w:r>
    </w:p>
    <w:p w14:paraId="2234FFFA" w14:textId="77777777" w:rsidR="00B83FA0" w:rsidRPr="00552376" w:rsidRDefault="00B83FA0" w:rsidP="00B83FA0">
      <w:pPr>
        <w:pStyle w:val="ListParagraph"/>
        <w:numPr>
          <w:ilvl w:val="0"/>
          <w:numId w:val="12"/>
        </w:numPr>
        <w:spacing w:line="360" w:lineRule="auto"/>
        <w:jc w:val="both"/>
        <w:rPr>
          <w:rFonts w:ascii="Arial" w:hAnsi="Arial" w:cs="Arial"/>
        </w:rPr>
      </w:pPr>
      <w:r w:rsidRPr="00552376">
        <w:rPr>
          <w:rFonts w:ascii="Arial" w:hAnsi="Arial" w:cs="Arial"/>
        </w:rPr>
        <w:t>Recognise managers who actively support women’s progression and share those examples.</w:t>
      </w:r>
    </w:p>
    <w:p w14:paraId="664CD41D" w14:textId="77777777" w:rsidR="00B83FA0" w:rsidRPr="00552376" w:rsidRDefault="00B83FA0" w:rsidP="00B83FA0">
      <w:pPr>
        <w:spacing w:line="360" w:lineRule="auto"/>
        <w:jc w:val="both"/>
        <w:rPr>
          <w:rFonts w:ascii="Arial" w:hAnsi="Arial" w:cs="Arial"/>
        </w:rPr>
      </w:pPr>
      <w:r w:rsidRPr="00552376">
        <w:rPr>
          <w:rFonts w:ascii="Arial" w:hAnsi="Arial" w:cs="Arial"/>
          <w:b/>
          <w:bCs/>
        </w:rPr>
        <w:lastRenderedPageBreak/>
        <w:t>Expected effect</w:t>
      </w:r>
    </w:p>
    <w:p w14:paraId="2C724284" w14:textId="77777777" w:rsidR="00B83FA0" w:rsidRPr="00552376" w:rsidRDefault="00B83FA0" w:rsidP="00B83FA0">
      <w:pPr>
        <w:spacing w:line="360" w:lineRule="auto"/>
        <w:jc w:val="both"/>
        <w:rPr>
          <w:rFonts w:ascii="Arial" w:hAnsi="Arial" w:cs="Arial"/>
        </w:rPr>
      </w:pPr>
      <w:r w:rsidRPr="00552376">
        <w:rPr>
          <w:rFonts w:ascii="Arial" w:hAnsi="Arial" w:cs="Arial"/>
        </w:rPr>
        <w:t>Growth becomes part of performance culture. It stays visible and taken seriously.</w:t>
      </w:r>
    </w:p>
    <w:p w14:paraId="366E7D99" w14:textId="77777777" w:rsidR="00B83FA0" w:rsidRPr="00552376" w:rsidRDefault="00B83FA0" w:rsidP="00B83FA0">
      <w:pPr>
        <w:spacing w:line="360" w:lineRule="auto"/>
        <w:jc w:val="both"/>
        <w:rPr>
          <w:rFonts w:ascii="Arial" w:hAnsi="Arial" w:cs="Arial"/>
          <w:b/>
          <w:bCs/>
        </w:rPr>
      </w:pPr>
      <w:r w:rsidRPr="00552376">
        <w:rPr>
          <w:rFonts w:ascii="Arial" w:hAnsi="Arial" w:cs="Arial"/>
          <w:b/>
          <w:bCs/>
        </w:rPr>
        <w:t>Closing note</w:t>
      </w:r>
    </w:p>
    <w:p w14:paraId="47D52089" w14:textId="77777777" w:rsidR="00B83FA0" w:rsidRPr="00552376" w:rsidRDefault="00B83FA0" w:rsidP="00B83FA0">
      <w:pPr>
        <w:spacing w:line="360" w:lineRule="auto"/>
        <w:jc w:val="both"/>
        <w:rPr>
          <w:rFonts w:ascii="Arial" w:hAnsi="Arial" w:cs="Arial"/>
        </w:rPr>
      </w:pPr>
      <w:r w:rsidRPr="00552376">
        <w:rPr>
          <w:rFonts w:ascii="Arial" w:hAnsi="Arial" w:cs="Arial"/>
        </w:rPr>
        <w:t>These steps shift inclusion from intention to habit because development is scheduled, responsibility is shared, and recognition is reinforced. Empowerment stops depending on the personality of individual managers and begins to reflect the system itself (Gerged, Tran and Beddewela, 2022).</w:t>
      </w:r>
    </w:p>
    <w:p w14:paraId="564E0C52" w14:textId="77777777" w:rsidR="00B83FA0" w:rsidRPr="00552376" w:rsidRDefault="00B83FA0" w:rsidP="00B83FA0">
      <w:pPr>
        <w:spacing w:line="360" w:lineRule="auto"/>
        <w:jc w:val="both"/>
        <w:rPr>
          <w:rFonts w:ascii="Arial" w:hAnsi="Arial" w:cs="Arial"/>
        </w:rPr>
      </w:pPr>
    </w:p>
    <w:p w14:paraId="0B3B9CDB" w14:textId="77777777" w:rsidR="00B83FA0" w:rsidRPr="00552376" w:rsidRDefault="00B83FA0" w:rsidP="00B83FA0">
      <w:pPr>
        <w:spacing w:line="360" w:lineRule="auto"/>
        <w:jc w:val="both"/>
        <w:rPr>
          <w:rFonts w:ascii="Arial" w:hAnsi="Arial" w:cs="Arial"/>
          <w:b/>
          <w:bCs/>
        </w:rPr>
      </w:pPr>
    </w:p>
    <w:p w14:paraId="08FD22BA" w14:textId="77777777" w:rsidR="00B83FA0" w:rsidRPr="00552376" w:rsidRDefault="00B83FA0" w:rsidP="00B83FA0">
      <w:pPr>
        <w:spacing w:line="360" w:lineRule="auto"/>
        <w:jc w:val="both"/>
        <w:rPr>
          <w:rFonts w:ascii="Arial" w:hAnsi="Arial" w:cs="Arial"/>
          <w:b/>
          <w:bCs/>
        </w:rPr>
      </w:pPr>
    </w:p>
    <w:p w14:paraId="7229F0A4" w14:textId="77777777" w:rsidR="00B83FA0" w:rsidRPr="00552376" w:rsidRDefault="00B83FA0" w:rsidP="00B83FA0">
      <w:pPr>
        <w:spacing w:line="360" w:lineRule="auto"/>
        <w:jc w:val="both"/>
        <w:rPr>
          <w:rFonts w:ascii="Arial" w:hAnsi="Arial" w:cs="Arial"/>
          <w:b/>
          <w:bCs/>
        </w:rPr>
      </w:pPr>
    </w:p>
    <w:p w14:paraId="4E01B0D3" w14:textId="77777777" w:rsidR="00B83FA0" w:rsidRPr="00552376" w:rsidRDefault="00B83FA0" w:rsidP="00B83FA0">
      <w:pPr>
        <w:spacing w:line="360" w:lineRule="auto"/>
        <w:jc w:val="both"/>
        <w:rPr>
          <w:rFonts w:ascii="Arial" w:hAnsi="Arial" w:cs="Arial"/>
          <w:b/>
          <w:bCs/>
        </w:rPr>
      </w:pPr>
    </w:p>
    <w:p w14:paraId="31E96233" w14:textId="77777777" w:rsidR="00B83FA0" w:rsidRPr="00552376" w:rsidRDefault="00B83FA0" w:rsidP="00B83FA0">
      <w:pPr>
        <w:spacing w:line="360" w:lineRule="auto"/>
        <w:jc w:val="both"/>
        <w:rPr>
          <w:rFonts w:ascii="Arial" w:hAnsi="Arial" w:cs="Arial"/>
          <w:b/>
          <w:bCs/>
        </w:rPr>
      </w:pPr>
    </w:p>
    <w:p w14:paraId="6169064F" w14:textId="77777777" w:rsidR="00B83FA0" w:rsidRPr="00552376" w:rsidRDefault="00B83FA0" w:rsidP="00B83FA0">
      <w:pPr>
        <w:spacing w:line="360" w:lineRule="auto"/>
        <w:jc w:val="both"/>
        <w:rPr>
          <w:rFonts w:ascii="Arial" w:hAnsi="Arial" w:cs="Arial"/>
          <w:b/>
          <w:bCs/>
        </w:rPr>
      </w:pPr>
    </w:p>
    <w:p w14:paraId="1523DEFE" w14:textId="77777777" w:rsidR="00B83FA0" w:rsidRPr="00552376" w:rsidRDefault="00B83FA0" w:rsidP="00B83FA0">
      <w:pPr>
        <w:spacing w:line="360" w:lineRule="auto"/>
        <w:jc w:val="both"/>
        <w:rPr>
          <w:rFonts w:ascii="Arial" w:hAnsi="Arial" w:cs="Arial"/>
          <w:b/>
          <w:bCs/>
        </w:rPr>
      </w:pPr>
    </w:p>
    <w:p w14:paraId="1C2E6508" w14:textId="77777777" w:rsidR="00B83FA0" w:rsidRPr="00552376" w:rsidRDefault="00B83FA0" w:rsidP="00B83FA0">
      <w:pPr>
        <w:spacing w:line="360" w:lineRule="auto"/>
        <w:jc w:val="both"/>
        <w:rPr>
          <w:rFonts w:ascii="Arial" w:hAnsi="Arial" w:cs="Arial"/>
          <w:b/>
          <w:bCs/>
        </w:rPr>
      </w:pPr>
    </w:p>
    <w:p w14:paraId="3AE6A492" w14:textId="77777777" w:rsidR="00B83FA0" w:rsidRPr="00552376" w:rsidRDefault="00B83FA0" w:rsidP="00B83FA0">
      <w:pPr>
        <w:spacing w:line="360" w:lineRule="auto"/>
        <w:jc w:val="both"/>
        <w:rPr>
          <w:rFonts w:ascii="Arial" w:hAnsi="Arial" w:cs="Arial"/>
          <w:b/>
          <w:bCs/>
        </w:rPr>
      </w:pPr>
    </w:p>
    <w:p w14:paraId="3D444583" w14:textId="77777777" w:rsidR="00B83FA0" w:rsidRPr="00552376" w:rsidRDefault="00B83FA0" w:rsidP="00B83FA0">
      <w:pPr>
        <w:spacing w:line="360" w:lineRule="auto"/>
        <w:jc w:val="both"/>
        <w:rPr>
          <w:rFonts w:ascii="Arial" w:hAnsi="Arial" w:cs="Arial"/>
          <w:b/>
          <w:bCs/>
        </w:rPr>
      </w:pPr>
    </w:p>
    <w:p w14:paraId="7F2B8F93" w14:textId="77777777" w:rsidR="00B83FA0" w:rsidRPr="00552376" w:rsidRDefault="00B83FA0" w:rsidP="00B83FA0">
      <w:pPr>
        <w:spacing w:line="360" w:lineRule="auto"/>
        <w:jc w:val="both"/>
        <w:rPr>
          <w:rFonts w:ascii="Arial" w:hAnsi="Arial" w:cs="Arial"/>
          <w:b/>
          <w:bCs/>
        </w:rPr>
      </w:pPr>
    </w:p>
    <w:p w14:paraId="452FE433" w14:textId="77777777" w:rsidR="00B83FA0" w:rsidRPr="00552376" w:rsidRDefault="00B83FA0" w:rsidP="00B83FA0">
      <w:pPr>
        <w:spacing w:line="360" w:lineRule="auto"/>
        <w:jc w:val="both"/>
        <w:rPr>
          <w:rFonts w:ascii="Arial" w:hAnsi="Arial" w:cs="Arial"/>
          <w:b/>
          <w:bCs/>
        </w:rPr>
      </w:pPr>
    </w:p>
    <w:p w14:paraId="595264A6" w14:textId="77777777" w:rsidR="00B83FA0" w:rsidRPr="00552376" w:rsidRDefault="00B83FA0" w:rsidP="00B83FA0">
      <w:pPr>
        <w:spacing w:line="360" w:lineRule="auto"/>
        <w:jc w:val="both"/>
        <w:rPr>
          <w:rFonts w:ascii="Arial" w:hAnsi="Arial" w:cs="Arial"/>
          <w:b/>
          <w:bCs/>
        </w:rPr>
      </w:pPr>
    </w:p>
    <w:p w14:paraId="48EC1244" w14:textId="77777777" w:rsidR="00B83FA0" w:rsidRPr="00552376" w:rsidRDefault="00B83FA0" w:rsidP="00B83FA0">
      <w:pPr>
        <w:spacing w:line="360" w:lineRule="auto"/>
        <w:jc w:val="both"/>
        <w:rPr>
          <w:rFonts w:ascii="Arial" w:hAnsi="Arial" w:cs="Arial"/>
          <w:b/>
          <w:bCs/>
        </w:rPr>
      </w:pPr>
    </w:p>
    <w:p w14:paraId="23858C01" w14:textId="77777777" w:rsidR="00B83FA0" w:rsidRPr="00552376" w:rsidRDefault="00B83FA0" w:rsidP="00B83FA0">
      <w:pPr>
        <w:spacing w:line="360" w:lineRule="auto"/>
        <w:jc w:val="both"/>
        <w:rPr>
          <w:rFonts w:ascii="Arial" w:hAnsi="Arial" w:cs="Arial"/>
          <w:b/>
          <w:bCs/>
        </w:rPr>
      </w:pPr>
    </w:p>
    <w:p w14:paraId="5558B8E9" w14:textId="77777777" w:rsidR="00B83FA0" w:rsidRPr="00552376" w:rsidRDefault="00B83FA0" w:rsidP="00B83FA0">
      <w:pPr>
        <w:spacing w:line="360" w:lineRule="auto"/>
        <w:jc w:val="both"/>
        <w:rPr>
          <w:rFonts w:ascii="Arial" w:hAnsi="Arial" w:cs="Arial"/>
          <w:b/>
          <w:bCs/>
        </w:rPr>
      </w:pPr>
    </w:p>
    <w:p w14:paraId="47BAA57A" w14:textId="77777777" w:rsidR="00B83FA0" w:rsidRPr="00552376" w:rsidRDefault="00B83FA0" w:rsidP="00B83FA0">
      <w:pPr>
        <w:spacing w:line="360" w:lineRule="auto"/>
        <w:jc w:val="both"/>
        <w:rPr>
          <w:rFonts w:ascii="Arial" w:hAnsi="Arial" w:cs="Arial"/>
          <w:b/>
          <w:bCs/>
        </w:rPr>
      </w:pPr>
    </w:p>
    <w:p w14:paraId="5E6B0333" w14:textId="77777777" w:rsidR="00B83FA0" w:rsidRPr="00552376" w:rsidRDefault="00B83FA0" w:rsidP="00762F6D">
      <w:pPr>
        <w:spacing w:line="360" w:lineRule="auto"/>
        <w:rPr>
          <w:rFonts w:ascii="Arial" w:hAnsi="Arial" w:cs="Arial"/>
          <w:b/>
          <w:bCs/>
        </w:rPr>
      </w:pPr>
      <w:r w:rsidRPr="00552376">
        <w:rPr>
          <w:rFonts w:ascii="Arial" w:hAnsi="Arial" w:cs="Arial"/>
          <w:b/>
          <w:bCs/>
        </w:rPr>
        <w:lastRenderedPageBreak/>
        <w:t>Reference List</w:t>
      </w:r>
    </w:p>
    <w:p w14:paraId="4A66991D" w14:textId="77777777" w:rsidR="00B83FA0" w:rsidRPr="00552376" w:rsidRDefault="00B83FA0" w:rsidP="00762F6D">
      <w:pPr>
        <w:spacing w:line="360" w:lineRule="auto"/>
        <w:rPr>
          <w:rFonts w:ascii="Arial" w:hAnsi="Arial" w:cs="Arial"/>
        </w:rPr>
      </w:pPr>
    </w:p>
    <w:p w14:paraId="5D0CC25A" w14:textId="3685F7CC" w:rsidR="00B83FA0" w:rsidRPr="00552376" w:rsidRDefault="00B83FA0" w:rsidP="00762F6D">
      <w:pPr>
        <w:spacing w:line="360" w:lineRule="auto"/>
        <w:ind w:left="360"/>
        <w:rPr>
          <w:rFonts w:ascii="Arial" w:hAnsi="Arial" w:cs="Arial"/>
        </w:rPr>
      </w:pPr>
      <w:r w:rsidRPr="00552376">
        <w:rPr>
          <w:rFonts w:ascii="Arial" w:hAnsi="Arial" w:cs="Arial"/>
        </w:rPr>
        <w:t xml:space="preserve">Baum, T., </w:t>
      </w:r>
      <w:r w:rsidR="00762F6D" w:rsidRPr="00552376">
        <w:rPr>
          <w:rFonts w:ascii="Arial" w:hAnsi="Arial" w:cs="Arial"/>
        </w:rPr>
        <w:t>(</w:t>
      </w:r>
      <w:r w:rsidRPr="00552376">
        <w:rPr>
          <w:rFonts w:ascii="Arial" w:hAnsi="Arial" w:cs="Arial"/>
        </w:rPr>
        <w:t>2019</w:t>
      </w:r>
      <w:r w:rsidR="00762F6D" w:rsidRPr="00552376">
        <w:rPr>
          <w:rFonts w:ascii="Arial" w:hAnsi="Arial" w:cs="Arial"/>
        </w:rPr>
        <w:t>)</w:t>
      </w:r>
      <w:r w:rsidRPr="00552376">
        <w:rPr>
          <w:rFonts w:ascii="Arial" w:hAnsi="Arial" w:cs="Arial"/>
        </w:rPr>
        <w:t>. Does the hospitality industry need or deserve talent?. </w:t>
      </w:r>
      <w:r w:rsidRPr="00552376">
        <w:rPr>
          <w:rFonts w:ascii="Arial" w:hAnsi="Arial" w:cs="Arial"/>
          <w:i/>
          <w:iCs/>
        </w:rPr>
        <w:t>International Journal of Contemporary Hospitality Management</w:t>
      </w:r>
      <w:r w:rsidRPr="00552376">
        <w:rPr>
          <w:rFonts w:ascii="Arial" w:hAnsi="Arial" w:cs="Arial"/>
        </w:rPr>
        <w:t>, </w:t>
      </w:r>
      <w:r w:rsidRPr="00552376">
        <w:rPr>
          <w:rFonts w:ascii="Arial" w:hAnsi="Arial" w:cs="Arial"/>
          <w:i/>
          <w:iCs/>
        </w:rPr>
        <w:t>31</w:t>
      </w:r>
      <w:r w:rsidRPr="00552376">
        <w:rPr>
          <w:rFonts w:ascii="Arial" w:hAnsi="Arial" w:cs="Arial"/>
        </w:rPr>
        <w:t xml:space="preserve">(10), pp.3823-3837. </w:t>
      </w:r>
      <w:hyperlink r:id="rId6" w:history="1">
        <w:r w:rsidRPr="00552376">
          <w:rPr>
            <w:rStyle w:val="Hyperlink"/>
            <w:rFonts w:ascii="Arial" w:hAnsi="Arial" w:cs="Arial"/>
          </w:rPr>
          <w:t>https://doi.org/10.1108/IJCHM-10-2018-0805</w:t>
        </w:r>
      </w:hyperlink>
      <w:r w:rsidRPr="00552376">
        <w:rPr>
          <w:rFonts w:ascii="Arial" w:hAnsi="Arial" w:cs="Arial"/>
        </w:rPr>
        <w:t xml:space="preserve"> </w:t>
      </w:r>
    </w:p>
    <w:p w14:paraId="4D88E836" w14:textId="676F3778" w:rsidR="00B83FA0" w:rsidRPr="00552376" w:rsidRDefault="00B83FA0" w:rsidP="00762F6D">
      <w:pPr>
        <w:spacing w:line="360" w:lineRule="auto"/>
        <w:ind w:left="360"/>
        <w:rPr>
          <w:rFonts w:ascii="Arial" w:hAnsi="Arial" w:cs="Arial"/>
        </w:rPr>
      </w:pPr>
      <w:r w:rsidRPr="00552376">
        <w:rPr>
          <w:rFonts w:ascii="Arial" w:hAnsi="Arial" w:cs="Arial"/>
        </w:rPr>
        <w:t xml:space="preserve">Baum, T., </w:t>
      </w:r>
      <w:r w:rsidR="00762F6D" w:rsidRPr="00552376">
        <w:rPr>
          <w:rFonts w:ascii="Arial" w:hAnsi="Arial" w:cs="Arial"/>
        </w:rPr>
        <w:t>(</w:t>
      </w:r>
      <w:r w:rsidRPr="00552376">
        <w:rPr>
          <w:rFonts w:ascii="Arial" w:hAnsi="Arial" w:cs="Arial"/>
        </w:rPr>
        <w:t>2019</w:t>
      </w:r>
      <w:r w:rsidR="00762F6D" w:rsidRPr="00552376">
        <w:rPr>
          <w:rFonts w:ascii="Arial" w:hAnsi="Arial" w:cs="Arial"/>
        </w:rPr>
        <w:t>)</w:t>
      </w:r>
      <w:r w:rsidRPr="00552376">
        <w:rPr>
          <w:rFonts w:ascii="Arial" w:hAnsi="Arial" w:cs="Arial"/>
        </w:rPr>
        <w:t>. Hospitality employment 2033: A backcasting perspective (invited paper for ‘luminaries’ special issue of international journal of hospitality management). </w:t>
      </w:r>
      <w:r w:rsidRPr="00552376">
        <w:rPr>
          <w:rFonts w:ascii="Arial" w:hAnsi="Arial" w:cs="Arial"/>
          <w:i/>
          <w:iCs/>
        </w:rPr>
        <w:t>International Journal of Hospitality Management</w:t>
      </w:r>
      <w:r w:rsidRPr="00552376">
        <w:rPr>
          <w:rFonts w:ascii="Arial" w:hAnsi="Arial" w:cs="Arial"/>
        </w:rPr>
        <w:t>, </w:t>
      </w:r>
      <w:r w:rsidRPr="00552376">
        <w:rPr>
          <w:rFonts w:ascii="Arial" w:hAnsi="Arial" w:cs="Arial"/>
          <w:i/>
          <w:iCs/>
        </w:rPr>
        <w:t>76</w:t>
      </w:r>
      <w:r w:rsidRPr="00552376">
        <w:rPr>
          <w:rFonts w:ascii="Arial" w:hAnsi="Arial" w:cs="Arial"/>
        </w:rPr>
        <w:t xml:space="preserve">, pp.45-52. </w:t>
      </w:r>
      <w:hyperlink r:id="rId7" w:history="1">
        <w:r w:rsidRPr="00552376">
          <w:rPr>
            <w:rStyle w:val="Hyperlink"/>
            <w:rFonts w:ascii="Arial" w:hAnsi="Arial" w:cs="Arial"/>
          </w:rPr>
          <w:t>https://doi.org/10.1016/j.ijhm.2018.06.027</w:t>
        </w:r>
      </w:hyperlink>
      <w:r w:rsidRPr="00552376">
        <w:rPr>
          <w:rFonts w:ascii="Arial" w:hAnsi="Arial" w:cs="Arial"/>
        </w:rPr>
        <w:t xml:space="preserve"> </w:t>
      </w:r>
    </w:p>
    <w:p w14:paraId="18414094" w14:textId="68768EF8" w:rsidR="00B83FA0" w:rsidRPr="00552376" w:rsidRDefault="00B83FA0" w:rsidP="00762F6D">
      <w:pPr>
        <w:spacing w:line="360" w:lineRule="auto"/>
        <w:ind w:left="360"/>
        <w:rPr>
          <w:rFonts w:ascii="Arial" w:hAnsi="Arial" w:cs="Arial"/>
        </w:rPr>
      </w:pPr>
      <w:r w:rsidRPr="00552376">
        <w:rPr>
          <w:rFonts w:ascii="Arial" w:hAnsi="Arial" w:cs="Arial"/>
        </w:rPr>
        <w:t xml:space="preserve">Beiza, A., Maneethai, D. and Madera, J.M., </w:t>
      </w:r>
      <w:r w:rsidR="00762F6D" w:rsidRPr="00552376">
        <w:rPr>
          <w:rFonts w:ascii="Arial" w:hAnsi="Arial" w:cs="Arial"/>
        </w:rPr>
        <w:t>(</w:t>
      </w:r>
      <w:r w:rsidRPr="00552376">
        <w:rPr>
          <w:rFonts w:ascii="Arial" w:hAnsi="Arial" w:cs="Arial"/>
        </w:rPr>
        <w:t>2024</w:t>
      </w:r>
      <w:r w:rsidR="00762F6D" w:rsidRPr="00552376">
        <w:rPr>
          <w:rFonts w:ascii="Arial" w:hAnsi="Arial" w:cs="Arial"/>
        </w:rPr>
        <w:t>)</w:t>
      </w:r>
      <w:r w:rsidRPr="00552376">
        <w:rPr>
          <w:rFonts w:ascii="Arial" w:hAnsi="Arial" w:cs="Arial"/>
        </w:rPr>
        <w:t>. How gendered language emerges in applicant materials and leadership descriptions in the hospitality industry: A text analysis study. </w:t>
      </w:r>
      <w:r w:rsidRPr="00552376">
        <w:rPr>
          <w:rFonts w:ascii="Arial" w:hAnsi="Arial" w:cs="Arial"/>
          <w:i/>
          <w:iCs/>
        </w:rPr>
        <w:t>International Journal of Hospitality Management</w:t>
      </w:r>
      <w:r w:rsidRPr="00552376">
        <w:rPr>
          <w:rFonts w:ascii="Arial" w:hAnsi="Arial" w:cs="Arial"/>
        </w:rPr>
        <w:t>, </w:t>
      </w:r>
      <w:r w:rsidRPr="00552376">
        <w:rPr>
          <w:rFonts w:ascii="Arial" w:hAnsi="Arial" w:cs="Arial"/>
          <w:i/>
          <w:iCs/>
        </w:rPr>
        <w:t>120</w:t>
      </w:r>
      <w:r w:rsidRPr="00552376">
        <w:rPr>
          <w:rFonts w:ascii="Arial" w:hAnsi="Arial" w:cs="Arial"/>
        </w:rPr>
        <w:t xml:space="preserve">, p.103756. </w:t>
      </w:r>
      <w:hyperlink r:id="rId8" w:history="1">
        <w:r w:rsidRPr="00552376">
          <w:rPr>
            <w:rStyle w:val="Hyperlink"/>
            <w:rFonts w:ascii="Arial" w:hAnsi="Arial" w:cs="Arial"/>
          </w:rPr>
          <w:t>https://doi.org/10.1016/j.ijhm.2024.103756</w:t>
        </w:r>
      </w:hyperlink>
      <w:r w:rsidRPr="00552376">
        <w:rPr>
          <w:rFonts w:ascii="Arial" w:hAnsi="Arial" w:cs="Arial"/>
        </w:rPr>
        <w:t xml:space="preserve"> </w:t>
      </w:r>
    </w:p>
    <w:p w14:paraId="1A5722E4" w14:textId="6C2878E6" w:rsidR="00B83FA0" w:rsidRPr="00552376" w:rsidRDefault="00B83FA0" w:rsidP="00762F6D">
      <w:pPr>
        <w:spacing w:line="360" w:lineRule="auto"/>
        <w:ind w:left="360"/>
        <w:rPr>
          <w:rFonts w:ascii="Arial" w:hAnsi="Arial" w:cs="Arial"/>
        </w:rPr>
      </w:pPr>
      <w:r w:rsidRPr="00552376">
        <w:rPr>
          <w:rFonts w:ascii="Arial" w:hAnsi="Arial" w:cs="Arial"/>
          <w:lang w:val="it-IT"/>
        </w:rPr>
        <w:t xml:space="preserve">Benavides-Velasco, C.A., Quintana-García, C. and Marchante-Lara, M., </w:t>
      </w:r>
      <w:r w:rsidR="00762F6D" w:rsidRPr="00552376">
        <w:rPr>
          <w:rFonts w:ascii="Arial" w:hAnsi="Arial" w:cs="Arial"/>
          <w:lang w:val="it-IT"/>
        </w:rPr>
        <w:t>(</w:t>
      </w:r>
      <w:r w:rsidRPr="00552376">
        <w:rPr>
          <w:rFonts w:ascii="Arial" w:hAnsi="Arial" w:cs="Arial"/>
          <w:lang w:val="it-IT"/>
        </w:rPr>
        <w:t>2014</w:t>
      </w:r>
      <w:r w:rsidR="00762F6D" w:rsidRPr="00552376">
        <w:rPr>
          <w:rFonts w:ascii="Arial" w:hAnsi="Arial" w:cs="Arial"/>
          <w:lang w:val="it-IT"/>
        </w:rPr>
        <w:t>)</w:t>
      </w:r>
      <w:r w:rsidRPr="00552376">
        <w:rPr>
          <w:rFonts w:ascii="Arial" w:hAnsi="Arial" w:cs="Arial"/>
          <w:lang w:val="it-IT"/>
        </w:rPr>
        <w:t xml:space="preserve">. </w:t>
      </w:r>
      <w:r w:rsidRPr="00552376">
        <w:rPr>
          <w:rFonts w:ascii="Arial" w:hAnsi="Arial" w:cs="Arial"/>
        </w:rPr>
        <w:t>Total quality management, corporate social responsibility and performance in the hotel industry. </w:t>
      </w:r>
      <w:r w:rsidRPr="00552376">
        <w:rPr>
          <w:rFonts w:ascii="Arial" w:hAnsi="Arial" w:cs="Arial"/>
          <w:i/>
          <w:iCs/>
        </w:rPr>
        <w:t>International Journal of Hospitality Management</w:t>
      </w:r>
      <w:r w:rsidRPr="00552376">
        <w:rPr>
          <w:rFonts w:ascii="Arial" w:hAnsi="Arial" w:cs="Arial"/>
        </w:rPr>
        <w:t>, </w:t>
      </w:r>
      <w:r w:rsidRPr="00552376">
        <w:rPr>
          <w:rFonts w:ascii="Arial" w:hAnsi="Arial" w:cs="Arial"/>
          <w:i/>
          <w:iCs/>
        </w:rPr>
        <w:t>41</w:t>
      </w:r>
      <w:r w:rsidRPr="00552376">
        <w:rPr>
          <w:rFonts w:ascii="Arial" w:hAnsi="Arial" w:cs="Arial"/>
        </w:rPr>
        <w:t xml:space="preserve">, pp.77-87. </w:t>
      </w:r>
      <w:hyperlink r:id="rId9" w:history="1">
        <w:r w:rsidRPr="00552376">
          <w:rPr>
            <w:rStyle w:val="Hyperlink"/>
            <w:rFonts w:ascii="Arial" w:hAnsi="Arial" w:cs="Arial"/>
          </w:rPr>
          <w:t>https://doi.org/10.1016/j.ijhm.2014.05.003</w:t>
        </w:r>
      </w:hyperlink>
      <w:r w:rsidRPr="00552376">
        <w:rPr>
          <w:rFonts w:ascii="Arial" w:hAnsi="Arial" w:cs="Arial"/>
        </w:rPr>
        <w:t xml:space="preserve">   </w:t>
      </w:r>
    </w:p>
    <w:p w14:paraId="1BE2565A" w14:textId="5B6A977B" w:rsidR="00B83FA0" w:rsidRPr="00552376" w:rsidRDefault="00B83FA0" w:rsidP="00762F6D">
      <w:pPr>
        <w:spacing w:line="360" w:lineRule="auto"/>
        <w:ind w:left="360"/>
        <w:rPr>
          <w:rFonts w:ascii="Arial" w:hAnsi="Arial" w:cs="Arial"/>
        </w:rPr>
      </w:pPr>
      <w:r w:rsidRPr="00552376">
        <w:rPr>
          <w:rFonts w:ascii="Arial" w:hAnsi="Arial" w:cs="Arial"/>
        </w:rPr>
        <w:t xml:space="preserve">BERA, </w:t>
      </w:r>
      <w:r w:rsidR="00762F6D" w:rsidRPr="00552376">
        <w:rPr>
          <w:rFonts w:ascii="Arial" w:hAnsi="Arial" w:cs="Arial"/>
        </w:rPr>
        <w:t>(</w:t>
      </w:r>
      <w:r w:rsidRPr="00552376">
        <w:rPr>
          <w:rFonts w:ascii="Arial" w:hAnsi="Arial" w:cs="Arial"/>
        </w:rPr>
        <w:t>2018</w:t>
      </w:r>
      <w:r w:rsidR="00762F6D" w:rsidRPr="00552376">
        <w:rPr>
          <w:rFonts w:ascii="Arial" w:hAnsi="Arial" w:cs="Arial"/>
        </w:rPr>
        <w:t>)</w:t>
      </w:r>
      <w:r w:rsidRPr="00552376">
        <w:rPr>
          <w:rFonts w:ascii="Arial" w:hAnsi="Arial" w:cs="Arial"/>
        </w:rPr>
        <w:t xml:space="preserve">. Ethical Guidelines for Educational Research. 4th edn. London: British Educational Research Association. </w:t>
      </w:r>
      <w:hyperlink r:id="rId10" w:history="1">
        <w:r w:rsidRPr="00552376">
          <w:rPr>
            <w:rStyle w:val="Hyperlink"/>
            <w:rFonts w:ascii="Arial" w:hAnsi="Arial" w:cs="Arial"/>
          </w:rPr>
          <w:t>https://www.bera.ac.uk/publication/ethical-guidelines-for-educational-research-2018</w:t>
        </w:r>
      </w:hyperlink>
      <w:r w:rsidRPr="00552376">
        <w:rPr>
          <w:rFonts w:ascii="Arial" w:hAnsi="Arial" w:cs="Arial"/>
        </w:rPr>
        <w:t xml:space="preserve"> </w:t>
      </w:r>
    </w:p>
    <w:p w14:paraId="55178626" w14:textId="3D8FE3E0" w:rsidR="00B83FA0" w:rsidRPr="00552376" w:rsidRDefault="00B83FA0" w:rsidP="00762F6D">
      <w:pPr>
        <w:spacing w:line="360" w:lineRule="auto"/>
        <w:ind w:left="360"/>
        <w:rPr>
          <w:rFonts w:ascii="Arial" w:hAnsi="Arial" w:cs="Arial"/>
        </w:rPr>
      </w:pPr>
      <w:r w:rsidRPr="00552376">
        <w:rPr>
          <w:rFonts w:ascii="Arial" w:hAnsi="Arial" w:cs="Arial"/>
        </w:rPr>
        <w:t xml:space="preserve">Bithushan, I. and Jegathasan, M., </w:t>
      </w:r>
      <w:r w:rsidR="00762F6D" w:rsidRPr="00552376">
        <w:rPr>
          <w:rFonts w:ascii="Arial" w:hAnsi="Arial" w:cs="Arial"/>
        </w:rPr>
        <w:t>(</w:t>
      </w:r>
      <w:r w:rsidRPr="00552376">
        <w:rPr>
          <w:rFonts w:ascii="Arial" w:hAnsi="Arial" w:cs="Arial"/>
        </w:rPr>
        <w:t>2017</w:t>
      </w:r>
      <w:r w:rsidR="00762F6D" w:rsidRPr="00552376">
        <w:rPr>
          <w:rFonts w:ascii="Arial" w:hAnsi="Arial" w:cs="Arial"/>
        </w:rPr>
        <w:t>)</w:t>
      </w:r>
      <w:r w:rsidRPr="00552376">
        <w:rPr>
          <w:rFonts w:ascii="Arial" w:hAnsi="Arial" w:cs="Arial"/>
        </w:rPr>
        <w:t>. Gender Equality in Northern Province Hospitality Sector in Sri Lanka. </w:t>
      </w:r>
      <w:r w:rsidRPr="00552376">
        <w:rPr>
          <w:rFonts w:ascii="Arial" w:hAnsi="Arial" w:cs="Arial"/>
          <w:i/>
          <w:iCs/>
        </w:rPr>
        <w:t>Journal of Tourism and Hospitality Management</w:t>
      </w:r>
      <w:r w:rsidRPr="00552376">
        <w:rPr>
          <w:rFonts w:ascii="Arial" w:hAnsi="Arial" w:cs="Arial"/>
        </w:rPr>
        <w:t>, </w:t>
      </w:r>
      <w:r w:rsidRPr="00552376">
        <w:rPr>
          <w:rFonts w:ascii="Arial" w:hAnsi="Arial" w:cs="Arial"/>
          <w:i/>
          <w:iCs/>
        </w:rPr>
        <w:t>5</w:t>
      </w:r>
      <w:r w:rsidRPr="00552376">
        <w:rPr>
          <w:rFonts w:ascii="Arial" w:hAnsi="Arial" w:cs="Arial"/>
        </w:rPr>
        <w:t xml:space="preserve">(4), pp.163-171. </w:t>
      </w:r>
      <w:hyperlink r:id="rId11" w:anchor="page=34" w:history="1">
        <w:r w:rsidRPr="00552376">
          <w:rPr>
            <w:rStyle w:val="Hyperlink"/>
            <w:rFonts w:ascii="Arial" w:hAnsi="Arial" w:cs="Arial"/>
          </w:rPr>
          <w:t>https://www.academia.edu/download/68367272/JTHM_2017_4_.pdf#page=34</w:t>
        </w:r>
      </w:hyperlink>
      <w:r w:rsidRPr="00552376">
        <w:rPr>
          <w:rFonts w:ascii="Arial" w:hAnsi="Arial" w:cs="Arial"/>
        </w:rPr>
        <w:t xml:space="preserve"> </w:t>
      </w:r>
    </w:p>
    <w:p w14:paraId="02823647" w14:textId="4B645529" w:rsidR="00B83FA0" w:rsidRPr="00552376" w:rsidRDefault="00B83FA0" w:rsidP="00762F6D">
      <w:pPr>
        <w:spacing w:line="360" w:lineRule="auto"/>
        <w:ind w:left="360"/>
        <w:rPr>
          <w:rFonts w:ascii="Arial" w:hAnsi="Arial" w:cs="Arial"/>
        </w:rPr>
      </w:pPr>
      <w:r w:rsidRPr="00552376">
        <w:rPr>
          <w:rFonts w:ascii="Arial" w:hAnsi="Arial" w:cs="Arial"/>
        </w:rPr>
        <w:t xml:space="preserve">Braun, V. and Clarke, V., </w:t>
      </w:r>
      <w:r w:rsidR="00762F6D" w:rsidRPr="00552376">
        <w:rPr>
          <w:rFonts w:ascii="Arial" w:hAnsi="Arial" w:cs="Arial"/>
        </w:rPr>
        <w:t>(</w:t>
      </w:r>
      <w:r w:rsidRPr="00552376">
        <w:rPr>
          <w:rFonts w:ascii="Arial" w:hAnsi="Arial" w:cs="Arial"/>
        </w:rPr>
        <w:t>2006</w:t>
      </w:r>
      <w:r w:rsidR="00762F6D" w:rsidRPr="00552376">
        <w:rPr>
          <w:rFonts w:ascii="Arial" w:hAnsi="Arial" w:cs="Arial"/>
        </w:rPr>
        <w:t>)</w:t>
      </w:r>
      <w:r w:rsidRPr="00552376">
        <w:rPr>
          <w:rFonts w:ascii="Arial" w:hAnsi="Arial" w:cs="Arial"/>
        </w:rPr>
        <w:t>. Using thematic analysis in psychology. </w:t>
      </w:r>
      <w:r w:rsidRPr="00552376">
        <w:rPr>
          <w:rFonts w:ascii="Arial" w:hAnsi="Arial" w:cs="Arial"/>
          <w:i/>
          <w:iCs/>
        </w:rPr>
        <w:t>Qualitative research in psychology</w:t>
      </w:r>
      <w:r w:rsidRPr="00552376">
        <w:rPr>
          <w:rFonts w:ascii="Arial" w:hAnsi="Arial" w:cs="Arial"/>
        </w:rPr>
        <w:t>, </w:t>
      </w:r>
      <w:r w:rsidRPr="00552376">
        <w:rPr>
          <w:rFonts w:ascii="Arial" w:hAnsi="Arial" w:cs="Arial"/>
          <w:i/>
          <w:iCs/>
        </w:rPr>
        <w:t>3</w:t>
      </w:r>
      <w:r w:rsidRPr="00552376">
        <w:rPr>
          <w:rFonts w:ascii="Arial" w:hAnsi="Arial" w:cs="Arial"/>
        </w:rPr>
        <w:t>(2), pp.77-101.</w:t>
      </w:r>
    </w:p>
    <w:p w14:paraId="5868E66F" w14:textId="7572BCA0" w:rsidR="00B83FA0" w:rsidRPr="00552376" w:rsidRDefault="00B83FA0" w:rsidP="00762F6D">
      <w:pPr>
        <w:spacing w:line="360" w:lineRule="auto"/>
        <w:ind w:left="360"/>
        <w:rPr>
          <w:rFonts w:ascii="Arial" w:hAnsi="Arial" w:cs="Arial"/>
        </w:rPr>
      </w:pPr>
      <w:r w:rsidRPr="00552376">
        <w:rPr>
          <w:rFonts w:ascii="Arial" w:hAnsi="Arial" w:cs="Arial"/>
        </w:rPr>
        <w:t xml:space="preserve">Brown, R., Mansour, H. and O'Connell, S.D., </w:t>
      </w:r>
      <w:r w:rsidR="00762F6D" w:rsidRPr="00552376">
        <w:rPr>
          <w:rFonts w:ascii="Arial" w:hAnsi="Arial" w:cs="Arial"/>
        </w:rPr>
        <w:t>(</w:t>
      </w:r>
      <w:r w:rsidRPr="00552376">
        <w:rPr>
          <w:rFonts w:ascii="Arial" w:hAnsi="Arial" w:cs="Arial"/>
        </w:rPr>
        <w:t>2018</w:t>
      </w:r>
      <w:r w:rsidR="00762F6D" w:rsidRPr="00552376">
        <w:rPr>
          <w:rFonts w:ascii="Arial" w:hAnsi="Arial" w:cs="Arial"/>
        </w:rPr>
        <w:t>)</w:t>
      </w:r>
      <w:r w:rsidRPr="00552376">
        <w:rPr>
          <w:rFonts w:ascii="Arial" w:hAnsi="Arial" w:cs="Arial"/>
        </w:rPr>
        <w:t>. </w:t>
      </w:r>
      <w:r w:rsidRPr="00552376">
        <w:rPr>
          <w:rFonts w:ascii="Arial" w:hAnsi="Arial" w:cs="Arial"/>
          <w:i/>
          <w:iCs/>
        </w:rPr>
        <w:t>Closing the Gender Gap in Leadership Positions: Can Expanding the Pipeline Increase Parity?</w:t>
      </w:r>
      <w:r w:rsidRPr="00552376">
        <w:rPr>
          <w:rFonts w:ascii="Arial" w:hAnsi="Arial" w:cs="Arial"/>
        </w:rPr>
        <w:t xml:space="preserve"> (No. 11263). IZA Discussion Papers. </w:t>
      </w:r>
      <w:hyperlink r:id="rId12" w:history="1">
        <w:r w:rsidRPr="00552376">
          <w:rPr>
            <w:rStyle w:val="Hyperlink"/>
            <w:rFonts w:ascii="Arial" w:hAnsi="Arial" w:cs="Arial"/>
          </w:rPr>
          <w:t>https://hdl.handle.net/10419/177067</w:t>
        </w:r>
      </w:hyperlink>
      <w:r w:rsidRPr="00552376">
        <w:rPr>
          <w:rFonts w:ascii="Arial" w:hAnsi="Arial" w:cs="Arial"/>
          <w:b/>
          <w:bCs/>
        </w:rPr>
        <w:t xml:space="preserve"> </w:t>
      </w:r>
    </w:p>
    <w:p w14:paraId="4B5D0359" w14:textId="0299C011" w:rsidR="00B83FA0" w:rsidRPr="00552376" w:rsidRDefault="00B83FA0" w:rsidP="00762F6D">
      <w:pPr>
        <w:spacing w:line="360" w:lineRule="auto"/>
        <w:ind w:left="360"/>
        <w:rPr>
          <w:rFonts w:ascii="Arial" w:hAnsi="Arial" w:cs="Arial"/>
        </w:rPr>
      </w:pPr>
      <w:r w:rsidRPr="00552376">
        <w:rPr>
          <w:rFonts w:ascii="Arial" w:hAnsi="Arial" w:cs="Arial"/>
        </w:rPr>
        <w:lastRenderedPageBreak/>
        <w:t xml:space="preserve">Bryman, A., </w:t>
      </w:r>
      <w:r w:rsidR="00C00A9A" w:rsidRPr="00552376">
        <w:rPr>
          <w:rFonts w:ascii="Arial" w:hAnsi="Arial" w:cs="Arial"/>
        </w:rPr>
        <w:t>(</w:t>
      </w:r>
      <w:r w:rsidRPr="00552376">
        <w:rPr>
          <w:rFonts w:ascii="Arial" w:hAnsi="Arial" w:cs="Arial"/>
        </w:rPr>
        <w:t>2016</w:t>
      </w:r>
      <w:r w:rsidR="00C00A9A" w:rsidRPr="00552376">
        <w:rPr>
          <w:rFonts w:ascii="Arial" w:hAnsi="Arial" w:cs="Arial"/>
        </w:rPr>
        <w:t>)</w:t>
      </w:r>
      <w:r w:rsidRPr="00552376">
        <w:rPr>
          <w:rFonts w:ascii="Arial" w:hAnsi="Arial" w:cs="Arial"/>
        </w:rPr>
        <w:t>. </w:t>
      </w:r>
      <w:r w:rsidRPr="00552376">
        <w:rPr>
          <w:rFonts w:ascii="Arial" w:hAnsi="Arial" w:cs="Arial"/>
          <w:i/>
          <w:iCs/>
        </w:rPr>
        <w:t>Social research methods</w:t>
      </w:r>
      <w:r w:rsidRPr="00552376">
        <w:rPr>
          <w:rFonts w:ascii="Arial" w:hAnsi="Arial" w:cs="Arial"/>
        </w:rPr>
        <w:t xml:space="preserve">. Oxford university press. </w:t>
      </w:r>
      <w:hyperlink r:id="rId13" w:history="1">
        <w:r w:rsidRPr="00552376">
          <w:rPr>
            <w:rStyle w:val="Hyperlink"/>
            <w:rFonts w:ascii="Arial" w:hAnsi="Arial" w:cs="Arial"/>
          </w:rPr>
          <w:t>https://lib.mdpu.org.ua/wp-content/uploads/2024/03/Alan-Bryman-Social-Research-Methods2016.pdf</w:t>
        </w:r>
      </w:hyperlink>
      <w:r w:rsidRPr="00552376">
        <w:rPr>
          <w:rFonts w:ascii="Arial" w:hAnsi="Arial" w:cs="Arial"/>
        </w:rPr>
        <w:t xml:space="preserve"> </w:t>
      </w:r>
    </w:p>
    <w:p w14:paraId="4A5641B3" w14:textId="003F5E52" w:rsidR="00B83FA0" w:rsidRPr="00552376" w:rsidRDefault="00B83FA0" w:rsidP="00762F6D">
      <w:pPr>
        <w:spacing w:line="360" w:lineRule="auto"/>
        <w:ind w:left="360"/>
        <w:rPr>
          <w:rFonts w:ascii="Arial" w:hAnsi="Arial" w:cs="Arial"/>
        </w:rPr>
      </w:pPr>
      <w:r w:rsidRPr="00552376">
        <w:rPr>
          <w:rFonts w:ascii="Arial" w:hAnsi="Arial" w:cs="Arial"/>
        </w:rPr>
        <w:t xml:space="preserve">Burns, J. M., </w:t>
      </w:r>
      <w:r w:rsidR="00C00A9A" w:rsidRPr="00552376">
        <w:rPr>
          <w:rFonts w:ascii="Arial" w:hAnsi="Arial" w:cs="Arial"/>
        </w:rPr>
        <w:t>(</w:t>
      </w:r>
      <w:r w:rsidRPr="00552376">
        <w:rPr>
          <w:rFonts w:ascii="Arial" w:hAnsi="Arial" w:cs="Arial"/>
        </w:rPr>
        <w:t>1978</w:t>
      </w:r>
      <w:r w:rsidR="00C00A9A" w:rsidRPr="00552376">
        <w:rPr>
          <w:rFonts w:ascii="Arial" w:hAnsi="Arial" w:cs="Arial"/>
        </w:rPr>
        <w:t>)</w:t>
      </w:r>
      <w:r w:rsidRPr="00552376">
        <w:rPr>
          <w:rFonts w:ascii="Arial" w:hAnsi="Arial" w:cs="Arial"/>
        </w:rPr>
        <w:t xml:space="preserve">. </w:t>
      </w:r>
      <w:r w:rsidRPr="00552376">
        <w:rPr>
          <w:rFonts w:ascii="Arial" w:hAnsi="Arial" w:cs="Arial"/>
          <w:i/>
          <w:iCs/>
        </w:rPr>
        <w:t>Leadership.</w:t>
      </w:r>
      <w:r w:rsidRPr="00552376">
        <w:rPr>
          <w:rFonts w:ascii="Arial" w:hAnsi="Arial" w:cs="Arial"/>
        </w:rPr>
        <w:t xml:space="preserve"> New York: Harper and Row.</w:t>
      </w:r>
    </w:p>
    <w:p w14:paraId="6A235E18" w14:textId="2A39A13C" w:rsidR="00B83FA0" w:rsidRPr="00552376" w:rsidRDefault="00B83FA0" w:rsidP="00762F6D">
      <w:pPr>
        <w:spacing w:line="360" w:lineRule="auto"/>
        <w:ind w:left="360"/>
        <w:rPr>
          <w:rFonts w:ascii="Arial" w:hAnsi="Arial" w:cs="Arial"/>
        </w:rPr>
      </w:pPr>
      <w:r w:rsidRPr="00552376">
        <w:rPr>
          <w:rFonts w:ascii="Arial" w:hAnsi="Arial" w:cs="Arial"/>
        </w:rPr>
        <w:t xml:space="preserve">Camilleri, M.A., </w:t>
      </w:r>
      <w:r w:rsidR="00C00A9A" w:rsidRPr="00552376">
        <w:rPr>
          <w:rFonts w:ascii="Arial" w:hAnsi="Arial" w:cs="Arial"/>
        </w:rPr>
        <w:t>(</w:t>
      </w:r>
      <w:r w:rsidRPr="00552376">
        <w:rPr>
          <w:rFonts w:ascii="Arial" w:hAnsi="Arial" w:cs="Arial"/>
        </w:rPr>
        <w:t>2020</w:t>
      </w:r>
      <w:r w:rsidR="00C00A9A" w:rsidRPr="00552376">
        <w:rPr>
          <w:rFonts w:ascii="Arial" w:hAnsi="Arial" w:cs="Arial"/>
        </w:rPr>
        <w:t>)</w:t>
      </w:r>
      <w:r w:rsidRPr="00552376">
        <w:rPr>
          <w:rFonts w:ascii="Arial" w:hAnsi="Arial" w:cs="Arial"/>
        </w:rPr>
        <w:t xml:space="preserve">. </w:t>
      </w:r>
      <w:r w:rsidRPr="00552376">
        <w:rPr>
          <w:rFonts w:ascii="Arial" w:hAnsi="Arial" w:cs="Arial"/>
          <w:i/>
          <w:iCs/>
        </w:rPr>
        <w:t>Strategic corporate social responsibility in tourism and hospitality</w:t>
      </w:r>
      <w:r w:rsidRPr="00552376">
        <w:rPr>
          <w:rFonts w:ascii="Arial" w:hAnsi="Arial" w:cs="Arial"/>
        </w:rPr>
        <w:t xml:space="preserve">. Sustainable Development, 28(2), pp.376–386. </w:t>
      </w:r>
      <w:hyperlink r:id="rId14" w:tgtFrame="_new" w:history="1">
        <w:r w:rsidRPr="00552376">
          <w:rPr>
            <w:rStyle w:val="Hyperlink"/>
            <w:rFonts w:ascii="Arial" w:hAnsi="Arial" w:cs="Arial"/>
          </w:rPr>
          <w:t>https://doi.org/10.1002/sd.2059</w:t>
        </w:r>
      </w:hyperlink>
    </w:p>
    <w:p w14:paraId="69DDB866" w14:textId="7E3B0F80" w:rsidR="00B83FA0" w:rsidRPr="00552376" w:rsidRDefault="00B83FA0" w:rsidP="00762F6D">
      <w:pPr>
        <w:spacing w:line="360" w:lineRule="auto"/>
        <w:ind w:left="360"/>
        <w:rPr>
          <w:rFonts w:ascii="Arial" w:hAnsi="Arial" w:cs="Arial"/>
        </w:rPr>
      </w:pPr>
      <w:r w:rsidRPr="00552376">
        <w:rPr>
          <w:rFonts w:ascii="Arial" w:hAnsi="Arial" w:cs="Arial"/>
        </w:rPr>
        <w:t xml:space="preserve">Chaudhary, M. and Gupta, M., </w:t>
      </w:r>
      <w:r w:rsidR="00C00A9A" w:rsidRPr="00552376">
        <w:rPr>
          <w:rFonts w:ascii="Arial" w:hAnsi="Arial" w:cs="Arial"/>
        </w:rPr>
        <w:t>(</w:t>
      </w:r>
      <w:r w:rsidRPr="00552376">
        <w:rPr>
          <w:rFonts w:ascii="Arial" w:hAnsi="Arial" w:cs="Arial"/>
        </w:rPr>
        <w:t>2010</w:t>
      </w:r>
      <w:r w:rsidR="00C00A9A" w:rsidRPr="00552376">
        <w:rPr>
          <w:rFonts w:ascii="Arial" w:hAnsi="Arial" w:cs="Arial"/>
        </w:rPr>
        <w:t>)</w:t>
      </w:r>
      <w:r w:rsidRPr="00552376">
        <w:rPr>
          <w:rFonts w:ascii="Arial" w:hAnsi="Arial" w:cs="Arial"/>
        </w:rPr>
        <w:t xml:space="preserve">. Gender Equality in Indian Hotel Industry: A Study of Perception of Male and Female Employees. </w:t>
      </w:r>
      <w:r w:rsidRPr="00552376">
        <w:rPr>
          <w:rFonts w:ascii="Arial" w:hAnsi="Arial" w:cs="Arial"/>
          <w:i/>
          <w:iCs/>
        </w:rPr>
        <w:t>International Journal of Hospitality and Tourism Systems</w:t>
      </w:r>
      <w:r w:rsidRPr="00552376">
        <w:rPr>
          <w:rFonts w:ascii="Arial" w:hAnsi="Arial" w:cs="Arial"/>
        </w:rPr>
        <w:t xml:space="preserve">, 3, pp.31–41. </w:t>
      </w:r>
    </w:p>
    <w:p w14:paraId="79F820A8" w14:textId="246904C7" w:rsidR="00B83FA0" w:rsidRPr="00552376" w:rsidRDefault="00B83FA0" w:rsidP="00762F6D">
      <w:pPr>
        <w:spacing w:line="360" w:lineRule="auto"/>
        <w:ind w:left="360"/>
        <w:rPr>
          <w:rFonts w:ascii="Arial" w:hAnsi="Arial" w:cs="Arial"/>
        </w:rPr>
      </w:pPr>
      <w:r w:rsidRPr="00552376">
        <w:rPr>
          <w:rFonts w:ascii="Arial" w:hAnsi="Arial" w:cs="Arial"/>
        </w:rPr>
        <w:t xml:space="preserve">Cole, S. </w:t>
      </w:r>
      <w:r w:rsidR="00C00A9A" w:rsidRPr="00552376">
        <w:rPr>
          <w:rFonts w:ascii="Arial" w:hAnsi="Arial" w:cs="Arial"/>
        </w:rPr>
        <w:t>(</w:t>
      </w:r>
      <w:r w:rsidRPr="00552376">
        <w:rPr>
          <w:rFonts w:ascii="Arial" w:hAnsi="Arial" w:cs="Arial"/>
        </w:rPr>
        <w:t>2018</w:t>
      </w:r>
      <w:r w:rsidR="00C00A9A" w:rsidRPr="00552376">
        <w:rPr>
          <w:rFonts w:ascii="Arial" w:hAnsi="Arial" w:cs="Arial"/>
        </w:rPr>
        <w:t>)</w:t>
      </w:r>
      <w:r w:rsidRPr="00552376">
        <w:rPr>
          <w:rFonts w:ascii="Arial" w:hAnsi="Arial" w:cs="Arial"/>
        </w:rPr>
        <w:t xml:space="preserve">. </w:t>
      </w:r>
      <w:r w:rsidRPr="00552376">
        <w:rPr>
          <w:rFonts w:ascii="Arial" w:hAnsi="Arial" w:cs="Arial"/>
          <w:i/>
          <w:iCs/>
        </w:rPr>
        <w:t xml:space="preserve">Gender Equality and Tourism – Beyond Empowerment. </w:t>
      </w:r>
      <w:hyperlink r:id="rId15" w:history="1">
        <w:r w:rsidRPr="00552376">
          <w:rPr>
            <w:rStyle w:val="Hyperlink"/>
            <w:rFonts w:ascii="Arial" w:hAnsi="Arial" w:cs="Arial"/>
            <w:i/>
            <w:iCs/>
          </w:rPr>
          <w:t>https://ngocc.org.zm/wp-content/uploads/2020/10/Gender-Equality-and-Tourism-Beyond-Empowerment.pdf</w:t>
        </w:r>
      </w:hyperlink>
      <w:r w:rsidRPr="00552376">
        <w:rPr>
          <w:rFonts w:ascii="Arial" w:hAnsi="Arial" w:cs="Arial"/>
          <w:i/>
          <w:iCs/>
        </w:rPr>
        <w:t xml:space="preserve">  </w:t>
      </w:r>
    </w:p>
    <w:p w14:paraId="3F09B3AF" w14:textId="65ED9347" w:rsidR="00B83FA0" w:rsidRPr="00552376" w:rsidRDefault="00B83FA0" w:rsidP="00762F6D">
      <w:pPr>
        <w:spacing w:line="360" w:lineRule="auto"/>
        <w:ind w:left="360"/>
        <w:rPr>
          <w:rFonts w:ascii="Arial" w:hAnsi="Arial" w:cs="Arial"/>
        </w:rPr>
      </w:pPr>
      <w:r w:rsidRPr="00552376">
        <w:rPr>
          <w:rFonts w:ascii="Arial" w:hAnsi="Arial" w:cs="Arial"/>
        </w:rPr>
        <w:t xml:space="preserve">Costa, C., Seyitoğlu, F., Malta, A.M. and Martins, M., </w:t>
      </w:r>
      <w:r w:rsidR="00C00A9A" w:rsidRPr="00552376">
        <w:rPr>
          <w:rFonts w:ascii="Arial" w:hAnsi="Arial" w:cs="Arial"/>
        </w:rPr>
        <w:t>(</w:t>
      </w:r>
      <w:r w:rsidRPr="00552376">
        <w:rPr>
          <w:rFonts w:ascii="Arial" w:hAnsi="Arial" w:cs="Arial"/>
        </w:rPr>
        <w:t>2023</w:t>
      </w:r>
      <w:r w:rsidR="00C00A9A" w:rsidRPr="00552376">
        <w:rPr>
          <w:rFonts w:ascii="Arial" w:hAnsi="Arial" w:cs="Arial"/>
        </w:rPr>
        <w:t>)</w:t>
      </w:r>
      <w:r w:rsidRPr="00552376">
        <w:rPr>
          <w:rFonts w:ascii="Arial" w:hAnsi="Arial" w:cs="Arial"/>
        </w:rPr>
        <w:t xml:space="preserve">. Gender (In)Equality and Work-Life (Im)Balance in Tourism and Hospitality Labour. </w:t>
      </w:r>
      <w:r w:rsidRPr="00552376">
        <w:rPr>
          <w:rFonts w:ascii="Arial" w:hAnsi="Arial" w:cs="Arial"/>
          <w:i/>
          <w:iCs/>
        </w:rPr>
        <w:t>Tourism and Hospitality Management</w:t>
      </w:r>
      <w:r w:rsidRPr="00552376">
        <w:rPr>
          <w:rFonts w:ascii="Arial" w:hAnsi="Arial" w:cs="Arial"/>
        </w:rPr>
        <w:t xml:space="preserve">, 29(4). </w:t>
      </w:r>
      <w:hyperlink r:id="rId16" w:history="1">
        <w:r w:rsidRPr="00552376">
          <w:rPr>
            <w:rStyle w:val="Hyperlink"/>
            <w:rFonts w:ascii="Arial" w:hAnsi="Arial" w:cs="Arial"/>
          </w:rPr>
          <w:t>https://doi.org/10.20867/thm.29.4.8</w:t>
        </w:r>
      </w:hyperlink>
    </w:p>
    <w:p w14:paraId="723F14B7" w14:textId="0AC65B75" w:rsidR="00B83FA0" w:rsidRPr="00552376" w:rsidRDefault="00B83FA0" w:rsidP="00762F6D">
      <w:pPr>
        <w:spacing w:line="360" w:lineRule="auto"/>
        <w:ind w:left="360"/>
        <w:rPr>
          <w:rFonts w:ascii="Arial" w:hAnsi="Arial" w:cs="Arial"/>
        </w:rPr>
      </w:pPr>
      <w:r w:rsidRPr="00552376">
        <w:rPr>
          <w:rFonts w:ascii="Arial" w:hAnsi="Arial" w:cs="Arial"/>
        </w:rPr>
        <w:t xml:space="preserve">Creswell, J.W., </w:t>
      </w:r>
      <w:r w:rsidR="00C00A9A" w:rsidRPr="00552376">
        <w:rPr>
          <w:rFonts w:ascii="Arial" w:hAnsi="Arial" w:cs="Arial"/>
        </w:rPr>
        <w:t>(</w:t>
      </w:r>
      <w:r w:rsidRPr="00552376">
        <w:rPr>
          <w:rFonts w:ascii="Arial" w:hAnsi="Arial" w:cs="Arial"/>
        </w:rPr>
        <w:t>2013</w:t>
      </w:r>
      <w:r w:rsidR="00C00A9A" w:rsidRPr="00552376">
        <w:rPr>
          <w:rFonts w:ascii="Arial" w:hAnsi="Arial" w:cs="Arial"/>
        </w:rPr>
        <w:t>)</w:t>
      </w:r>
      <w:r w:rsidRPr="00552376">
        <w:rPr>
          <w:rFonts w:ascii="Arial" w:hAnsi="Arial" w:cs="Arial"/>
        </w:rPr>
        <w:t xml:space="preserve">. </w:t>
      </w:r>
      <w:r w:rsidRPr="00552376">
        <w:rPr>
          <w:rFonts w:ascii="Arial" w:hAnsi="Arial" w:cs="Arial"/>
          <w:i/>
          <w:iCs/>
        </w:rPr>
        <w:t>Qualitative Inquiry and Research Design: Choosing Among Five Approaches.</w:t>
      </w:r>
      <w:r w:rsidRPr="00552376">
        <w:rPr>
          <w:rFonts w:ascii="Arial" w:hAnsi="Arial" w:cs="Arial"/>
        </w:rPr>
        <w:t xml:space="preserve"> 3rd ed. Thousand Oaks: Sage. </w:t>
      </w:r>
      <w:hyperlink r:id="rId17" w:history="1">
        <w:r w:rsidRPr="00552376">
          <w:rPr>
            <w:rStyle w:val="Hyperlink"/>
            <w:rFonts w:ascii="Arial" w:hAnsi="Arial" w:cs="Arial"/>
          </w:rPr>
          <w:t>https://elib.vku.udn.vn/bitstream/123456789/5123/1/2013.%20Qualitative%20Inquiry%20And%20Research%20Design%20Choosing%20Among%20Five%20Approaches%20%28%203th%20Edition%20%29.pdf</w:t>
        </w:r>
      </w:hyperlink>
      <w:r w:rsidRPr="00552376">
        <w:rPr>
          <w:rFonts w:ascii="Arial" w:hAnsi="Arial" w:cs="Arial"/>
        </w:rPr>
        <w:t xml:space="preserve"> </w:t>
      </w:r>
    </w:p>
    <w:p w14:paraId="790AB001" w14:textId="3493B1F7" w:rsidR="00B83FA0" w:rsidRPr="00552376" w:rsidRDefault="00B83FA0" w:rsidP="00762F6D">
      <w:pPr>
        <w:spacing w:line="360" w:lineRule="auto"/>
        <w:ind w:left="360"/>
        <w:rPr>
          <w:rFonts w:ascii="Arial" w:hAnsi="Arial" w:cs="Arial"/>
        </w:rPr>
      </w:pPr>
      <w:r w:rsidRPr="00552376">
        <w:rPr>
          <w:rFonts w:ascii="Arial" w:hAnsi="Arial" w:cs="Arial"/>
          <w:lang w:val="it-IT"/>
        </w:rPr>
        <w:t xml:space="preserve">Darroca, J., Formarejo, T., Alfonso, L. and Corbo, M., </w:t>
      </w:r>
      <w:r w:rsidR="003A687A" w:rsidRPr="00552376">
        <w:rPr>
          <w:rFonts w:ascii="Arial" w:hAnsi="Arial" w:cs="Arial"/>
          <w:lang w:val="it-IT"/>
        </w:rPr>
        <w:t>(</w:t>
      </w:r>
      <w:r w:rsidRPr="00552376">
        <w:rPr>
          <w:rFonts w:ascii="Arial" w:hAnsi="Arial" w:cs="Arial"/>
          <w:lang w:val="it-IT"/>
        </w:rPr>
        <w:t>2024</w:t>
      </w:r>
      <w:r w:rsidR="003A687A" w:rsidRPr="00552376">
        <w:rPr>
          <w:rFonts w:ascii="Arial" w:hAnsi="Arial" w:cs="Arial"/>
          <w:lang w:val="it-IT"/>
        </w:rPr>
        <w:t>)</w:t>
      </w:r>
      <w:r w:rsidRPr="00552376">
        <w:rPr>
          <w:rFonts w:ascii="Arial" w:hAnsi="Arial" w:cs="Arial"/>
          <w:lang w:val="it-IT"/>
        </w:rPr>
        <w:t xml:space="preserve">. </w:t>
      </w:r>
      <w:r w:rsidRPr="00552376">
        <w:rPr>
          <w:rFonts w:ascii="Arial" w:hAnsi="Arial" w:cs="Arial"/>
        </w:rPr>
        <w:t>Filipino Hospitality Industry Gender Disparities: Hiring Practices, Salary Levels, and Promotional Opportunities. </w:t>
      </w:r>
      <w:r w:rsidRPr="00552376">
        <w:rPr>
          <w:rFonts w:ascii="Arial" w:hAnsi="Arial" w:cs="Arial"/>
          <w:i/>
          <w:iCs/>
        </w:rPr>
        <w:t>International Conference on Gender Research</w:t>
      </w:r>
      <w:r w:rsidRPr="00552376">
        <w:rPr>
          <w:rFonts w:ascii="Arial" w:hAnsi="Arial" w:cs="Arial"/>
        </w:rPr>
        <w:t>. </w:t>
      </w:r>
      <w:hyperlink r:id="rId18" w:tgtFrame="_blank" w:history="1">
        <w:r w:rsidRPr="00552376">
          <w:rPr>
            <w:rStyle w:val="Hyperlink"/>
            <w:rFonts w:ascii="Arial" w:hAnsi="Arial" w:cs="Arial"/>
          </w:rPr>
          <w:t>https://doi.org/10.34190/icgr.7.1.2255</w:t>
        </w:r>
      </w:hyperlink>
      <w:r w:rsidRPr="00552376">
        <w:rPr>
          <w:rFonts w:ascii="Arial" w:hAnsi="Arial" w:cs="Arial"/>
        </w:rPr>
        <w:t>.</w:t>
      </w:r>
    </w:p>
    <w:p w14:paraId="2A0F1C90" w14:textId="4429AF47" w:rsidR="00B83FA0" w:rsidRPr="00552376" w:rsidRDefault="00B83FA0" w:rsidP="00762F6D">
      <w:pPr>
        <w:spacing w:line="360" w:lineRule="auto"/>
        <w:ind w:left="360"/>
        <w:rPr>
          <w:rFonts w:ascii="Arial" w:hAnsi="Arial" w:cs="Arial"/>
        </w:rPr>
      </w:pPr>
      <w:r w:rsidRPr="00552376">
        <w:rPr>
          <w:rFonts w:ascii="Arial" w:hAnsi="Arial" w:cs="Arial"/>
        </w:rPr>
        <w:t xml:space="preserve">Dashper, K., </w:t>
      </w:r>
      <w:r w:rsidR="003A687A" w:rsidRPr="00552376">
        <w:rPr>
          <w:rFonts w:ascii="Arial" w:hAnsi="Arial" w:cs="Arial"/>
        </w:rPr>
        <w:t>(</w:t>
      </w:r>
      <w:r w:rsidRPr="00552376">
        <w:rPr>
          <w:rFonts w:ascii="Arial" w:hAnsi="Arial" w:cs="Arial"/>
        </w:rPr>
        <w:t>2020</w:t>
      </w:r>
      <w:r w:rsidR="003A687A" w:rsidRPr="00552376">
        <w:rPr>
          <w:rFonts w:ascii="Arial" w:hAnsi="Arial" w:cs="Arial"/>
        </w:rPr>
        <w:t>)</w:t>
      </w:r>
      <w:r w:rsidRPr="00552376">
        <w:rPr>
          <w:rFonts w:ascii="Arial" w:hAnsi="Arial" w:cs="Arial"/>
        </w:rPr>
        <w:t xml:space="preserve">. Mentoring for gender equality: Supporting female leaders in the hospitality industry. </w:t>
      </w:r>
      <w:r w:rsidRPr="00552376">
        <w:rPr>
          <w:rFonts w:ascii="Arial" w:hAnsi="Arial" w:cs="Arial"/>
          <w:i/>
          <w:iCs/>
        </w:rPr>
        <w:t>International Journal of Hospitality Management</w:t>
      </w:r>
      <w:r w:rsidRPr="00552376">
        <w:rPr>
          <w:rFonts w:ascii="Arial" w:hAnsi="Arial" w:cs="Arial"/>
        </w:rPr>
        <w:t xml:space="preserve">. </w:t>
      </w:r>
      <w:hyperlink r:id="rId19" w:history="1">
        <w:r w:rsidRPr="00552376">
          <w:rPr>
            <w:rStyle w:val="Hyperlink"/>
            <w:rFonts w:ascii="Arial" w:hAnsi="Arial" w:cs="Arial"/>
          </w:rPr>
          <w:t>https://doi.org/10.1016/j.ijhm.2019.102397</w:t>
        </w:r>
      </w:hyperlink>
      <w:r w:rsidRPr="00552376">
        <w:rPr>
          <w:rFonts w:ascii="Arial" w:hAnsi="Arial" w:cs="Arial"/>
        </w:rPr>
        <w:t xml:space="preserve"> </w:t>
      </w:r>
    </w:p>
    <w:p w14:paraId="20C78014" w14:textId="4DE648F8" w:rsidR="00B83FA0" w:rsidRPr="00552376" w:rsidRDefault="00B83FA0" w:rsidP="00762F6D">
      <w:pPr>
        <w:spacing w:line="360" w:lineRule="auto"/>
        <w:ind w:left="360"/>
        <w:rPr>
          <w:rFonts w:ascii="Arial" w:hAnsi="Arial" w:cs="Arial"/>
        </w:rPr>
      </w:pPr>
      <w:r w:rsidRPr="00552376">
        <w:rPr>
          <w:rFonts w:ascii="Arial" w:hAnsi="Arial" w:cs="Arial"/>
          <w:lang w:val="it-IT"/>
        </w:rPr>
        <w:lastRenderedPageBreak/>
        <w:t xml:space="preserve">Deiana, M. and Fabbri, C., </w:t>
      </w:r>
      <w:r w:rsidR="003A687A" w:rsidRPr="00552376">
        <w:rPr>
          <w:rFonts w:ascii="Arial" w:hAnsi="Arial" w:cs="Arial"/>
          <w:lang w:val="it-IT"/>
        </w:rPr>
        <w:t>(</w:t>
      </w:r>
      <w:r w:rsidRPr="00552376">
        <w:rPr>
          <w:rFonts w:ascii="Arial" w:hAnsi="Arial" w:cs="Arial"/>
          <w:lang w:val="it-IT"/>
        </w:rPr>
        <w:t>2020</w:t>
      </w:r>
      <w:r w:rsidR="003A687A" w:rsidRPr="00552376">
        <w:rPr>
          <w:rFonts w:ascii="Arial" w:hAnsi="Arial" w:cs="Arial"/>
          <w:lang w:val="it-IT"/>
        </w:rPr>
        <w:t>)</w:t>
      </w:r>
      <w:r w:rsidRPr="00552376">
        <w:rPr>
          <w:rFonts w:ascii="Arial" w:hAnsi="Arial" w:cs="Arial"/>
          <w:lang w:val="it-IT"/>
        </w:rPr>
        <w:t xml:space="preserve">. </w:t>
      </w:r>
      <w:r w:rsidRPr="00552376">
        <w:rPr>
          <w:rFonts w:ascii="Arial" w:hAnsi="Arial" w:cs="Arial"/>
        </w:rPr>
        <w:t xml:space="preserve">Barriers to the success of female leaders in the hospitality industry. </w:t>
      </w:r>
      <w:r w:rsidRPr="00552376">
        <w:rPr>
          <w:rFonts w:ascii="Arial" w:hAnsi="Arial" w:cs="Arial"/>
          <w:i/>
          <w:iCs/>
        </w:rPr>
        <w:t>Research in Hospitality Management</w:t>
      </w:r>
      <w:r w:rsidRPr="00552376">
        <w:rPr>
          <w:rFonts w:ascii="Arial" w:hAnsi="Arial" w:cs="Arial"/>
        </w:rPr>
        <w:t xml:space="preserve">, 10(1), pp.85–89. </w:t>
      </w:r>
      <w:hyperlink r:id="rId20" w:history="1">
        <w:r w:rsidRPr="00552376">
          <w:rPr>
            <w:rStyle w:val="Hyperlink"/>
            <w:rFonts w:ascii="Arial" w:hAnsi="Arial" w:cs="Arial"/>
          </w:rPr>
          <w:t>https://doi.org/10.1080/22243534.2020.1869461</w:t>
        </w:r>
      </w:hyperlink>
      <w:r w:rsidRPr="00552376">
        <w:rPr>
          <w:rFonts w:ascii="Arial" w:hAnsi="Arial" w:cs="Arial"/>
        </w:rPr>
        <w:t xml:space="preserve"> </w:t>
      </w:r>
    </w:p>
    <w:p w14:paraId="208948D9" w14:textId="16FEF733" w:rsidR="00B83FA0" w:rsidRPr="00552376" w:rsidRDefault="00B83FA0" w:rsidP="00762F6D">
      <w:pPr>
        <w:spacing w:line="360" w:lineRule="auto"/>
        <w:ind w:left="360"/>
        <w:rPr>
          <w:rFonts w:ascii="Arial" w:hAnsi="Arial" w:cs="Arial"/>
        </w:rPr>
      </w:pPr>
      <w:r w:rsidRPr="00552376">
        <w:rPr>
          <w:rFonts w:ascii="Arial" w:hAnsi="Arial" w:cs="Arial"/>
        </w:rPr>
        <w:t xml:space="preserve">Denzin, N.K., </w:t>
      </w:r>
      <w:r w:rsidR="006929E2" w:rsidRPr="00552376">
        <w:rPr>
          <w:rFonts w:ascii="Arial" w:hAnsi="Arial" w:cs="Arial"/>
        </w:rPr>
        <w:t>(</w:t>
      </w:r>
      <w:r w:rsidRPr="00552376">
        <w:rPr>
          <w:rFonts w:ascii="Arial" w:hAnsi="Arial" w:cs="Arial"/>
        </w:rPr>
        <w:t>2017</w:t>
      </w:r>
      <w:r w:rsidR="006929E2" w:rsidRPr="00552376">
        <w:rPr>
          <w:rFonts w:ascii="Arial" w:hAnsi="Arial" w:cs="Arial"/>
        </w:rPr>
        <w:t>)</w:t>
      </w:r>
      <w:r w:rsidRPr="00552376">
        <w:rPr>
          <w:rFonts w:ascii="Arial" w:hAnsi="Arial" w:cs="Arial"/>
        </w:rPr>
        <w:t>. </w:t>
      </w:r>
      <w:r w:rsidRPr="00552376">
        <w:rPr>
          <w:rFonts w:ascii="Arial" w:hAnsi="Arial" w:cs="Arial"/>
          <w:i/>
          <w:iCs/>
        </w:rPr>
        <w:t>The research act: A theoretical introduction to sociological methods</w:t>
      </w:r>
      <w:r w:rsidRPr="00552376">
        <w:rPr>
          <w:rFonts w:ascii="Arial" w:hAnsi="Arial" w:cs="Arial"/>
        </w:rPr>
        <w:t>. Routledge.</w:t>
      </w:r>
    </w:p>
    <w:p w14:paraId="4DBC6E8B" w14:textId="0AA15850" w:rsidR="00B83FA0" w:rsidRPr="00552376" w:rsidRDefault="00B83FA0" w:rsidP="00762F6D">
      <w:pPr>
        <w:spacing w:line="360" w:lineRule="auto"/>
        <w:ind w:left="360"/>
        <w:rPr>
          <w:rFonts w:ascii="Arial" w:hAnsi="Arial" w:cs="Arial"/>
        </w:rPr>
      </w:pPr>
      <w:r w:rsidRPr="00552376">
        <w:rPr>
          <w:rFonts w:ascii="Arial" w:hAnsi="Arial" w:cs="Arial"/>
        </w:rPr>
        <w:t xml:space="preserve">Diaz, P.E. and Umbreit, W.T., </w:t>
      </w:r>
      <w:r w:rsidR="006929E2" w:rsidRPr="00552376">
        <w:rPr>
          <w:rFonts w:ascii="Arial" w:hAnsi="Arial" w:cs="Arial"/>
        </w:rPr>
        <w:t>(</w:t>
      </w:r>
      <w:r w:rsidRPr="00552376">
        <w:rPr>
          <w:rFonts w:ascii="Arial" w:hAnsi="Arial" w:cs="Arial"/>
        </w:rPr>
        <w:t>1994</w:t>
      </w:r>
      <w:r w:rsidR="006929E2" w:rsidRPr="00552376">
        <w:rPr>
          <w:rFonts w:ascii="Arial" w:hAnsi="Arial" w:cs="Arial"/>
        </w:rPr>
        <w:t>)</w:t>
      </w:r>
      <w:r w:rsidRPr="00552376">
        <w:rPr>
          <w:rFonts w:ascii="Arial" w:hAnsi="Arial" w:cs="Arial"/>
        </w:rPr>
        <w:t>. Women Leaders–-A New Beginning. </w:t>
      </w:r>
      <w:r w:rsidRPr="00552376">
        <w:rPr>
          <w:rFonts w:ascii="Arial" w:hAnsi="Arial" w:cs="Arial"/>
          <w:i/>
          <w:iCs/>
        </w:rPr>
        <w:t>Hospitality Research Journal</w:t>
      </w:r>
      <w:r w:rsidRPr="00552376">
        <w:rPr>
          <w:rFonts w:ascii="Arial" w:hAnsi="Arial" w:cs="Arial"/>
        </w:rPr>
        <w:t>, </w:t>
      </w:r>
      <w:r w:rsidRPr="00552376">
        <w:rPr>
          <w:rFonts w:ascii="Arial" w:hAnsi="Arial" w:cs="Arial"/>
          <w:i/>
          <w:iCs/>
        </w:rPr>
        <w:t>18</w:t>
      </w:r>
      <w:r w:rsidRPr="00552376">
        <w:rPr>
          <w:rFonts w:ascii="Arial" w:hAnsi="Arial" w:cs="Arial"/>
        </w:rPr>
        <w:t xml:space="preserve">(3-1), pp.47-60. </w:t>
      </w:r>
      <w:hyperlink r:id="rId21" w:history="1">
        <w:r w:rsidRPr="00552376">
          <w:rPr>
            <w:rStyle w:val="Hyperlink"/>
            <w:rFonts w:ascii="Arial" w:hAnsi="Arial" w:cs="Arial"/>
          </w:rPr>
          <w:t>https://doi.org/10.1177/1096348094018-19003-106</w:t>
        </w:r>
      </w:hyperlink>
      <w:r w:rsidRPr="00552376">
        <w:rPr>
          <w:rFonts w:ascii="Arial" w:hAnsi="Arial" w:cs="Arial"/>
        </w:rPr>
        <w:t xml:space="preserve"> </w:t>
      </w:r>
    </w:p>
    <w:p w14:paraId="50E9AFCC" w14:textId="3E2FAD2A" w:rsidR="00B83FA0" w:rsidRPr="00552376" w:rsidRDefault="00B83FA0" w:rsidP="00762F6D">
      <w:pPr>
        <w:spacing w:line="360" w:lineRule="auto"/>
        <w:ind w:left="360"/>
        <w:rPr>
          <w:rFonts w:ascii="Arial" w:hAnsi="Arial" w:cs="Arial"/>
        </w:rPr>
      </w:pPr>
      <w:r w:rsidRPr="00552376">
        <w:rPr>
          <w:rFonts w:ascii="Arial" w:hAnsi="Arial" w:cs="Arial"/>
        </w:rPr>
        <w:t xml:space="preserve">Edmondson, A.C., </w:t>
      </w:r>
      <w:r w:rsidR="006929E2" w:rsidRPr="00552376">
        <w:rPr>
          <w:rFonts w:ascii="Arial" w:hAnsi="Arial" w:cs="Arial"/>
        </w:rPr>
        <w:t>(</w:t>
      </w:r>
      <w:r w:rsidRPr="00552376">
        <w:rPr>
          <w:rFonts w:ascii="Arial" w:hAnsi="Arial" w:cs="Arial"/>
        </w:rPr>
        <w:t>2003</w:t>
      </w:r>
      <w:r w:rsidR="006929E2" w:rsidRPr="00552376">
        <w:rPr>
          <w:rFonts w:ascii="Arial" w:hAnsi="Arial" w:cs="Arial"/>
        </w:rPr>
        <w:t>)</w:t>
      </w:r>
      <w:r w:rsidRPr="00552376">
        <w:rPr>
          <w:rFonts w:ascii="Arial" w:hAnsi="Arial" w:cs="Arial"/>
        </w:rPr>
        <w:t>. Speaking up in the operating room: How team leaders promote learning in interdisciplinary action teams. </w:t>
      </w:r>
      <w:r w:rsidRPr="00552376">
        <w:rPr>
          <w:rFonts w:ascii="Arial" w:hAnsi="Arial" w:cs="Arial"/>
          <w:i/>
          <w:iCs/>
        </w:rPr>
        <w:t>Journal of management studies</w:t>
      </w:r>
      <w:r w:rsidRPr="00552376">
        <w:rPr>
          <w:rFonts w:ascii="Arial" w:hAnsi="Arial" w:cs="Arial"/>
        </w:rPr>
        <w:t>, </w:t>
      </w:r>
      <w:r w:rsidRPr="00552376">
        <w:rPr>
          <w:rFonts w:ascii="Arial" w:hAnsi="Arial" w:cs="Arial"/>
          <w:i/>
          <w:iCs/>
        </w:rPr>
        <w:t>40</w:t>
      </w:r>
      <w:r w:rsidRPr="00552376">
        <w:rPr>
          <w:rFonts w:ascii="Arial" w:hAnsi="Arial" w:cs="Arial"/>
        </w:rPr>
        <w:t xml:space="preserve">(6), pp.1419-1452. </w:t>
      </w:r>
      <w:hyperlink r:id="rId22" w:history="1">
        <w:r w:rsidRPr="00552376">
          <w:rPr>
            <w:rStyle w:val="Hyperlink"/>
            <w:rFonts w:ascii="Arial" w:hAnsi="Arial" w:cs="Arial"/>
          </w:rPr>
          <w:t>https://doi.org/10.1111/1467-6486.00386</w:t>
        </w:r>
      </w:hyperlink>
      <w:r w:rsidRPr="00552376">
        <w:rPr>
          <w:rFonts w:ascii="Arial" w:hAnsi="Arial" w:cs="Arial"/>
        </w:rPr>
        <w:t xml:space="preserve">  </w:t>
      </w:r>
    </w:p>
    <w:p w14:paraId="300A1521" w14:textId="60DBE010" w:rsidR="00B83FA0" w:rsidRPr="00552376" w:rsidRDefault="00B83FA0" w:rsidP="00762F6D">
      <w:pPr>
        <w:spacing w:line="360" w:lineRule="auto"/>
        <w:ind w:left="360"/>
        <w:rPr>
          <w:rFonts w:ascii="Arial" w:hAnsi="Arial" w:cs="Arial"/>
        </w:rPr>
      </w:pPr>
      <w:r w:rsidRPr="00552376">
        <w:rPr>
          <w:rFonts w:ascii="Arial" w:hAnsi="Arial" w:cs="Arial"/>
        </w:rPr>
        <w:t xml:space="preserve">Elkhwesky, Z., Salem, I., Ramkissoon, H., and Castañeda-García, J., </w:t>
      </w:r>
      <w:r w:rsidR="006929E2" w:rsidRPr="00552376">
        <w:rPr>
          <w:rFonts w:ascii="Arial" w:hAnsi="Arial" w:cs="Arial"/>
        </w:rPr>
        <w:t>(</w:t>
      </w:r>
      <w:r w:rsidRPr="00552376">
        <w:rPr>
          <w:rFonts w:ascii="Arial" w:hAnsi="Arial" w:cs="Arial"/>
        </w:rPr>
        <w:t>2022</w:t>
      </w:r>
      <w:r w:rsidR="006929E2" w:rsidRPr="00552376">
        <w:rPr>
          <w:rFonts w:ascii="Arial" w:hAnsi="Arial" w:cs="Arial"/>
        </w:rPr>
        <w:t>)</w:t>
      </w:r>
      <w:r w:rsidRPr="00552376">
        <w:rPr>
          <w:rFonts w:ascii="Arial" w:hAnsi="Arial" w:cs="Arial"/>
        </w:rPr>
        <w:t>. A systematic and critical review of leadership styles in contemporary hospitality: a roadmap and a call for future research. </w:t>
      </w:r>
      <w:r w:rsidRPr="00552376">
        <w:rPr>
          <w:rFonts w:ascii="Arial" w:hAnsi="Arial" w:cs="Arial"/>
          <w:i/>
          <w:iCs/>
        </w:rPr>
        <w:t>International Journal of Contemporary Hospitality Management</w:t>
      </w:r>
      <w:r w:rsidRPr="00552376">
        <w:rPr>
          <w:rFonts w:ascii="Arial" w:hAnsi="Arial" w:cs="Arial"/>
        </w:rPr>
        <w:t>. </w:t>
      </w:r>
      <w:hyperlink r:id="rId23" w:tgtFrame="_blank" w:history="1">
        <w:r w:rsidRPr="00552376">
          <w:rPr>
            <w:rStyle w:val="Hyperlink"/>
            <w:rFonts w:ascii="Arial" w:hAnsi="Arial" w:cs="Arial"/>
          </w:rPr>
          <w:t>https://doi.org/10.1108/ijchm-09-2021-1128</w:t>
        </w:r>
      </w:hyperlink>
      <w:r w:rsidRPr="00552376">
        <w:rPr>
          <w:rFonts w:ascii="Arial" w:hAnsi="Arial" w:cs="Arial"/>
        </w:rPr>
        <w:t>.</w:t>
      </w:r>
    </w:p>
    <w:p w14:paraId="0DD95BAC" w14:textId="38342B7D" w:rsidR="00B83FA0" w:rsidRPr="00552376" w:rsidRDefault="00B83FA0" w:rsidP="00762F6D">
      <w:pPr>
        <w:spacing w:line="360" w:lineRule="auto"/>
        <w:ind w:left="360"/>
        <w:rPr>
          <w:rFonts w:ascii="Arial" w:hAnsi="Arial" w:cs="Arial"/>
        </w:rPr>
      </w:pPr>
      <w:r w:rsidRPr="00552376">
        <w:rPr>
          <w:rFonts w:ascii="Arial" w:hAnsi="Arial" w:cs="Arial"/>
        </w:rPr>
        <w:t xml:space="preserve">Enachi, F., Suleri, J., and Tarus, E., </w:t>
      </w:r>
      <w:r w:rsidR="006929E2" w:rsidRPr="00552376">
        <w:rPr>
          <w:rFonts w:ascii="Arial" w:hAnsi="Arial" w:cs="Arial"/>
        </w:rPr>
        <w:t>(</w:t>
      </w:r>
      <w:r w:rsidRPr="00552376">
        <w:rPr>
          <w:rFonts w:ascii="Arial" w:hAnsi="Arial" w:cs="Arial"/>
        </w:rPr>
        <w:t>2023</w:t>
      </w:r>
      <w:r w:rsidR="006929E2" w:rsidRPr="00552376">
        <w:rPr>
          <w:rFonts w:ascii="Arial" w:hAnsi="Arial" w:cs="Arial"/>
        </w:rPr>
        <w:t>)</w:t>
      </w:r>
      <w:r w:rsidRPr="00552376">
        <w:rPr>
          <w:rFonts w:ascii="Arial" w:hAnsi="Arial" w:cs="Arial"/>
        </w:rPr>
        <w:t>. Retention of graduate trainee programmes: a case study of Hilton’s Elevator fast-track to general manager graduate programme. </w:t>
      </w:r>
      <w:r w:rsidRPr="00552376">
        <w:rPr>
          <w:rFonts w:ascii="Arial" w:hAnsi="Arial" w:cs="Arial"/>
          <w:i/>
          <w:iCs/>
        </w:rPr>
        <w:t>Research in Hospitality Management</w:t>
      </w:r>
      <w:r w:rsidRPr="00552376">
        <w:rPr>
          <w:rFonts w:ascii="Arial" w:hAnsi="Arial" w:cs="Arial"/>
        </w:rPr>
        <w:t xml:space="preserve">, 13, pp. 143 - 151. </w:t>
      </w:r>
      <w:hyperlink r:id="rId24" w:history="1">
        <w:r w:rsidRPr="00552376">
          <w:rPr>
            <w:rStyle w:val="Hyperlink"/>
            <w:rFonts w:ascii="Arial" w:hAnsi="Arial" w:cs="Arial"/>
          </w:rPr>
          <w:t>https://doi.org/10.1080/22243534.2024.2322221</w:t>
        </w:r>
      </w:hyperlink>
      <w:r w:rsidRPr="00552376">
        <w:rPr>
          <w:rFonts w:ascii="Arial" w:hAnsi="Arial" w:cs="Arial"/>
        </w:rPr>
        <w:t xml:space="preserve">. </w:t>
      </w:r>
    </w:p>
    <w:p w14:paraId="669E904D" w14:textId="60C6BCE2" w:rsidR="00B83FA0" w:rsidRPr="00552376" w:rsidRDefault="00B83FA0" w:rsidP="00762F6D">
      <w:pPr>
        <w:spacing w:line="360" w:lineRule="auto"/>
        <w:ind w:left="360"/>
        <w:rPr>
          <w:rFonts w:ascii="Arial" w:hAnsi="Arial" w:cs="Arial"/>
        </w:rPr>
      </w:pPr>
      <w:r w:rsidRPr="00552376">
        <w:rPr>
          <w:rFonts w:ascii="Arial" w:hAnsi="Arial" w:cs="Arial"/>
        </w:rPr>
        <w:t xml:space="preserve">Fashakin, J., and Babalola, W., </w:t>
      </w:r>
      <w:r w:rsidR="006929E2" w:rsidRPr="00552376">
        <w:rPr>
          <w:rFonts w:ascii="Arial" w:hAnsi="Arial" w:cs="Arial"/>
        </w:rPr>
        <w:t>(</w:t>
      </w:r>
      <w:r w:rsidRPr="00552376">
        <w:rPr>
          <w:rFonts w:ascii="Arial" w:hAnsi="Arial" w:cs="Arial"/>
        </w:rPr>
        <w:t>2025</w:t>
      </w:r>
      <w:r w:rsidR="006929E2" w:rsidRPr="00552376">
        <w:rPr>
          <w:rFonts w:ascii="Arial" w:hAnsi="Arial" w:cs="Arial"/>
        </w:rPr>
        <w:t>)</w:t>
      </w:r>
      <w:r w:rsidRPr="00552376">
        <w:rPr>
          <w:rFonts w:ascii="Arial" w:hAnsi="Arial" w:cs="Arial"/>
        </w:rPr>
        <w:t>. Gender Dynamics in Hospitality: Exploring the Impact of Gender Perspectives on Employee Behaviour and Organizational Performance. </w:t>
      </w:r>
      <w:r w:rsidRPr="00552376">
        <w:rPr>
          <w:rFonts w:ascii="Arial" w:hAnsi="Arial" w:cs="Arial"/>
          <w:i/>
          <w:iCs/>
        </w:rPr>
        <w:t>SSRN Electronic Journal</w:t>
      </w:r>
      <w:r w:rsidRPr="00552376">
        <w:rPr>
          <w:rFonts w:ascii="Arial" w:hAnsi="Arial" w:cs="Arial"/>
        </w:rPr>
        <w:t xml:space="preserve">. </w:t>
      </w:r>
      <w:hyperlink r:id="rId25" w:history="1">
        <w:r w:rsidRPr="00552376">
          <w:rPr>
            <w:rStyle w:val="Hyperlink"/>
            <w:rFonts w:ascii="Arial" w:hAnsi="Arial" w:cs="Arial"/>
          </w:rPr>
          <w:t>https://doi.org/10.2139/ssrn.5021719</w:t>
        </w:r>
      </w:hyperlink>
      <w:r w:rsidRPr="00552376">
        <w:rPr>
          <w:rFonts w:ascii="Arial" w:hAnsi="Arial" w:cs="Arial"/>
        </w:rPr>
        <w:t xml:space="preserve">. </w:t>
      </w:r>
    </w:p>
    <w:p w14:paraId="6C12CA5D" w14:textId="670019FE" w:rsidR="00B83FA0" w:rsidRPr="00552376" w:rsidRDefault="00B83FA0" w:rsidP="00762F6D">
      <w:pPr>
        <w:spacing w:line="360" w:lineRule="auto"/>
        <w:ind w:left="360"/>
        <w:rPr>
          <w:rFonts w:ascii="Arial" w:hAnsi="Arial" w:cs="Arial"/>
        </w:rPr>
      </w:pPr>
      <w:r w:rsidRPr="00552376">
        <w:rPr>
          <w:rFonts w:ascii="Arial" w:hAnsi="Arial" w:cs="Arial"/>
        </w:rPr>
        <w:t xml:space="preserve">Figueroa-Domecq, C., Palomo, J., Flecha-Barrio, M., and Segovia-Pérez, M., </w:t>
      </w:r>
      <w:r w:rsidR="006929E2" w:rsidRPr="00552376">
        <w:rPr>
          <w:rFonts w:ascii="Arial" w:hAnsi="Arial" w:cs="Arial"/>
        </w:rPr>
        <w:t>(</w:t>
      </w:r>
      <w:r w:rsidRPr="00552376">
        <w:rPr>
          <w:rFonts w:ascii="Arial" w:hAnsi="Arial" w:cs="Arial"/>
        </w:rPr>
        <w:t>2020</w:t>
      </w:r>
      <w:r w:rsidR="006929E2" w:rsidRPr="00552376">
        <w:rPr>
          <w:rFonts w:ascii="Arial" w:hAnsi="Arial" w:cs="Arial"/>
        </w:rPr>
        <w:t>)</w:t>
      </w:r>
      <w:r w:rsidRPr="00552376">
        <w:rPr>
          <w:rFonts w:ascii="Arial" w:hAnsi="Arial" w:cs="Arial"/>
        </w:rPr>
        <w:t>. Technology double gender gap in tourism business leadership. </w:t>
      </w:r>
      <w:r w:rsidRPr="00552376">
        <w:rPr>
          <w:rFonts w:ascii="Arial" w:hAnsi="Arial" w:cs="Arial"/>
          <w:i/>
          <w:iCs/>
        </w:rPr>
        <w:t>Information Technology &amp; Tourism</w:t>
      </w:r>
      <w:r w:rsidRPr="00552376">
        <w:rPr>
          <w:rFonts w:ascii="Arial" w:hAnsi="Arial" w:cs="Arial"/>
        </w:rPr>
        <w:t xml:space="preserve">, 22, pp. 75 - 106. </w:t>
      </w:r>
      <w:hyperlink r:id="rId26" w:history="1">
        <w:r w:rsidRPr="00552376">
          <w:rPr>
            <w:rStyle w:val="Hyperlink"/>
            <w:rFonts w:ascii="Arial" w:hAnsi="Arial" w:cs="Arial"/>
          </w:rPr>
          <w:t>https://doi.org/10.1007/s40558-020-00168-0</w:t>
        </w:r>
      </w:hyperlink>
      <w:r w:rsidRPr="00552376">
        <w:rPr>
          <w:rFonts w:ascii="Arial" w:hAnsi="Arial" w:cs="Arial"/>
        </w:rPr>
        <w:t xml:space="preserve">. </w:t>
      </w:r>
    </w:p>
    <w:p w14:paraId="27EA3D4F" w14:textId="57C9117F" w:rsidR="00B83FA0" w:rsidRPr="00552376" w:rsidRDefault="00B83FA0" w:rsidP="00762F6D">
      <w:pPr>
        <w:spacing w:line="360" w:lineRule="auto"/>
        <w:ind w:left="360"/>
        <w:rPr>
          <w:rFonts w:ascii="Arial" w:hAnsi="Arial" w:cs="Arial"/>
        </w:rPr>
      </w:pPr>
      <w:r w:rsidRPr="00552376">
        <w:rPr>
          <w:rFonts w:ascii="Arial" w:hAnsi="Arial" w:cs="Arial"/>
        </w:rPr>
        <w:t xml:space="preserve">Flick, U., </w:t>
      </w:r>
      <w:r w:rsidR="00F37D7A" w:rsidRPr="00552376">
        <w:rPr>
          <w:rFonts w:ascii="Arial" w:hAnsi="Arial" w:cs="Arial"/>
        </w:rPr>
        <w:t>(</w:t>
      </w:r>
      <w:r w:rsidRPr="00552376">
        <w:rPr>
          <w:rFonts w:ascii="Arial" w:hAnsi="Arial" w:cs="Arial"/>
        </w:rPr>
        <w:t>2009</w:t>
      </w:r>
      <w:r w:rsidR="00F37D7A" w:rsidRPr="00552376">
        <w:rPr>
          <w:rFonts w:ascii="Arial" w:hAnsi="Arial" w:cs="Arial"/>
        </w:rPr>
        <w:t>)</w:t>
      </w:r>
      <w:r w:rsidRPr="00552376">
        <w:rPr>
          <w:rFonts w:ascii="Arial" w:hAnsi="Arial" w:cs="Arial"/>
        </w:rPr>
        <w:t xml:space="preserve">. An introduction to qualitative research. </w:t>
      </w:r>
      <w:hyperlink r:id="rId27" w:history="1">
        <w:r w:rsidRPr="00552376">
          <w:rPr>
            <w:rStyle w:val="Hyperlink"/>
            <w:rFonts w:ascii="Arial" w:hAnsi="Arial" w:cs="Arial"/>
          </w:rPr>
          <w:t>https://vivauniversity.wordpress.com/wp-content/uploads/2014/02/flick-2009-an-introduction-to-qualitative-research-full-book.pdf</w:t>
        </w:r>
      </w:hyperlink>
      <w:r w:rsidRPr="00552376">
        <w:rPr>
          <w:rFonts w:ascii="Arial" w:hAnsi="Arial" w:cs="Arial"/>
        </w:rPr>
        <w:t xml:space="preserve"> </w:t>
      </w:r>
    </w:p>
    <w:p w14:paraId="603ECC59" w14:textId="3E115B93" w:rsidR="00B83FA0" w:rsidRPr="00552376" w:rsidRDefault="00B83FA0" w:rsidP="00762F6D">
      <w:pPr>
        <w:spacing w:line="360" w:lineRule="auto"/>
        <w:ind w:left="360"/>
        <w:rPr>
          <w:rFonts w:ascii="Arial" w:hAnsi="Arial" w:cs="Arial"/>
        </w:rPr>
      </w:pPr>
      <w:r w:rsidRPr="00552376">
        <w:rPr>
          <w:rFonts w:ascii="Arial" w:hAnsi="Arial" w:cs="Arial"/>
        </w:rPr>
        <w:lastRenderedPageBreak/>
        <w:t xml:space="preserve">Flick, U., </w:t>
      </w:r>
      <w:r w:rsidR="00F37D7A" w:rsidRPr="00552376">
        <w:rPr>
          <w:rFonts w:ascii="Arial" w:hAnsi="Arial" w:cs="Arial"/>
        </w:rPr>
        <w:t>(</w:t>
      </w:r>
      <w:r w:rsidRPr="00552376">
        <w:rPr>
          <w:rFonts w:ascii="Arial" w:hAnsi="Arial" w:cs="Arial"/>
        </w:rPr>
        <w:t>2022</w:t>
      </w:r>
      <w:r w:rsidR="00F37D7A" w:rsidRPr="00552376">
        <w:rPr>
          <w:rFonts w:ascii="Arial" w:hAnsi="Arial" w:cs="Arial"/>
        </w:rPr>
        <w:t>)</w:t>
      </w:r>
      <w:r w:rsidRPr="00552376">
        <w:rPr>
          <w:rFonts w:ascii="Arial" w:hAnsi="Arial" w:cs="Arial"/>
        </w:rPr>
        <w:t>. An introduction to qualitative research.</w:t>
      </w:r>
    </w:p>
    <w:p w14:paraId="64326B90" w14:textId="13D21964" w:rsidR="00B83FA0" w:rsidRPr="00552376" w:rsidRDefault="00B83FA0" w:rsidP="00762F6D">
      <w:pPr>
        <w:spacing w:line="360" w:lineRule="auto"/>
        <w:ind w:left="360"/>
        <w:rPr>
          <w:rFonts w:ascii="Arial" w:hAnsi="Arial" w:cs="Arial"/>
          <w:lang w:val="de-DE"/>
        </w:rPr>
      </w:pPr>
      <w:r w:rsidRPr="00552376">
        <w:rPr>
          <w:rFonts w:ascii="Arial" w:hAnsi="Arial" w:cs="Arial"/>
        </w:rPr>
        <w:t xml:space="preserve">Gander, M. and Sharafizad, F., </w:t>
      </w:r>
      <w:r w:rsidR="00F37D7A" w:rsidRPr="00552376">
        <w:rPr>
          <w:rFonts w:ascii="Arial" w:hAnsi="Arial" w:cs="Arial"/>
        </w:rPr>
        <w:t>(</w:t>
      </w:r>
      <w:r w:rsidRPr="00552376">
        <w:rPr>
          <w:rFonts w:ascii="Arial" w:hAnsi="Arial" w:cs="Arial"/>
        </w:rPr>
        <w:t>2025</w:t>
      </w:r>
      <w:r w:rsidR="00F37D7A" w:rsidRPr="00552376">
        <w:rPr>
          <w:rFonts w:ascii="Arial" w:hAnsi="Arial" w:cs="Arial"/>
        </w:rPr>
        <w:t>)</w:t>
      </w:r>
      <w:r w:rsidRPr="00552376">
        <w:rPr>
          <w:rFonts w:ascii="Arial" w:hAnsi="Arial" w:cs="Arial"/>
        </w:rPr>
        <w:t xml:space="preserve">. Progressing gender equity in senior leadership: a systematic literature review. </w:t>
      </w:r>
      <w:r w:rsidRPr="00552376">
        <w:rPr>
          <w:rFonts w:ascii="Arial" w:hAnsi="Arial" w:cs="Arial"/>
          <w:i/>
          <w:iCs/>
          <w:lang w:val="de-DE"/>
        </w:rPr>
        <w:t>Gender in Management: An International Journal</w:t>
      </w:r>
      <w:r w:rsidRPr="00552376">
        <w:rPr>
          <w:rFonts w:ascii="Arial" w:hAnsi="Arial" w:cs="Arial"/>
          <w:lang w:val="de-DE"/>
        </w:rPr>
        <w:t xml:space="preserve">. </w:t>
      </w:r>
      <w:hyperlink r:id="rId28" w:history="1">
        <w:r w:rsidRPr="00552376">
          <w:rPr>
            <w:rStyle w:val="Hyperlink"/>
            <w:rFonts w:ascii="Arial" w:hAnsi="Arial" w:cs="Arial"/>
            <w:lang w:val="de-DE"/>
          </w:rPr>
          <w:t>https://doi.org/10.1108/gm-03-2024-0149</w:t>
        </w:r>
      </w:hyperlink>
      <w:r w:rsidRPr="00552376">
        <w:rPr>
          <w:rFonts w:ascii="Arial" w:hAnsi="Arial" w:cs="Arial"/>
          <w:lang w:val="de-DE"/>
        </w:rPr>
        <w:t xml:space="preserve"> </w:t>
      </w:r>
    </w:p>
    <w:p w14:paraId="7D556F77" w14:textId="634E6821" w:rsidR="00B83FA0" w:rsidRPr="00552376" w:rsidRDefault="00B83FA0" w:rsidP="00762F6D">
      <w:pPr>
        <w:spacing w:line="360" w:lineRule="auto"/>
        <w:ind w:left="360"/>
        <w:rPr>
          <w:rFonts w:ascii="Arial" w:hAnsi="Arial" w:cs="Arial"/>
        </w:rPr>
      </w:pPr>
      <w:r w:rsidRPr="00552376">
        <w:rPr>
          <w:rFonts w:ascii="Arial" w:hAnsi="Arial" w:cs="Arial"/>
        </w:rPr>
        <w:t xml:space="preserve">Gebbels, M., Cai, W. and Gao, X., </w:t>
      </w:r>
      <w:r w:rsidR="00F37D7A" w:rsidRPr="00552376">
        <w:rPr>
          <w:rFonts w:ascii="Arial" w:hAnsi="Arial" w:cs="Arial"/>
        </w:rPr>
        <w:t>(</w:t>
      </w:r>
      <w:r w:rsidRPr="00552376">
        <w:rPr>
          <w:rFonts w:ascii="Arial" w:hAnsi="Arial" w:cs="Arial"/>
        </w:rPr>
        <w:t>2019</w:t>
      </w:r>
      <w:r w:rsidR="00F37D7A" w:rsidRPr="00552376">
        <w:rPr>
          <w:rFonts w:ascii="Arial" w:hAnsi="Arial" w:cs="Arial"/>
        </w:rPr>
        <w:t>)</w:t>
      </w:r>
      <w:r w:rsidRPr="00552376">
        <w:rPr>
          <w:rFonts w:ascii="Arial" w:hAnsi="Arial" w:cs="Arial"/>
        </w:rPr>
        <w:t>. Gender issues in tourism and hospitality organisations: how to bridge the gap between gender awareness and organisational support?. </w:t>
      </w:r>
      <w:r w:rsidRPr="00552376">
        <w:rPr>
          <w:rFonts w:ascii="Arial" w:hAnsi="Arial" w:cs="Arial"/>
          <w:i/>
          <w:iCs/>
        </w:rPr>
        <w:t>Critical Tourism Studies Proceedings</w:t>
      </w:r>
      <w:r w:rsidRPr="00552376">
        <w:rPr>
          <w:rFonts w:ascii="Arial" w:hAnsi="Arial" w:cs="Arial"/>
        </w:rPr>
        <w:t>, </w:t>
      </w:r>
      <w:r w:rsidRPr="00552376">
        <w:rPr>
          <w:rFonts w:ascii="Arial" w:hAnsi="Arial" w:cs="Arial"/>
          <w:i/>
          <w:iCs/>
        </w:rPr>
        <w:t>2019</w:t>
      </w:r>
      <w:r w:rsidRPr="00552376">
        <w:rPr>
          <w:rFonts w:ascii="Arial" w:hAnsi="Arial" w:cs="Arial"/>
        </w:rPr>
        <w:t xml:space="preserve">(1). </w:t>
      </w:r>
      <w:hyperlink r:id="rId29" w:history="1">
        <w:r w:rsidRPr="00552376">
          <w:rPr>
            <w:rStyle w:val="Hyperlink"/>
            <w:rFonts w:ascii="Arial" w:hAnsi="Arial" w:cs="Arial"/>
          </w:rPr>
          <w:t>https://www.academia.edu/download/77148768/viewcontent.pdf</w:t>
        </w:r>
      </w:hyperlink>
      <w:r w:rsidRPr="00552376">
        <w:rPr>
          <w:rFonts w:ascii="Arial" w:hAnsi="Arial" w:cs="Arial"/>
        </w:rPr>
        <w:t xml:space="preserve"> </w:t>
      </w:r>
    </w:p>
    <w:p w14:paraId="51A2279C" w14:textId="3740DB74" w:rsidR="00B83FA0" w:rsidRPr="00552376" w:rsidRDefault="00B83FA0" w:rsidP="00762F6D">
      <w:pPr>
        <w:spacing w:line="360" w:lineRule="auto"/>
        <w:ind w:left="360"/>
        <w:rPr>
          <w:rFonts w:ascii="Arial" w:hAnsi="Arial" w:cs="Arial"/>
        </w:rPr>
      </w:pPr>
      <w:r w:rsidRPr="00552376">
        <w:rPr>
          <w:rFonts w:ascii="Arial" w:hAnsi="Arial" w:cs="Arial"/>
        </w:rPr>
        <w:t xml:space="preserve">Gebbels, M., Gao, X. and Cai, W., </w:t>
      </w:r>
      <w:r w:rsidR="004216E2" w:rsidRPr="00552376">
        <w:rPr>
          <w:rFonts w:ascii="Arial" w:hAnsi="Arial" w:cs="Arial"/>
        </w:rPr>
        <w:t>(</w:t>
      </w:r>
      <w:r w:rsidRPr="00552376">
        <w:rPr>
          <w:rFonts w:ascii="Arial" w:hAnsi="Arial" w:cs="Arial"/>
        </w:rPr>
        <w:t>2020</w:t>
      </w:r>
      <w:r w:rsidR="004216E2" w:rsidRPr="00552376">
        <w:rPr>
          <w:rFonts w:ascii="Arial" w:hAnsi="Arial" w:cs="Arial"/>
        </w:rPr>
        <w:t>)</w:t>
      </w:r>
      <w:r w:rsidRPr="00552376">
        <w:rPr>
          <w:rFonts w:ascii="Arial" w:hAnsi="Arial" w:cs="Arial"/>
        </w:rPr>
        <w:t xml:space="preserve">. Let’s not just “talk” about it: reflections on women’s career development in hospitality. </w:t>
      </w:r>
      <w:r w:rsidRPr="00552376">
        <w:rPr>
          <w:rFonts w:ascii="Arial" w:hAnsi="Arial" w:cs="Arial"/>
          <w:i/>
          <w:iCs/>
        </w:rPr>
        <w:t>International Journal of Contemporary Hospitality Management</w:t>
      </w:r>
      <w:r w:rsidRPr="00552376">
        <w:rPr>
          <w:rFonts w:ascii="Arial" w:hAnsi="Arial" w:cs="Arial"/>
        </w:rPr>
        <w:t xml:space="preserve">. </w:t>
      </w:r>
      <w:hyperlink r:id="rId30" w:history="1">
        <w:r w:rsidRPr="00552376">
          <w:rPr>
            <w:rStyle w:val="Hyperlink"/>
            <w:rFonts w:ascii="Arial" w:hAnsi="Arial" w:cs="Arial"/>
          </w:rPr>
          <w:t>https://doi.org/10.1108/ijchm-05-2020-0385</w:t>
        </w:r>
      </w:hyperlink>
      <w:r w:rsidRPr="00552376">
        <w:rPr>
          <w:rFonts w:ascii="Arial" w:hAnsi="Arial" w:cs="Arial"/>
        </w:rPr>
        <w:t xml:space="preserve"> </w:t>
      </w:r>
    </w:p>
    <w:p w14:paraId="54D65D6B" w14:textId="19968751" w:rsidR="00B83FA0" w:rsidRPr="00552376" w:rsidRDefault="00B83FA0" w:rsidP="00762F6D">
      <w:pPr>
        <w:spacing w:line="360" w:lineRule="auto"/>
        <w:ind w:left="360"/>
        <w:rPr>
          <w:rFonts w:ascii="Arial" w:hAnsi="Arial" w:cs="Arial"/>
        </w:rPr>
      </w:pPr>
      <w:r w:rsidRPr="00552376">
        <w:rPr>
          <w:rFonts w:ascii="Arial" w:hAnsi="Arial" w:cs="Arial"/>
        </w:rPr>
        <w:t xml:space="preserve">Gee, B. and Peck, D., </w:t>
      </w:r>
      <w:r w:rsidR="004216E2" w:rsidRPr="00552376">
        <w:rPr>
          <w:rFonts w:ascii="Arial" w:hAnsi="Arial" w:cs="Arial"/>
        </w:rPr>
        <w:t>(</w:t>
      </w:r>
      <w:r w:rsidRPr="00552376">
        <w:rPr>
          <w:rFonts w:ascii="Arial" w:hAnsi="Arial" w:cs="Arial"/>
        </w:rPr>
        <w:t>2018</w:t>
      </w:r>
      <w:r w:rsidR="004216E2" w:rsidRPr="00552376">
        <w:rPr>
          <w:rFonts w:ascii="Arial" w:hAnsi="Arial" w:cs="Arial"/>
        </w:rPr>
        <w:t>)</w:t>
      </w:r>
      <w:r w:rsidRPr="00552376">
        <w:rPr>
          <w:rFonts w:ascii="Arial" w:hAnsi="Arial" w:cs="Arial"/>
        </w:rPr>
        <w:t>. Metrics of the glass ceiling at the intersection of race and gender. </w:t>
      </w:r>
      <w:r w:rsidRPr="00552376">
        <w:rPr>
          <w:rFonts w:ascii="Arial" w:hAnsi="Arial" w:cs="Arial"/>
          <w:i/>
          <w:iCs/>
        </w:rPr>
        <w:t>Strategic HR Review</w:t>
      </w:r>
      <w:r w:rsidRPr="00552376">
        <w:rPr>
          <w:rFonts w:ascii="Arial" w:hAnsi="Arial" w:cs="Arial"/>
        </w:rPr>
        <w:t>. https://doi.org/10.1108/shr-03-2018-0023.</w:t>
      </w:r>
    </w:p>
    <w:p w14:paraId="3ECAB23B" w14:textId="144FF28B" w:rsidR="00B83FA0" w:rsidRPr="00552376" w:rsidRDefault="00B83FA0" w:rsidP="00762F6D">
      <w:pPr>
        <w:spacing w:line="360" w:lineRule="auto"/>
        <w:ind w:left="360"/>
        <w:rPr>
          <w:rFonts w:ascii="Arial" w:hAnsi="Arial" w:cs="Arial"/>
        </w:rPr>
      </w:pPr>
      <w:r w:rsidRPr="00552376">
        <w:rPr>
          <w:rFonts w:ascii="Arial" w:hAnsi="Arial" w:cs="Arial"/>
        </w:rPr>
        <w:t xml:space="preserve">Gerged, A., Tran, M., and Beddewela, E., </w:t>
      </w:r>
      <w:r w:rsidR="004216E2" w:rsidRPr="00552376">
        <w:rPr>
          <w:rFonts w:ascii="Arial" w:hAnsi="Arial" w:cs="Arial"/>
        </w:rPr>
        <w:t>(</w:t>
      </w:r>
      <w:r w:rsidRPr="00552376">
        <w:rPr>
          <w:rFonts w:ascii="Arial" w:hAnsi="Arial" w:cs="Arial"/>
        </w:rPr>
        <w:t>2022</w:t>
      </w:r>
      <w:r w:rsidR="004216E2" w:rsidRPr="00552376">
        <w:rPr>
          <w:rFonts w:ascii="Arial" w:hAnsi="Arial" w:cs="Arial"/>
        </w:rPr>
        <w:t>)</w:t>
      </w:r>
      <w:r w:rsidRPr="00552376">
        <w:rPr>
          <w:rFonts w:ascii="Arial" w:hAnsi="Arial" w:cs="Arial"/>
        </w:rPr>
        <w:t>. Engendering Pro-Sustainable Performance Through a Multi-Layered Gender Diversity Criterion: Evidence From the Hospitality and Tourism Sector. </w:t>
      </w:r>
      <w:r w:rsidRPr="00552376">
        <w:rPr>
          <w:rFonts w:ascii="Arial" w:hAnsi="Arial" w:cs="Arial"/>
          <w:i/>
          <w:iCs/>
        </w:rPr>
        <w:t>Journal of Travel Research</w:t>
      </w:r>
      <w:r w:rsidRPr="00552376">
        <w:rPr>
          <w:rFonts w:ascii="Arial" w:hAnsi="Arial" w:cs="Arial"/>
        </w:rPr>
        <w:t xml:space="preserve">, 62, pp. 1047 - 1076. </w:t>
      </w:r>
      <w:hyperlink r:id="rId31" w:history="1">
        <w:r w:rsidRPr="00552376">
          <w:rPr>
            <w:rStyle w:val="Hyperlink"/>
            <w:rFonts w:ascii="Arial" w:hAnsi="Arial" w:cs="Arial"/>
          </w:rPr>
          <w:t>https://doi.org/10.1177/00472875221111754</w:t>
        </w:r>
      </w:hyperlink>
      <w:r w:rsidRPr="00552376">
        <w:rPr>
          <w:rFonts w:ascii="Arial" w:hAnsi="Arial" w:cs="Arial"/>
        </w:rPr>
        <w:t xml:space="preserve">. </w:t>
      </w:r>
    </w:p>
    <w:p w14:paraId="01244B8B" w14:textId="7671B3C8" w:rsidR="00B83FA0" w:rsidRPr="00552376" w:rsidRDefault="00B83FA0" w:rsidP="00762F6D">
      <w:pPr>
        <w:spacing w:line="360" w:lineRule="auto"/>
        <w:ind w:left="360"/>
        <w:rPr>
          <w:rFonts w:ascii="Arial" w:hAnsi="Arial" w:cs="Arial"/>
        </w:rPr>
      </w:pPr>
      <w:r w:rsidRPr="00552376">
        <w:rPr>
          <w:rFonts w:ascii="Arial" w:hAnsi="Arial" w:cs="Arial"/>
        </w:rPr>
        <w:t xml:space="preserve">Gibbs, G., </w:t>
      </w:r>
      <w:r w:rsidR="004216E2" w:rsidRPr="00552376">
        <w:rPr>
          <w:rFonts w:ascii="Arial" w:hAnsi="Arial" w:cs="Arial"/>
        </w:rPr>
        <w:t>(</w:t>
      </w:r>
      <w:r w:rsidRPr="00552376">
        <w:rPr>
          <w:rFonts w:ascii="Arial" w:hAnsi="Arial" w:cs="Arial"/>
        </w:rPr>
        <w:t>1988</w:t>
      </w:r>
      <w:r w:rsidR="004216E2" w:rsidRPr="00552376">
        <w:rPr>
          <w:rFonts w:ascii="Arial" w:hAnsi="Arial" w:cs="Arial"/>
        </w:rPr>
        <w:t>)</w:t>
      </w:r>
      <w:r w:rsidRPr="00552376">
        <w:rPr>
          <w:rFonts w:ascii="Arial" w:hAnsi="Arial" w:cs="Arial"/>
        </w:rPr>
        <w:t>. Learning by doing: A guide to teaching and learning methods. </w:t>
      </w:r>
      <w:r w:rsidRPr="00552376">
        <w:rPr>
          <w:rFonts w:ascii="Arial" w:hAnsi="Arial" w:cs="Arial"/>
          <w:i/>
          <w:iCs/>
        </w:rPr>
        <w:t>Further Education Unit</w:t>
      </w:r>
      <w:r w:rsidRPr="00552376">
        <w:rPr>
          <w:rFonts w:ascii="Arial" w:hAnsi="Arial" w:cs="Arial"/>
        </w:rPr>
        <w:t>.</w:t>
      </w:r>
    </w:p>
    <w:p w14:paraId="6872B942" w14:textId="5731B63D" w:rsidR="00B83FA0" w:rsidRPr="00552376" w:rsidRDefault="00B83FA0" w:rsidP="00762F6D">
      <w:pPr>
        <w:spacing w:line="360" w:lineRule="auto"/>
        <w:ind w:left="360"/>
        <w:rPr>
          <w:rFonts w:ascii="Arial" w:hAnsi="Arial" w:cs="Arial"/>
        </w:rPr>
      </w:pPr>
      <w:r w:rsidRPr="00552376">
        <w:rPr>
          <w:rFonts w:ascii="Arial" w:hAnsi="Arial" w:cs="Arial"/>
        </w:rPr>
        <w:t xml:space="preserve">Gill, A., Mathur, N., Sharma, S.P. and Bhutani, S., </w:t>
      </w:r>
      <w:r w:rsidR="004216E2" w:rsidRPr="00552376">
        <w:rPr>
          <w:rFonts w:ascii="Arial" w:hAnsi="Arial" w:cs="Arial"/>
        </w:rPr>
        <w:t>(</w:t>
      </w:r>
      <w:r w:rsidRPr="00552376">
        <w:rPr>
          <w:rFonts w:ascii="Arial" w:hAnsi="Arial" w:cs="Arial"/>
        </w:rPr>
        <w:t>2011</w:t>
      </w:r>
      <w:r w:rsidR="004216E2" w:rsidRPr="00552376">
        <w:rPr>
          <w:rFonts w:ascii="Arial" w:hAnsi="Arial" w:cs="Arial"/>
        </w:rPr>
        <w:t>)</w:t>
      </w:r>
      <w:r w:rsidRPr="00552376">
        <w:rPr>
          <w:rFonts w:ascii="Arial" w:hAnsi="Arial" w:cs="Arial"/>
        </w:rPr>
        <w:t>. The effects of empowerment and transformational leadership on employee intentions to quit: A study of restaurant workers in India. </w:t>
      </w:r>
      <w:r w:rsidRPr="00552376">
        <w:rPr>
          <w:rFonts w:ascii="Arial" w:hAnsi="Arial" w:cs="Arial"/>
          <w:i/>
          <w:iCs/>
        </w:rPr>
        <w:t>International Journal of Management</w:t>
      </w:r>
      <w:r w:rsidRPr="00552376">
        <w:rPr>
          <w:rFonts w:ascii="Arial" w:hAnsi="Arial" w:cs="Arial"/>
        </w:rPr>
        <w:t>, </w:t>
      </w:r>
      <w:r w:rsidRPr="00552376">
        <w:rPr>
          <w:rFonts w:ascii="Arial" w:hAnsi="Arial" w:cs="Arial"/>
          <w:i/>
          <w:iCs/>
        </w:rPr>
        <w:t>28</w:t>
      </w:r>
      <w:r w:rsidRPr="00552376">
        <w:rPr>
          <w:rFonts w:ascii="Arial" w:hAnsi="Arial" w:cs="Arial"/>
        </w:rPr>
        <w:t xml:space="preserve">(1), p.217. </w:t>
      </w:r>
    </w:p>
    <w:p w14:paraId="143A07CD" w14:textId="29D36CCA" w:rsidR="00B83FA0" w:rsidRPr="00552376" w:rsidRDefault="00B83FA0" w:rsidP="00762F6D">
      <w:pPr>
        <w:spacing w:line="360" w:lineRule="auto"/>
        <w:ind w:left="360"/>
        <w:rPr>
          <w:rFonts w:ascii="Arial" w:hAnsi="Arial" w:cs="Arial"/>
        </w:rPr>
      </w:pPr>
      <w:r w:rsidRPr="00552376">
        <w:rPr>
          <w:rFonts w:ascii="Arial" w:hAnsi="Arial" w:cs="Arial"/>
        </w:rPr>
        <w:t xml:space="preserve">Giousmpasoglou, C. and Marinakou, E., </w:t>
      </w:r>
      <w:r w:rsidR="004216E2" w:rsidRPr="00552376">
        <w:rPr>
          <w:rFonts w:ascii="Arial" w:hAnsi="Arial" w:cs="Arial"/>
        </w:rPr>
        <w:t>(</w:t>
      </w:r>
      <w:r w:rsidRPr="00552376">
        <w:rPr>
          <w:rFonts w:ascii="Arial" w:hAnsi="Arial" w:cs="Arial"/>
        </w:rPr>
        <w:t>2024</w:t>
      </w:r>
      <w:r w:rsidR="004216E2" w:rsidRPr="00552376">
        <w:rPr>
          <w:rFonts w:ascii="Arial" w:hAnsi="Arial" w:cs="Arial"/>
        </w:rPr>
        <w:t>)</w:t>
      </w:r>
      <w:r w:rsidRPr="00552376">
        <w:rPr>
          <w:rFonts w:ascii="Arial" w:hAnsi="Arial" w:cs="Arial"/>
        </w:rPr>
        <w:t>. Diversity and Gender Issues in Hotel Management. In </w:t>
      </w:r>
      <w:r w:rsidRPr="00552376">
        <w:rPr>
          <w:rFonts w:ascii="Arial" w:hAnsi="Arial" w:cs="Arial"/>
          <w:i/>
          <w:iCs/>
        </w:rPr>
        <w:t>The Contemporary Hotel Industry: A People Management Perspective</w:t>
      </w:r>
      <w:r w:rsidRPr="00552376">
        <w:rPr>
          <w:rFonts w:ascii="Arial" w:hAnsi="Arial" w:cs="Arial"/>
        </w:rPr>
        <w:t xml:space="preserve"> (pp. 187-212). Cham: Springer International Publishing. </w:t>
      </w:r>
      <w:hyperlink r:id="rId32" w:history="1">
        <w:r w:rsidRPr="00552376">
          <w:rPr>
            <w:rStyle w:val="Hyperlink"/>
            <w:rFonts w:ascii="Arial" w:hAnsi="Arial" w:cs="Arial"/>
          </w:rPr>
          <w:t>https://doi.org/10.1007/978-3-031-52803-3_8</w:t>
        </w:r>
      </w:hyperlink>
      <w:r w:rsidRPr="00552376">
        <w:rPr>
          <w:rFonts w:ascii="Arial" w:hAnsi="Arial" w:cs="Arial"/>
        </w:rPr>
        <w:t xml:space="preserve"> </w:t>
      </w:r>
    </w:p>
    <w:p w14:paraId="1149F4DB" w14:textId="6B415309" w:rsidR="00B83FA0" w:rsidRPr="00552376" w:rsidRDefault="00B83FA0" w:rsidP="00762F6D">
      <w:pPr>
        <w:spacing w:line="360" w:lineRule="auto"/>
        <w:ind w:left="360"/>
        <w:rPr>
          <w:rFonts w:ascii="Arial" w:hAnsi="Arial" w:cs="Arial"/>
        </w:rPr>
      </w:pPr>
      <w:r w:rsidRPr="00552376">
        <w:rPr>
          <w:rFonts w:ascii="Arial" w:hAnsi="Arial" w:cs="Arial"/>
        </w:rPr>
        <w:t xml:space="preserve">Gitenge, C. and Ernest, S., </w:t>
      </w:r>
      <w:r w:rsidR="0023095C" w:rsidRPr="00552376">
        <w:rPr>
          <w:rFonts w:ascii="Arial" w:hAnsi="Arial" w:cs="Arial"/>
        </w:rPr>
        <w:t>(</w:t>
      </w:r>
      <w:r w:rsidRPr="00552376">
        <w:rPr>
          <w:rFonts w:ascii="Arial" w:hAnsi="Arial" w:cs="Arial"/>
        </w:rPr>
        <w:t>2024</w:t>
      </w:r>
      <w:r w:rsidR="0023095C" w:rsidRPr="00552376">
        <w:rPr>
          <w:rFonts w:ascii="Arial" w:hAnsi="Arial" w:cs="Arial"/>
        </w:rPr>
        <w:t>)</w:t>
      </w:r>
      <w:r w:rsidRPr="00552376">
        <w:rPr>
          <w:rFonts w:ascii="Arial" w:hAnsi="Arial" w:cs="Arial"/>
        </w:rPr>
        <w:t xml:space="preserve">. The Women’s Career Advancement and Performance of Upmarket Food and Beverage Services in the Hotel Industry of </w:t>
      </w:r>
      <w:r w:rsidRPr="00552376">
        <w:rPr>
          <w:rFonts w:ascii="Arial" w:hAnsi="Arial" w:cs="Arial"/>
        </w:rPr>
        <w:lastRenderedPageBreak/>
        <w:t xml:space="preserve">Rwanda. </w:t>
      </w:r>
      <w:r w:rsidRPr="00552376">
        <w:rPr>
          <w:rFonts w:ascii="Arial" w:hAnsi="Arial" w:cs="Arial"/>
          <w:i/>
          <w:iCs/>
        </w:rPr>
        <w:t>TECHNO REVIEW Journal of Technology and Management</w:t>
      </w:r>
      <w:r w:rsidRPr="00552376">
        <w:rPr>
          <w:rFonts w:ascii="Arial" w:hAnsi="Arial" w:cs="Arial"/>
        </w:rPr>
        <w:t xml:space="preserve">. </w:t>
      </w:r>
      <w:hyperlink r:id="rId33" w:history="1">
        <w:r w:rsidRPr="00552376">
          <w:rPr>
            <w:rStyle w:val="Hyperlink"/>
            <w:rFonts w:ascii="Arial" w:hAnsi="Arial" w:cs="Arial"/>
          </w:rPr>
          <w:t>https://doi.org/10.31305/trjtm2024.v04.n04.002</w:t>
        </w:r>
      </w:hyperlink>
      <w:r w:rsidRPr="00552376">
        <w:rPr>
          <w:rFonts w:ascii="Arial" w:hAnsi="Arial" w:cs="Arial"/>
        </w:rPr>
        <w:t xml:space="preserve"> </w:t>
      </w:r>
    </w:p>
    <w:p w14:paraId="5D431D92" w14:textId="6D2DDE5C" w:rsidR="00B83FA0" w:rsidRPr="00552376" w:rsidRDefault="00B83FA0" w:rsidP="00762F6D">
      <w:pPr>
        <w:spacing w:line="360" w:lineRule="auto"/>
        <w:ind w:left="360"/>
        <w:rPr>
          <w:rFonts w:ascii="Arial" w:hAnsi="Arial" w:cs="Arial"/>
        </w:rPr>
      </w:pPr>
      <w:r w:rsidRPr="00552376">
        <w:rPr>
          <w:rFonts w:ascii="Arial" w:hAnsi="Arial" w:cs="Arial"/>
        </w:rPr>
        <w:t xml:space="preserve">Gittell, J.H., </w:t>
      </w:r>
      <w:r w:rsidR="0023095C" w:rsidRPr="00552376">
        <w:rPr>
          <w:rFonts w:ascii="Arial" w:hAnsi="Arial" w:cs="Arial"/>
        </w:rPr>
        <w:t>(</w:t>
      </w:r>
      <w:r w:rsidRPr="00552376">
        <w:rPr>
          <w:rFonts w:ascii="Arial" w:hAnsi="Arial" w:cs="Arial"/>
        </w:rPr>
        <w:t>2002</w:t>
      </w:r>
      <w:r w:rsidR="0023095C" w:rsidRPr="00552376">
        <w:rPr>
          <w:rFonts w:ascii="Arial" w:hAnsi="Arial" w:cs="Arial"/>
        </w:rPr>
        <w:t>)</w:t>
      </w:r>
      <w:r w:rsidRPr="00552376">
        <w:rPr>
          <w:rFonts w:ascii="Arial" w:hAnsi="Arial" w:cs="Arial"/>
        </w:rPr>
        <w:t xml:space="preserve">. Coordination mechanisms in care provider groups: Relational coordination as a mediator and input uncertainty as a moderator. Industrial and Labor Relations Review, 55(3), pp. 416–438. </w:t>
      </w:r>
      <w:hyperlink r:id="rId34" w:history="1">
        <w:r w:rsidRPr="00552376">
          <w:rPr>
            <w:rStyle w:val="Hyperlink"/>
            <w:rFonts w:ascii="Arial" w:hAnsi="Arial" w:cs="Arial"/>
          </w:rPr>
          <w:t>https://doi.org/10.1287/mnsc.48.11.1408.268</w:t>
        </w:r>
      </w:hyperlink>
      <w:r w:rsidRPr="00552376">
        <w:rPr>
          <w:rFonts w:ascii="Arial" w:hAnsi="Arial" w:cs="Arial"/>
        </w:rPr>
        <w:t xml:space="preserve"> </w:t>
      </w:r>
    </w:p>
    <w:p w14:paraId="72D243BA" w14:textId="25124549" w:rsidR="00B83FA0" w:rsidRPr="00552376" w:rsidRDefault="00B83FA0" w:rsidP="00762F6D">
      <w:pPr>
        <w:spacing w:line="360" w:lineRule="auto"/>
        <w:ind w:left="360"/>
        <w:rPr>
          <w:rFonts w:ascii="Arial" w:hAnsi="Arial" w:cs="Arial"/>
        </w:rPr>
      </w:pPr>
      <w:r w:rsidRPr="00552376">
        <w:rPr>
          <w:rFonts w:ascii="Arial" w:hAnsi="Arial" w:cs="Arial"/>
        </w:rPr>
        <w:t xml:space="preserve">Gold, R.L., </w:t>
      </w:r>
      <w:r w:rsidR="0023095C" w:rsidRPr="00552376">
        <w:rPr>
          <w:rFonts w:ascii="Arial" w:hAnsi="Arial" w:cs="Arial"/>
        </w:rPr>
        <w:t>(</w:t>
      </w:r>
      <w:r w:rsidRPr="00552376">
        <w:rPr>
          <w:rFonts w:ascii="Arial" w:hAnsi="Arial" w:cs="Arial"/>
        </w:rPr>
        <w:t>2017</w:t>
      </w:r>
      <w:r w:rsidR="0023095C" w:rsidRPr="00552376">
        <w:rPr>
          <w:rFonts w:ascii="Arial" w:hAnsi="Arial" w:cs="Arial"/>
        </w:rPr>
        <w:t>)</w:t>
      </w:r>
      <w:r w:rsidRPr="00552376">
        <w:rPr>
          <w:rFonts w:ascii="Arial" w:hAnsi="Arial" w:cs="Arial"/>
        </w:rPr>
        <w:t>. Roles in sociological field observations. In </w:t>
      </w:r>
      <w:r w:rsidRPr="00552376">
        <w:rPr>
          <w:rFonts w:ascii="Arial" w:hAnsi="Arial" w:cs="Arial"/>
          <w:i/>
          <w:iCs/>
        </w:rPr>
        <w:t>Sociological methods</w:t>
      </w:r>
      <w:r w:rsidRPr="00552376">
        <w:rPr>
          <w:rFonts w:ascii="Arial" w:hAnsi="Arial" w:cs="Arial"/>
        </w:rPr>
        <w:t> (pp. 363-380). Routledge.</w:t>
      </w:r>
    </w:p>
    <w:p w14:paraId="077D20AC" w14:textId="0BCDE393" w:rsidR="00B83FA0" w:rsidRPr="00552376" w:rsidRDefault="00B83FA0" w:rsidP="00762F6D">
      <w:pPr>
        <w:spacing w:line="360" w:lineRule="auto"/>
        <w:ind w:left="360"/>
        <w:rPr>
          <w:rFonts w:ascii="Arial" w:hAnsi="Arial" w:cs="Arial"/>
        </w:rPr>
      </w:pPr>
      <w:r w:rsidRPr="00552376">
        <w:rPr>
          <w:rFonts w:ascii="Arial" w:hAnsi="Arial" w:cs="Arial"/>
        </w:rPr>
        <w:t xml:space="preserve">Gomes, T. and Blake, A., </w:t>
      </w:r>
      <w:r w:rsidR="0023095C" w:rsidRPr="00552376">
        <w:rPr>
          <w:rFonts w:ascii="Arial" w:hAnsi="Arial" w:cs="Arial"/>
        </w:rPr>
        <w:t>(</w:t>
      </w:r>
      <w:r w:rsidRPr="00552376">
        <w:rPr>
          <w:rFonts w:ascii="Arial" w:hAnsi="Arial" w:cs="Arial"/>
        </w:rPr>
        <w:t>2020</w:t>
      </w:r>
      <w:r w:rsidR="0023095C" w:rsidRPr="00552376">
        <w:rPr>
          <w:rFonts w:ascii="Arial" w:hAnsi="Arial" w:cs="Arial"/>
        </w:rPr>
        <w:t>)</w:t>
      </w:r>
      <w:r w:rsidRPr="00552376">
        <w:rPr>
          <w:rFonts w:ascii="Arial" w:hAnsi="Arial" w:cs="Arial"/>
        </w:rPr>
        <w:t xml:space="preserve">. Tourism as a driver for promoting gender equality? A case study of participation of women in the tourism labour market in Cox's Bazar, Bangladesh. </w:t>
      </w:r>
      <w:hyperlink r:id="rId35" w:history="1">
        <w:r w:rsidRPr="00552376">
          <w:rPr>
            <w:rStyle w:val="Hyperlink"/>
            <w:rFonts w:ascii="Arial" w:hAnsi="Arial" w:cs="Arial"/>
          </w:rPr>
          <w:t>https://www.researchgate.net/profile/Thomas-Gomes</w:t>
        </w:r>
      </w:hyperlink>
      <w:r w:rsidRPr="00552376">
        <w:rPr>
          <w:rFonts w:ascii="Arial" w:hAnsi="Arial" w:cs="Arial"/>
        </w:rPr>
        <w:t xml:space="preserve"> </w:t>
      </w:r>
    </w:p>
    <w:p w14:paraId="665B21C0" w14:textId="201393E6" w:rsidR="00B83FA0" w:rsidRPr="00552376" w:rsidRDefault="00B83FA0" w:rsidP="00762F6D">
      <w:pPr>
        <w:spacing w:line="360" w:lineRule="auto"/>
        <w:ind w:left="360"/>
        <w:rPr>
          <w:rFonts w:ascii="Arial" w:hAnsi="Arial" w:cs="Arial"/>
        </w:rPr>
      </w:pPr>
      <w:r w:rsidRPr="00552376">
        <w:rPr>
          <w:rFonts w:ascii="Arial" w:hAnsi="Arial" w:cs="Arial"/>
        </w:rPr>
        <w:t xml:space="preserve">Guillet, B., Pavesi, A., Hsu, C. and Weber, K., </w:t>
      </w:r>
      <w:r w:rsidR="0066677B" w:rsidRPr="00552376">
        <w:rPr>
          <w:rFonts w:ascii="Arial" w:hAnsi="Arial" w:cs="Arial"/>
        </w:rPr>
        <w:t>(</w:t>
      </w:r>
      <w:r w:rsidRPr="00552376">
        <w:rPr>
          <w:rFonts w:ascii="Arial" w:hAnsi="Arial" w:cs="Arial"/>
        </w:rPr>
        <w:t>2019</w:t>
      </w:r>
      <w:r w:rsidR="0066677B" w:rsidRPr="00552376">
        <w:rPr>
          <w:rFonts w:ascii="Arial" w:hAnsi="Arial" w:cs="Arial"/>
        </w:rPr>
        <w:t>)</w:t>
      </w:r>
      <w:r w:rsidRPr="00552376">
        <w:rPr>
          <w:rFonts w:ascii="Arial" w:hAnsi="Arial" w:cs="Arial"/>
        </w:rPr>
        <w:t>. Is there such a thing as feminine leadership? Being a leader and not a man in the hospitality industry. </w:t>
      </w:r>
      <w:r w:rsidRPr="00552376">
        <w:rPr>
          <w:rFonts w:ascii="Arial" w:hAnsi="Arial" w:cs="Arial"/>
          <w:i/>
          <w:iCs/>
        </w:rPr>
        <w:t>International Journal of Contemporary Hospitality Management</w:t>
      </w:r>
      <w:r w:rsidRPr="00552376">
        <w:rPr>
          <w:rFonts w:ascii="Arial" w:hAnsi="Arial" w:cs="Arial"/>
        </w:rPr>
        <w:t xml:space="preserve">. </w:t>
      </w:r>
      <w:hyperlink r:id="rId36" w:history="1">
        <w:r w:rsidRPr="00552376">
          <w:rPr>
            <w:rStyle w:val="Hyperlink"/>
            <w:rFonts w:ascii="Arial" w:hAnsi="Arial" w:cs="Arial"/>
          </w:rPr>
          <w:t>https://doi.org/10.1108/ijchm-06-2018-0486</w:t>
        </w:r>
      </w:hyperlink>
      <w:r w:rsidRPr="00552376">
        <w:rPr>
          <w:rFonts w:ascii="Arial" w:hAnsi="Arial" w:cs="Arial"/>
        </w:rPr>
        <w:t xml:space="preserve">. </w:t>
      </w:r>
    </w:p>
    <w:p w14:paraId="512AB697" w14:textId="4E74AC2D" w:rsidR="00B83FA0" w:rsidRPr="00552376" w:rsidRDefault="00B83FA0" w:rsidP="00762F6D">
      <w:pPr>
        <w:spacing w:line="360" w:lineRule="auto"/>
        <w:ind w:left="360"/>
        <w:rPr>
          <w:rFonts w:ascii="Arial" w:hAnsi="Arial" w:cs="Arial"/>
        </w:rPr>
      </w:pPr>
      <w:r w:rsidRPr="00552376">
        <w:rPr>
          <w:rFonts w:ascii="Arial" w:hAnsi="Arial" w:cs="Arial"/>
        </w:rPr>
        <w:t xml:space="preserve">Hinkin, T. and Tracey, J., </w:t>
      </w:r>
      <w:r w:rsidR="0066677B" w:rsidRPr="00552376">
        <w:rPr>
          <w:rFonts w:ascii="Arial" w:hAnsi="Arial" w:cs="Arial"/>
        </w:rPr>
        <w:t>(</w:t>
      </w:r>
      <w:r w:rsidRPr="00552376">
        <w:rPr>
          <w:rFonts w:ascii="Arial" w:hAnsi="Arial" w:cs="Arial"/>
        </w:rPr>
        <w:t>1994</w:t>
      </w:r>
      <w:r w:rsidR="0066677B" w:rsidRPr="00552376">
        <w:rPr>
          <w:rFonts w:ascii="Arial" w:hAnsi="Arial" w:cs="Arial"/>
        </w:rPr>
        <w:t>)</w:t>
      </w:r>
      <w:r w:rsidRPr="00552376">
        <w:rPr>
          <w:rFonts w:ascii="Arial" w:hAnsi="Arial" w:cs="Arial"/>
        </w:rPr>
        <w:t>. Transformational Leadership in the Hospitality Industry. </w:t>
      </w:r>
      <w:r w:rsidRPr="00552376">
        <w:rPr>
          <w:rFonts w:ascii="Arial" w:hAnsi="Arial" w:cs="Arial"/>
          <w:i/>
          <w:iCs/>
        </w:rPr>
        <w:t>Journal of Hospitality &amp; Tourism Research</w:t>
      </w:r>
      <w:r w:rsidRPr="00552376">
        <w:rPr>
          <w:rFonts w:ascii="Arial" w:hAnsi="Arial" w:cs="Arial"/>
        </w:rPr>
        <w:t xml:space="preserve">, 18, pp. 49 - 63. </w:t>
      </w:r>
      <w:hyperlink r:id="rId37" w:history="1">
        <w:r w:rsidRPr="00552376">
          <w:rPr>
            <w:rStyle w:val="Hyperlink"/>
            <w:rFonts w:ascii="Arial" w:hAnsi="Arial" w:cs="Arial"/>
          </w:rPr>
          <w:t>https://doi.org/10.1177/109634809401800105</w:t>
        </w:r>
      </w:hyperlink>
      <w:r w:rsidRPr="00552376">
        <w:rPr>
          <w:rFonts w:ascii="Arial" w:hAnsi="Arial" w:cs="Arial"/>
        </w:rPr>
        <w:t xml:space="preserve">. </w:t>
      </w:r>
    </w:p>
    <w:p w14:paraId="6EAB91A6" w14:textId="6CBAABB1" w:rsidR="00B83FA0" w:rsidRPr="00552376" w:rsidRDefault="00B83FA0" w:rsidP="00762F6D">
      <w:pPr>
        <w:spacing w:line="360" w:lineRule="auto"/>
        <w:ind w:left="360"/>
        <w:rPr>
          <w:rFonts w:ascii="Arial" w:hAnsi="Arial" w:cs="Arial"/>
          <w:lang w:val="fr-FR"/>
        </w:rPr>
      </w:pPr>
      <w:r w:rsidRPr="00552376">
        <w:rPr>
          <w:rFonts w:ascii="Arial" w:hAnsi="Arial" w:cs="Arial"/>
        </w:rPr>
        <w:t xml:space="preserve">Hoffer Gittell, J., </w:t>
      </w:r>
      <w:r w:rsidR="0066677B" w:rsidRPr="00552376">
        <w:rPr>
          <w:rFonts w:ascii="Arial" w:hAnsi="Arial" w:cs="Arial"/>
        </w:rPr>
        <w:t>(</w:t>
      </w:r>
      <w:r w:rsidRPr="00552376">
        <w:rPr>
          <w:rFonts w:ascii="Arial" w:hAnsi="Arial" w:cs="Arial"/>
        </w:rPr>
        <w:t>2002</w:t>
      </w:r>
      <w:r w:rsidR="0066677B" w:rsidRPr="00552376">
        <w:rPr>
          <w:rFonts w:ascii="Arial" w:hAnsi="Arial" w:cs="Arial"/>
        </w:rPr>
        <w:t>)</w:t>
      </w:r>
      <w:r w:rsidRPr="00552376">
        <w:rPr>
          <w:rFonts w:ascii="Arial" w:hAnsi="Arial" w:cs="Arial"/>
        </w:rPr>
        <w:t>. Coordinating mechanisms in care provider groups: Relational coordination as a mediator and input uncertainty as a moderator of performance effects. </w:t>
      </w:r>
      <w:r w:rsidRPr="00552376">
        <w:rPr>
          <w:rFonts w:ascii="Arial" w:hAnsi="Arial" w:cs="Arial"/>
          <w:i/>
          <w:iCs/>
          <w:lang w:val="fr-FR"/>
        </w:rPr>
        <w:t>Management science</w:t>
      </w:r>
      <w:r w:rsidRPr="00552376">
        <w:rPr>
          <w:rFonts w:ascii="Arial" w:hAnsi="Arial" w:cs="Arial"/>
          <w:lang w:val="fr-FR"/>
        </w:rPr>
        <w:t>, </w:t>
      </w:r>
      <w:r w:rsidRPr="00552376">
        <w:rPr>
          <w:rFonts w:ascii="Arial" w:hAnsi="Arial" w:cs="Arial"/>
          <w:i/>
          <w:iCs/>
          <w:lang w:val="fr-FR"/>
        </w:rPr>
        <w:t>48</w:t>
      </w:r>
      <w:r w:rsidRPr="00552376">
        <w:rPr>
          <w:rFonts w:ascii="Arial" w:hAnsi="Arial" w:cs="Arial"/>
          <w:lang w:val="fr-FR"/>
        </w:rPr>
        <w:t xml:space="preserve">(11), pp.1408-1426.  </w:t>
      </w:r>
      <w:hyperlink r:id="rId38" w:history="1">
        <w:r w:rsidRPr="00552376">
          <w:rPr>
            <w:rStyle w:val="Hyperlink"/>
            <w:rFonts w:ascii="Arial" w:hAnsi="Arial" w:cs="Arial"/>
            <w:lang w:val="fr-FR"/>
          </w:rPr>
          <w:t>https://aepsic.org/resources/Measurements/Coordinating%20Mechanisms.pdf</w:t>
        </w:r>
      </w:hyperlink>
      <w:r w:rsidRPr="00552376">
        <w:rPr>
          <w:rFonts w:ascii="Arial" w:hAnsi="Arial" w:cs="Arial"/>
          <w:lang w:val="fr-FR"/>
        </w:rPr>
        <w:t xml:space="preserve"> </w:t>
      </w:r>
    </w:p>
    <w:p w14:paraId="46FF827E" w14:textId="15B14B58" w:rsidR="00B83FA0" w:rsidRPr="00552376" w:rsidRDefault="00B83FA0" w:rsidP="00762F6D">
      <w:pPr>
        <w:spacing w:line="360" w:lineRule="auto"/>
        <w:ind w:left="360"/>
        <w:rPr>
          <w:rFonts w:ascii="Arial" w:hAnsi="Arial" w:cs="Arial"/>
        </w:rPr>
      </w:pPr>
      <w:r w:rsidRPr="00552376">
        <w:rPr>
          <w:rFonts w:ascii="Arial" w:hAnsi="Arial" w:cs="Arial"/>
        </w:rPr>
        <w:t xml:space="preserve">Hossny, M., </w:t>
      </w:r>
      <w:r w:rsidR="0066677B" w:rsidRPr="00552376">
        <w:rPr>
          <w:rFonts w:ascii="Arial" w:hAnsi="Arial" w:cs="Arial"/>
        </w:rPr>
        <w:t>(</w:t>
      </w:r>
      <w:r w:rsidRPr="00552376">
        <w:rPr>
          <w:rFonts w:ascii="Arial" w:hAnsi="Arial" w:cs="Arial"/>
        </w:rPr>
        <w:t>2019</w:t>
      </w:r>
      <w:r w:rsidR="0066677B" w:rsidRPr="00552376">
        <w:rPr>
          <w:rFonts w:ascii="Arial" w:hAnsi="Arial" w:cs="Arial"/>
        </w:rPr>
        <w:t>)</w:t>
      </w:r>
      <w:r w:rsidRPr="00552376">
        <w:rPr>
          <w:rFonts w:ascii="Arial" w:hAnsi="Arial" w:cs="Arial"/>
        </w:rPr>
        <w:t>. Impact of Leadership Style on Employee Job Satisfaction in the Hospitality Industry. </w:t>
      </w:r>
      <w:r w:rsidRPr="00552376">
        <w:rPr>
          <w:rFonts w:ascii="Arial" w:hAnsi="Arial" w:cs="Arial"/>
          <w:i/>
          <w:iCs/>
        </w:rPr>
        <w:t>International Journal of Heritage, Tourism and Hospitality</w:t>
      </w:r>
      <w:r w:rsidRPr="00552376">
        <w:rPr>
          <w:rFonts w:ascii="Arial" w:hAnsi="Arial" w:cs="Arial"/>
        </w:rPr>
        <w:t xml:space="preserve">. </w:t>
      </w:r>
      <w:hyperlink r:id="rId39" w:history="1">
        <w:r w:rsidRPr="00552376">
          <w:rPr>
            <w:rStyle w:val="Hyperlink"/>
            <w:rFonts w:ascii="Arial" w:hAnsi="Arial" w:cs="Arial"/>
          </w:rPr>
          <w:t>https://doi.org/10.21608/ijhth.2019.35101</w:t>
        </w:r>
      </w:hyperlink>
      <w:r w:rsidRPr="00552376">
        <w:rPr>
          <w:rFonts w:ascii="Arial" w:hAnsi="Arial" w:cs="Arial"/>
        </w:rPr>
        <w:t xml:space="preserve">. </w:t>
      </w:r>
    </w:p>
    <w:p w14:paraId="533DF8E9" w14:textId="2D9657E8" w:rsidR="00B83FA0" w:rsidRPr="00552376" w:rsidRDefault="00B83FA0" w:rsidP="00762F6D">
      <w:pPr>
        <w:spacing w:line="360" w:lineRule="auto"/>
        <w:ind w:left="360"/>
        <w:rPr>
          <w:rFonts w:ascii="Arial" w:hAnsi="Arial" w:cs="Arial"/>
        </w:rPr>
      </w:pPr>
      <w:r w:rsidRPr="00552376">
        <w:rPr>
          <w:rFonts w:ascii="Arial" w:hAnsi="Arial" w:cs="Arial"/>
        </w:rPr>
        <w:t xml:space="preserve">Huertas-Valdivia, I., Llorens-Montes, F.J. and Ruiz-Moreno, A., </w:t>
      </w:r>
      <w:r w:rsidR="0066677B" w:rsidRPr="00552376">
        <w:rPr>
          <w:rFonts w:ascii="Arial" w:hAnsi="Arial" w:cs="Arial"/>
        </w:rPr>
        <w:t>(</w:t>
      </w:r>
      <w:r w:rsidRPr="00552376">
        <w:rPr>
          <w:rFonts w:ascii="Arial" w:hAnsi="Arial" w:cs="Arial"/>
        </w:rPr>
        <w:t>2018</w:t>
      </w:r>
      <w:r w:rsidR="0066677B" w:rsidRPr="00552376">
        <w:rPr>
          <w:rFonts w:ascii="Arial" w:hAnsi="Arial" w:cs="Arial"/>
        </w:rPr>
        <w:t>)</w:t>
      </w:r>
      <w:r w:rsidRPr="00552376">
        <w:rPr>
          <w:rFonts w:ascii="Arial" w:hAnsi="Arial" w:cs="Arial"/>
        </w:rPr>
        <w:t>. Achieving engagement among hospitality employees: A serial mediation model. </w:t>
      </w:r>
      <w:r w:rsidRPr="00552376">
        <w:rPr>
          <w:rFonts w:ascii="Arial" w:hAnsi="Arial" w:cs="Arial"/>
          <w:i/>
          <w:iCs/>
        </w:rPr>
        <w:t>International Journal of Contemporary Hospitality Management</w:t>
      </w:r>
      <w:r w:rsidRPr="00552376">
        <w:rPr>
          <w:rFonts w:ascii="Arial" w:hAnsi="Arial" w:cs="Arial"/>
        </w:rPr>
        <w:t>, </w:t>
      </w:r>
      <w:r w:rsidRPr="00552376">
        <w:rPr>
          <w:rFonts w:ascii="Arial" w:hAnsi="Arial" w:cs="Arial"/>
          <w:i/>
          <w:iCs/>
        </w:rPr>
        <w:t>30</w:t>
      </w:r>
      <w:r w:rsidRPr="00552376">
        <w:rPr>
          <w:rFonts w:ascii="Arial" w:hAnsi="Arial" w:cs="Arial"/>
        </w:rPr>
        <w:t xml:space="preserve">(1), pp.217-241. </w:t>
      </w:r>
      <w:hyperlink r:id="rId40" w:history="1">
        <w:r w:rsidRPr="00552376">
          <w:rPr>
            <w:rStyle w:val="Hyperlink"/>
            <w:rFonts w:ascii="Arial" w:hAnsi="Arial" w:cs="Arial"/>
          </w:rPr>
          <w:t>https://doi.org/10.1108/IJCHM-09-2016-0538</w:t>
        </w:r>
      </w:hyperlink>
      <w:r w:rsidRPr="00552376">
        <w:rPr>
          <w:rFonts w:ascii="Arial" w:hAnsi="Arial" w:cs="Arial"/>
        </w:rPr>
        <w:t xml:space="preserve"> </w:t>
      </w:r>
    </w:p>
    <w:p w14:paraId="0B82D405" w14:textId="3B6B3639" w:rsidR="00B83FA0" w:rsidRPr="00552376" w:rsidRDefault="00B83FA0" w:rsidP="00762F6D">
      <w:pPr>
        <w:spacing w:line="360" w:lineRule="auto"/>
        <w:ind w:left="360"/>
        <w:rPr>
          <w:rFonts w:ascii="Arial" w:hAnsi="Arial" w:cs="Arial"/>
        </w:rPr>
      </w:pPr>
      <w:r w:rsidRPr="00552376">
        <w:rPr>
          <w:rFonts w:ascii="Arial" w:hAnsi="Arial" w:cs="Arial"/>
        </w:rPr>
        <w:lastRenderedPageBreak/>
        <w:t xml:space="preserve">Hughes, J.C. and Rog, E., </w:t>
      </w:r>
      <w:r w:rsidR="0066677B" w:rsidRPr="00552376">
        <w:rPr>
          <w:rFonts w:ascii="Arial" w:hAnsi="Arial" w:cs="Arial"/>
        </w:rPr>
        <w:t>(</w:t>
      </w:r>
      <w:r w:rsidRPr="00552376">
        <w:rPr>
          <w:rFonts w:ascii="Arial" w:hAnsi="Arial" w:cs="Arial"/>
        </w:rPr>
        <w:t>2008</w:t>
      </w:r>
      <w:r w:rsidR="0066677B" w:rsidRPr="00552376">
        <w:rPr>
          <w:rFonts w:ascii="Arial" w:hAnsi="Arial" w:cs="Arial"/>
        </w:rPr>
        <w:t>)</w:t>
      </w:r>
      <w:r w:rsidRPr="00552376">
        <w:rPr>
          <w:rFonts w:ascii="Arial" w:hAnsi="Arial" w:cs="Arial"/>
        </w:rPr>
        <w:t>. Talent management: A strategy for improving employee recruitment, retention and engagement within hospitality organizations. </w:t>
      </w:r>
      <w:r w:rsidRPr="00552376">
        <w:rPr>
          <w:rFonts w:ascii="Arial" w:hAnsi="Arial" w:cs="Arial"/>
          <w:i/>
          <w:iCs/>
        </w:rPr>
        <w:t>International journal of contemporary hospitality management</w:t>
      </w:r>
      <w:r w:rsidRPr="00552376">
        <w:rPr>
          <w:rFonts w:ascii="Arial" w:hAnsi="Arial" w:cs="Arial"/>
        </w:rPr>
        <w:t>, </w:t>
      </w:r>
      <w:r w:rsidRPr="00552376">
        <w:rPr>
          <w:rFonts w:ascii="Arial" w:hAnsi="Arial" w:cs="Arial"/>
          <w:i/>
          <w:iCs/>
        </w:rPr>
        <w:t>20</w:t>
      </w:r>
      <w:r w:rsidRPr="00552376">
        <w:rPr>
          <w:rFonts w:ascii="Arial" w:hAnsi="Arial" w:cs="Arial"/>
        </w:rPr>
        <w:t xml:space="preserve">(7), pp.743-757. </w:t>
      </w:r>
      <w:hyperlink r:id="rId41" w:history="1">
        <w:r w:rsidRPr="00552376">
          <w:rPr>
            <w:rStyle w:val="Hyperlink"/>
            <w:rFonts w:ascii="Arial" w:hAnsi="Arial" w:cs="Arial"/>
          </w:rPr>
          <w:t>https://doi.org/10.1108/09596110810899086</w:t>
        </w:r>
      </w:hyperlink>
      <w:r w:rsidRPr="00552376">
        <w:rPr>
          <w:rFonts w:ascii="Arial" w:hAnsi="Arial" w:cs="Arial"/>
        </w:rPr>
        <w:t xml:space="preserve"> </w:t>
      </w:r>
    </w:p>
    <w:p w14:paraId="350C8155" w14:textId="74D4A7AE" w:rsidR="00B83FA0" w:rsidRPr="00552376" w:rsidRDefault="00B83FA0" w:rsidP="00762F6D">
      <w:pPr>
        <w:spacing w:line="360" w:lineRule="auto"/>
        <w:ind w:left="360"/>
        <w:rPr>
          <w:rFonts w:ascii="Arial" w:hAnsi="Arial" w:cs="Arial"/>
        </w:rPr>
      </w:pPr>
      <w:r w:rsidRPr="00552376">
        <w:rPr>
          <w:rFonts w:ascii="Arial" w:hAnsi="Arial" w:cs="Arial"/>
        </w:rPr>
        <w:t xml:space="preserve">Ispas, A., </w:t>
      </w:r>
      <w:r w:rsidR="00310090" w:rsidRPr="00552376">
        <w:rPr>
          <w:rFonts w:ascii="Arial" w:hAnsi="Arial" w:cs="Arial"/>
        </w:rPr>
        <w:t>(</w:t>
      </w:r>
      <w:r w:rsidRPr="00552376">
        <w:rPr>
          <w:rFonts w:ascii="Arial" w:hAnsi="Arial" w:cs="Arial"/>
        </w:rPr>
        <w:t>2010</w:t>
      </w:r>
      <w:r w:rsidR="00310090" w:rsidRPr="00552376">
        <w:rPr>
          <w:rFonts w:ascii="Arial" w:hAnsi="Arial" w:cs="Arial"/>
        </w:rPr>
        <w:t>)</w:t>
      </w:r>
      <w:r w:rsidRPr="00552376">
        <w:rPr>
          <w:rFonts w:ascii="Arial" w:hAnsi="Arial" w:cs="Arial"/>
        </w:rPr>
        <w:t>. General Considerations on Leadership in the Hospitality Industry. Conceptual Analysis and Practical Studies. </w:t>
      </w:r>
      <w:r w:rsidRPr="00552376">
        <w:rPr>
          <w:rFonts w:ascii="Arial" w:hAnsi="Arial" w:cs="Arial"/>
          <w:i/>
          <w:iCs/>
        </w:rPr>
        <w:t>Timisoara Journal of Economics</w:t>
      </w:r>
      <w:r w:rsidRPr="00552376">
        <w:rPr>
          <w:rFonts w:ascii="Arial" w:hAnsi="Arial" w:cs="Arial"/>
        </w:rPr>
        <w:t>, </w:t>
      </w:r>
      <w:r w:rsidRPr="00552376">
        <w:rPr>
          <w:rFonts w:ascii="Arial" w:hAnsi="Arial" w:cs="Arial"/>
          <w:i/>
          <w:iCs/>
        </w:rPr>
        <w:t>3</w:t>
      </w:r>
      <w:r w:rsidRPr="00552376">
        <w:rPr>
          <w:rFonts w:ascii="Arial" w:hAnsi="Arial" w:cs="Arial"/>
        </w:rPr>
        <w:t xml:space="preserve">(4 (12)), pp.213-220. </w:t>
      </w:r>
      <w:hyperlink r:id="rId42" w:history="1">
        <w:r w:rsidRPr="00552376">
          <w:rPr>
            <w:rStyle w:val="Hyperlink"/>
            <w:rFonts w:ascii="Arial" w:hAnsi="Arial" w:cs="Arial"/>
          </w:rPr>
          <w:t>https://www.researchgate.net/publication/227653837</w:t>
        </w:r>
      </w:hyperlink>
      <w:r w:rsidRPr="00552376">
        <w:rPr>
          <w:rFonts w:ascii="Arial" w:hAnsi="Arial" w:cs="Arial"/>
        </w:rPr>
        <w:t xml:space="preserve"> </w:t>
      </w:r>
    </w:p>
    <w:p w14:paraId="3BCA7897" w14:textId="18CA359A" w:rsidR="00B83FA0" w:rsidRPr="00552376" w:rsidRDefault="00B83FA0" w:rsidP="00762F6D">
      <w:pPr>
        <w:spacing w:line="360" w:lineRule="auto"/>
        <w:ind w:left="360"/>
        <w:rPr>
          <w:rFonts w:ascii="Arial" w:hAnsi="Arial" w:cs="Arial"/>
        </w:rPr>
      </w:pPr>
      <w:r w:rsidRPr="00552376">
        <w:rPr>
          <w:rFonts w:ascii="Arial" w:hAnsi="Arial" w:cs="Arial"/>
        </w:rPr>
        <w:t xml:space="preserve">Jadnanansing, M., Nierop, T. and Dipietro, R., </w:t>
      </w:r>
      <w:r w:rsidR="00310090" w:rsidRPr="00552376">
        <w:rPr>
          <w:rFonts w:ascii="Arial" w:hAnsi="Arial" w:cs="Arial"/>
        </w:rPr>
        <w:t>(</w:t>
      </w:r>
      <w:r w:rsidRPr="00552376">
        <w:rPr>
          <w:rFonts w:ascii="Arial" w:hAnsi="Arial" w:cs="Arial"/>
        </w:rPr>
        <w:t>2021</w:t>
      </w:r>
      <w:r w:rsidR="00310090" w:rsidRPr="00552376">
        <w:rPr>
          <w:rFonts w:ascii="Arial" w:hAnsi="Arial" w:cs="Arial"/>
        </w:rPr>
        <w:t>)</w:t>
      </w:r>
      <w:r w:rsidRPr="00552376">
        <w:rPr>
          <w:rFonts w:ascii="Arial" w:hAnsi="Arial" w:cs="Arial"/>
        </w:rPr>
        <w:t>. Women in hospitality leadership: barriers and best practices in Aruba. </w:t>
      </w:r>
      <w:r w:rsidRPr="00552376">
        <w:rPr>
          <w:rFonts w:ascii="Arial" w:hAnsi="Arial" w:cs="Arial"/>
          <w:i/>
          <w:iCs/>
        </w:rPr>
        <w:t>Journal of Human Resources in Hospitality &amp; Tourism</w:t>
      </w:r>
      <w:r w:rsidRPr="00552376">
        <w:rPr>
          <w:rFonts w:ascii="Arial" w:hAnsi="Arial" w:cs="Arial"/>
        </w:rPr>
        <w:t xml:space="preserve">, 20, pp. 174 - 197. </w:t>
      </w:r>
      <w:hyperlink r:id="rId43" w:history="1">
        <w:r w:rsidRPr="00552376">
          <w:rPr>
            <w:rStyle w:val="Hyperlink"/>
            <w:rFonts w:ascii="Arial" w:hAnsi="Arial" w:cs="Arial"/>
          </w:rPr>
          <w:t>https://doi.org/10.1080/15332845.2021.1872235</w:t>
        </w:r>
      </w:hyperlink>
      <w:r w:rsidRPr="00552376">
        <w:rPr>
          <w:rFonts w:ascii="Arial" w:hAnsi="Arial" w:cs="Arial"/>
        </w:rPr>
        <w:t xml:space="preserve">. </w:t>
      </w:r>
    </w:p>
    <w:p w14:paraId="6181031C" w14:textId="134874DD" w:rsidR="00B83FA0" w:rsidRPr="00552376" w:rsidRDefault="00B83FA0" w:rsidP="00762F6D">
      <w:pPr>
        <w:spacing w:line="360" w:lineRule="auto"/>
        <w:ind w:left="360"/>
        <w:rPr>
          <w:rFonts w:ascii="Arial" w:hAnsi="Arial" w:cs="Arial"/>
        </w:rPr>
      </w:pPr>
      <w:r w:rsidRPr="00552376">
        <w:rPr>
          <w:rFonts w:ascii="Arial" w:hAnsi="Arial" w:cs="Arial"/>
        </w:rPr>
        <w:t xml:space="preserve">Jokinen, S., </w:t>
      </w:r>
      <w:r w:rsidR="00310090" w:rsidRPr="00552376">
        <w:rPr>
          <w:rFonts w:ascii="Arial" w:hAnsi="Arial" w:cs="Arial"/>
        </w:rPr>
        <w:t>(</w:t>
      </w:r>
      <w:r w:rsidRPr="00552376">
        <w:rPr>
          <w:rFonts w:ascii="Arial" w:hAnsi="Arial" w:cs="Arial"/>
        </w:rPr>
        <w:t>2015</w:t>
      </w:r>
      <w:r w:rsidR="00310090" w:rsidRPr="00552376">
        <w:rPr>
          <w:rFonts w:ascii="Arial" w:hAnsi="Arial" w:cs="Arial"/>
        </w:rPr>
        <w:t>)</w:t>
      </w:r>
      <w:r w:rsidRPr="00552376">
        <w:rPr>
          <w:rFonts w:ascii="Arial" w:hAnsi="Arial" w:cs="Arial"/>
        </w:rPr>
        <w:t xml:space="preserve">. Employees’ perceptions of gender equality in Scandic Hotels. </w:t>
      </w:r>
      <w:hyperlink r:id="rId44" w:history="1">
        <w:r w:rsidRPr="00552376">
          <w:rPr>
            <w:rStyle w:val="Hyperlink"/>
            <w:rFonts w:ascii="Arial" w:hAnsi="Arial" w:cs="Arial"/>
          </w:rPr>
          <w:t>https://www.theseus.fi/bitstream/handle/10024/97762/Jokinen_Silva.pdf?sequence=1</w:t>
        </w:r>
      </w:hyperlink>
      <w:r w:rsidRPr="00552376">
        <w:rPr>
          <w:rFonts w:ascii="Arial" w:hAnsi="Arial" w:cs="Arial"/>
        </w:rPr>
        <w:t xml:space="preserve"> </w:t>
      </w:r>
    </w:p>
    <w:p w14:paraId="2D61233D" w14:textId="774D5523" w:rsidR="00B83FA0" w:rsidRPr="00552376" w:rsidRDefault="00B83FA0" w:rsidP="00762F6D">
      <w:pPr>
        <w:spacing w:line="360" w:lineRule="auto"/>
        <w:ind w:left="360"/>
        <w:rPr>
          <w:rFonts w:ascii="Arial" w:hAnsi="Arial" w:cs="Arial"/>
        </w:rPr>
      </w:pPr>
      <w:r w:rsidRPr="00552376">
        <w:rPr>
          <w:rFonts w:ascii="Arial" w:hAnsi="Arial" w:cs="Arial"/>
        </w:rPr>
        <w:t xml:space="preserve">Knutson, B.J. and Cichy, R.F., </w:t>
      </w:r>
      <w:r w:rsidR="00310090" w:rsidRPr="00552376">
        <w:rPr>
          <w:rFonts w:ascii="Arial" w:hAnsi="Arial" w:cs="Arial"/>
        </w:rPr>
        <w:t>(</w:t>
      </w:r>
      <w:r w:rsidRPr="00552376">
        <w:rPr>
          <w:rFonts w:ascii="Arial" w:hAnsi="Arial" w:cs="Arial"/>
        </w:rPr>
        <w:t>2002</w:t>
      </w:r>
      <w:r w:rsidR="00310090" w:rsidRPr="00552376">
        <w:rPr>
          <w:rFonts w:ascii="Arial" w:hAnsi="Arial" w:cs="Arial"/>
        </w:rPr>
        <w:t>)</w:t>
      </w:r>
      <w:r w:rsidRPr="00552376">
        <w:rPr>
          <w:rFonts w:ascii="Arial" w:hAnsi="Arial" w:cs="Arial"/>
        </w:rPr>
        <w:t>. Venus and leadership: women hospitality leaders. </w:t>
      </w:r>
      <w:r w:rsidRPr="00552376">
        <w:rPr>
          <w:rFonts w:ascii="Arial" w:hAnsi="Arial" w:cs="Arial"/>
          <w:i/>
          <w:iCs/>
        </w:rPr>
        <w:t>Hospitality review</w:t>
      </w:r>
      <w:r w:rsidRPr="00552376">
        <w:rPr>
          <w:rFonts w:ascii="Arial" w:hAnsi="Arial" w:cs="Arial"/>
        </w:rPr>
        <w:t>, </w:t>
      </w:r>
      <w:r w:rsidRPr="00552376">
        <w:rPr>
          <w:rFonts w:ascii="Arial" w:hAnsi="Arial" w:cs="Arial"/>
          <w:i/>
          <w:iCs/>
        </w:rPr>
        <w:t>20</w:t>
      </w:r>
      <w:r w:rsidRPr="00552376">
        <w:rPr>
          <w:rFonts w:ascii="Arial" w:hAnsi="Arial" w:cs="Arial"/>
        </w:rPr>
        <w:t xml:space="preserve">(1), p.1. </w:t>
      </w:r>
      <w:hyperlink r:id="rId45" w:history="1">
        <w:r w:rsidRPr="00552376">
          <w:rPr>
            <w:rStyle w:val="Hyperlink"/>
            <w:rFonts w:ascii="Arial" w:hAnsi="Arial" w:cs="Arial"/>
          </w:rPr>
          <w:t>https://digitalcommons.fiu.edu/cgi/viewcontent.cgi?article=1356&amp;context=hospitalityreview</w:t>
        </w:r>
      </w:hyperlink>
      <w:r w:rsidRPr="00552376">
        <w:rPr>
          <w:rFonts w:ascii="Arial" w:hAnsi="Arial" w:cs="Arial"/>
        </w:rPr>
        <w:t xml:space="preserve"> </w:t>
      </w:r>
    </w:p>
    <w:p w14:paraId="02919B61" w14:textId="03FCB28E" w:rsidR="00B83FA0" w:rsidRPr="00552376" w:rsidRDefault="00B83FA0" w:rsidP="00762F6D">
      <w:pPr>
        <w:spacing w:line="360" w:lineRule="auto"/>
        <w:ind w:left="360"/>
        <w:rPr>
          <w:rFonts w:ascii="Arial" w:hAnsi="Arial" w:cs="Arial"/>
        </w:rPr>
      </w:pPr>
      <w:r w:rsidRPr="00552376">
        <w:rPr>
          <w:rFonts w:ascii="Arial" w:hAnsi="Arial" w:cs="Arial"/>
        </w:rPr>
        <w:t>Kruja, D., Ha, H., Drishti, E. and Oelfke, T.,</w:t>
      </w:r>
      <w:r w:rsidR="00310090" w:rsidRPr="00552376">
        <w:rPr>
          <w:rFonts w:ascii="Arial" w:hAnsi="Arial" w:cs="Arial"/>
        </w:rPr>
        <w:t>(</w:t>
      </w:r>
      <w:r w:rsidRPr="00552376">
        <w:rPr>
          <w:rFonts w:ascii="Arial" w:hAnsi="Arial" w:cs="Arial"/>
        </w:rPr>
        <w:t>2016</w:t>
      </w:r>
      <w:r w:rsidR="00310090" w:rsidRPr="00552376">
        <w:rPr>
          <w:rFonts w:ascii="Arial" w:hAnsi="Arial" w:cs="Arial"/>
        </w:rPr>
        <w:t>)</w:t>
      </w:r>
      <w:r w:rsidRPr="00552376">
        <w:rPr>
          <w:rFonts w:ascii="Arial" w:hAnsi="Arial" w:cs="Arial"/>
        </w:rPr>
        <w:t>. Empowerment in the Hospitality Industry in the United States. </w:t>
      </w:r>
      <w:r w:rsidRPr="00552376">
        <w:rPr>
          <w:rFonts w:ascii="Arial" w:hAnsi="Arial" w:cs="Arial"/>
          <w:i/>
          <w:iCs/>
        </w:rPr>
        <w:t>Journal of Hospitality Marketing &amp; Management</w:t>
      </w:r>
      <w:r w:rsidRPr="00552376">
        <w:rPr>
          <w:rFonts w:ascii="Arial" w:hAnsi="Arial" w:cs="Arial"/>
        </w:rPr>
        <w:t xml:space="preserve">, 25, pp. 25 - 48. </w:t>
      </w:r>
      <w:hyperlink r:id="rId46" w:history="1">
        <w:r w:rsidRPr="00552376">
          <w:rPr>
            <w:rStyle w:val="Hyperlink"/>
            <w:rFonts w:ascii="Arial" w:hAnsi="Arial" w:cs="Arial"/>
          </w:rPr>
          <w:t>https://doi.org/10.1080/19368623.2015.976696</w:t>
        </w:r>
      </w:hyperlink>
      <w:r w:rsidRPr="00552376">
        <w:rPr>
          <w:rFonts w:ascii="Arial" w:hAnsi="Arial" w:cs="Arial"/>
        </w:rPr>
        <w:t xml:space="preserve">. </w:t>
      </w:r>
    </w:p>
    <w:p w14:paraId="27027EE7" w14:textId="32DD309D" w:rsidR="00B83FA0" w:rsidRPr="00552376" w:rsidRDefault="00B83FA0" w:rsidP="00762F6D">
      <w:pPr>
        <w:spacing w:line="360" w:lineRule="auto"/>
        <w:ind w:left="360"/>
        <w:rPr>
          <w:rFonts w:ascii="Arial" w:hAnsi="Arial" w:cs="Arial"/>
        </w:rPr>
      </w:pPr>
      <w:r w:rsidRPr="00552376">
        <w:rPr>
          <w:rFonts w:ascii="Arial" w:hAnsi="Arial" w:cs="Arial"/>
        </w:rPr>
        <w:t xml:space="preserve">Kurnikova, E., </w:t>
      </w:r>
      <w:r w:rsidR="00053264" w:rsidRPr="00552376">
        <w:rPr>
          <w:rFonts w:ascii="Arial" w:hAnsi="Arial" w:cs="Arial"/>
        </w:rPr>
        <w:t>(</w:t>
      </w:r>
      <w:r w:rsidRPr="00552376">
        <w:rPr>
          <w:rFonts w:ascii="Arial" w:hAnsi="Arial" w:cs="Arial"/>
        </w:rPr>
        <w:t>2022</w:t>
      </w:r>
      <w:r w:rsidR="00053264" w:rsidRPr="00552376">
        <w:rPr>
          <w:rFonts w:ascii="Arial" w:hAnsi="Arial" w:cs="Arial"/>
        </w:rPr>
        <w:t>)</w:t>
      </w:r>
      <w:r w:rsidRPr="00552376">
        <w:rPr>
          <w:rFonts w:ascii="Arial" w:hAnsi="Arial" w:cs="Arial"/>
        </w:rPr>
        <w:t>. Motivation of hospitality staff in the context of gender inequality. </w:t>
      </w:r>
      <w:r w:rsidRPr="00552376">
        <w:rPr>
          <w:rFonts w:ascii="Arial" w:hAnsi="Arial" w:cs="Arial"/>
          <w:i/>
          <w:iCs/>
        </w:rPr>
        <w:t>Scientific achievements of the third millennium</w:t>
      </w:r>
      <w:r w:rsidRPr="00552376">
        <w:rPr>
          <w:rFonts w:ascii="Arial" w:hAnsi="Arial" w:cs="Arial"/>
        </w:rPr>
        <w:t xml:space="preserve">. </w:t>
      </w:r>
      <w:hyperlink r:id="rId47" w:history="1">
        <w:r w:rsidRPr="00552376">
          <w:rPr>
            <w:rStyle w:val="Hyperlink"/>
            <w:rFonts w:ascii="Arial" w:hAnsi="Arial" w:cs="Arial"/>
          </w:rPr>
          <w:t>https://doi.org/10.18411/satm-02-2022-07</w:t>
        </w:r>
      </w:hyperlink>
      <w:r w:rsidRPr="00552376">
        <w:rPr>
          <w:rFonts w:ascii="Arial" w:hAnsi="Arial" w:cs="Arial"/>
        </w:rPr>
        <w:t xml:space="preserve">. </w:t>
      </w:r>
    </w:p>
    <w:p w14:paraId="25CB3345" w14:textId="67085257" w:rsidR="00B83FA0" w:rsidRPr="00552376" w:rsidRDefault="00B83FA0" w:rsidP="00762F6D">
      <w:pPr>
        <w:spacing w:line="360" w:lineRule="auto"/>
        <w:ind w:left="360"/>
        <w:rPr>
          <w:rFonts w:ascii="Arial" w:hAnsi="Arial" w:cs="Arial"/>
        </w:rPr>
      </w:pPr>
      <w:r w:rsidRPr="00552376">
        <w:rPr>
          <w:rFonts w:ascii="Arial" w:hAnsi="Arial" w:cs="Arial"/>
        </w:rPr>
        <w:t xml:space="preserve">Lashley, C., </w:t>
      </w:r>
      <w:r w:rsidR="00053264" w:rsidRPr="00552376">
        <w:rPr>
          <w:rFonts w:ascii="Arial" w:hAnsi="Arial" w:cs="Arial"/>
        </w:rPr>
        <w:t>(</w:t>
      </w:r>
      <w:r w:rsidRPr="00552376">
        <w:rPr>
          <w:rFonts w:ascii="Arial" w:hAnsi="Arial" w:cs="Arial"/>
        </w:rPr>
        <w:t>2000</w:t>
      </w:r>
      <w:r w:rsidR="00053264" w:rsidRPr="00552376">
        <w:rPr>
          <w:rFonts w:ascii="Arial" w:hAnsi="Arial" w:cs="Arial"/>
        </w:rPr>
        <w:t>)</w:t>
      </w:r>
      <w:r w:rsidRPr="00552376">
        <w:rPr>
          <w:rFonts w:ascii="Arial" w:hAnsi="Arial" w:cs="Arial"/>
        </w:rPr>
        <w:t>. Empowerment through involvement: a case study of TGI Fridays restaurants. </w:t>
      </w:r>
      <w:r w:rsidRPr="00552376">
        <w:rPr>
          <w:rFonts w:ascii="Arial" w:hAnsi="Arial" w:cs="Arial"/>
          <w:i/>
          <w:iCs/>
        </w:rPr>
        <w:t>Personnel Review</w:t>
      </w:r>
      <w:r w:rsidRPr="00552376">
        <w:rPr>
          <w:rFonts w:ascii="Arial" w:hAnsi="Arial" w:cs="Arial"/>
        </w:rPr>
        <w:t>, </w:t>
      </w:r>
      <w:r w:rsidRPr="00552376">
        <w:rPr>
          <w:rFonts w:ascii="Arial" w:hAnsi="Arial" w:cs="Arial"/>
          <w:i/>
          <w:iCs/>
        </w:rPr>
        <w:t>29</w:t>
      </w:r>
      <w:r w:rsidRPr="00552376">
        <w:rPr>
          <w:rFonts w:ascii="Arial" w:hAnsi="Arial" w:cs="Arial"/>
        </w:rPr>
        <w:t xml:space="preserve">(6), pp.791-815. </w:t>
      </w:r>
      <w:hyperlink r:id="rId48" w:history="1">
        <w:r w:rsidRPr="00552376">
          <w:rPr>
            <w:rStyle w:val="Hyperlink"/>
            <w:rFonts w:ascii="Arial" w:hAnsi="Arial" w:cs="Arial"/>
          </w:rPr>
          <w:t>https://doi.org/10.1108/00483480010297211</w:t>
        </w:r>
      </w:hyperlink>
      <w:r w:rsidRPr="00552376">
        <w:rPr>
          <w:rFonts w:ascii="Arial" w:hAnsi="Arial" w:cs="Arial"/>
        </w:rPr>
        <w:t xml:space="preserve"> </w:t>
      </w:r>
    </w:p>
    <w:p w14:paraId="7F7AB641" w14:textId="08F27EE9" w:rsidR="00B83FA0" w:rsidRPr="00552376" w:rsidRDefault="00B83FA0" w:rsidP="00762F6D">
      <w:pPr>
        <w:spacing w:line="360" w:lineRule="auto"/>
        <w:ind w:left="360"/>
        <w:rPr>
          <w:rFonts w:ascii="Arial" w:hAnsi="Arial" w:cs="Arial"/>
        </w:rPr>
      </w:pPr>
      <w:r w:rsidRPr="00552376">
        <w:rPr>
          <w:rFonts w:ascii="Arial" w:hAnsi="Arial" w:cs="Arial"/>
        </w:rPr>
        <w:t xml:space="preserve">Liao, H. and Chuang, A., </w:t>
      </w:r>
      <w:r w:rsidR="00053264" w:rsidRPr="00552376">
        <w:rPr>
          <w:rFonts w:ascii="Arial" w:hAnsi="Arial" w:cs="Arial"/>
        </w:rPr>
        <w:t>(</w:t>
      </w:r>
      <w:r w:rsidRPr="00552376">
        <w:rPr>
          <w:rFonts w:ascii="Arial" w:hAnsi="Arial" w:cs="Arial"/>
        </w:rPr>
        <w:t>2007</w:t>
      </w:r>
      <w:r w:rsidR="00053264" w:rsidRPr="00552376">
        <w:rPr>
          <w:rFonts w:ascii="Arial" w:hAnsi="Arial" w:cs="Arial"/>
        </w:rPr>
        <w:t>)</w:t>
      </w:r>
      <w:r w:rsidRPr="00552376">
        <w:rPr>
          <w:rFonts w:ascii="Arial" w:hAnsi="Arial" w:cs="Arial"/>
        </w:rPr>
        <w:t xml:space="preserve">. Transforming service employees and climate: a multilevel, multisource examination of transformational leadership in building </w:t>
      </w:r>
      <w:r w:rsidRPr="00552376">
        <w:rPr>
          <w:rFonts w:ascii="Arial" w:hAnsi="Arial" w:cs="Arial"/>
        </w:rPr>
        <w:lastRenderedPageBreak/>
        <w:t>long-term service relationships. </w:t>
      </w:r>
      <w:r w:rsidRPr="00552376">
        <w:rPr>
          <w:rFonts w:ascii="Arial" w:hAnsi="Arial" w:cs="Arial"/>
          <w:i/>
          <w:iCs/>
        </w:rPr>
        <w:t>Journal of applied psychology</w:t>
      </w:r>
      <w:r w:rsidRPr="00552376">
        <w:rPr>
          <w:rFonts w:ascii="Arial" w:hAnsi="Arial" w:cs="Arial"/>
        </w:rPr>
        <w:t>, </w:t>
      </w:r>
      <w:r w:rsidRPr="00552376">
        <w:rPr>
          <w:rFonts w:ascii="Arial" w:hAnsi="Arial" w:cs="Arial"/>
          <w:i/>
          <w:iCs/>
        </w:rPr>
        <w:t>92</w:t>
      </w:r>
      <w:r w:rsidRPr="00552376">
        <w:rPr>
          <w:rFonts w:ascii="Arial" w:hAnsi="Arial" w:cs="Arial"/>
        </w:rPr>
        <w:t xml:space="preserve">(4), p.1006. </w:t>
      </w:r>
      <w:hyperlink r:id="rId49" w:history="1">
        <w:r w:rsidRPr="00552376">
          <w:rPr>
            <w:rStyle w:val="Hyperlink"/>
            <w:rFonts w:ascii="Arial" w:hAnsi="Arial" w:cs="Arial"/>
          </w:rPr>
          <w:t>https://libres.uncg.edu/ir/uncg/f/A_Chuang_Transforming_2007.pdf</w:t>
        </w:r>
      </w:hyperlink>
      <w:r w:rsidRPr="00552376">
        <w:rPr>
          <w:rFonts w:ascii="Arial" w:hAnsi="Arial" w:cs="Arial"/>
        </w:rPr>
        <w:t xml:space="preserve"> </w:t>
      </w:r>
    </w:p>
    <w:p w14:paraId="21AED3CD" w14:textId="1B5C9506" w:rsidR="00B83FA0" w:rsidRPr="00552376" w:rsidRDefault="00B83FA0" w:rsidP="00762F6D">
      <w:pPr>
        <w:spacing w:line="360" w:lineRule="auto"/>
        <w:ind w:left="360"/>
        <w:rPr>
          <w:rFonts w:ascii="Arial" w:hAnsi="Arial" w:cs="Arial"/>
        </w:rPr>
      </w:pPr>
      <w:r w:rsidRPr="00552376">
        <w:rPr>
          <w:rFonts w:ascii="Arial" w:hAnsi="Arial" w:cs="Arial"/>
        </w:rPr>
        <w:t xml:space="preserve">Maier, T.A., </w:t>
      </w:r>
      <w:r w:rsidR="00053264" w:rsidRPr="00552376">
        <w:rPr>
          <w:rFonts w:ascii="Arial" w:hAnsi="Arial" w:cs="Arial"/>
        </w:rPr>
        <w:t>(</w:t>
      </w:r>
      <w:r w:rsidRPr="00552376">
        <w:rPr>
          <w:rFonts w:ascii="Arial" w:hAnsi="Arial" w:cs="Arial"/>
        </w:rPr>
        <w:t>2014</w:t>
      </w:r>
      <w:r w:rsidR="00053264" w:rsidRPr="00552376">
        <w:rPr>
          <w:rFonts w:ascii="Arial" w:hAnsi="Arial" w:cs="Arial"/>
        </w:rPr>
        <w:t>)</w:t>
      </w:r>
      <w:r w:rsidRPr="00552376">
        <w:rPr>
          <w:rFonts w:ascii="Arial" w:hAnsi="Arial" w:cs="Arial"/>
        </w:rPr>
        <w:t>. The emergence of transformational leaders among Asian women in hospitality. </w:t>
      </w:r>
      <w:r w:rsidRPr="00552376">
        <w:rPr>
          <w:rFonts w:ascii="Arial" w:hAnsi="Arial" w:cs="Arial"/>
          <w:i/>
          <w:iCs/>
        </w:rPr>
        <w:t>Perspectives in Asian Leisure and Tourism</w:t>
      </w:r>
      <w:r w:rsidRPr="00552376">
        <w:rPr>
          <w:rFonts w:ascii="Arial" w:hAnsi="Arial" w:cs="Arial"/>
        </w:rPr>
        <w:t>, </w:t>
      </w:r>
      <w:r w:rsidRPr="00552376">
        <w:rPr>
          <w:rFonts w:ascii="Arial" w:hAnsi="Arial" w:cs="Arial"/>
          <w:i/>
          <w:iCs/>
        </w:rPr>
        <w:t>2</w:t>
      </w:r>
      <w:r w:rsidRPr="00552376">
        <w:rPr>
          <w:rFonts w:ascii="Arial" w:hAnsi="Arial" w:cs="Arial"/>
        </w:rPr>
        <w:t xml:space="preserve">(1). </w:t>
      </w:r>
      <w:hyperlink r:id="rId50" w:history="1">
        <w:r w:rsidRPr="00552376">
          <w:rPr>
            <w:rStyle w:val="Hyperlink"/>
            <w:rFonts w:ascii="Arial" w:hAnsi="Arial" w:cs="Arial"/>
          </w:rPr>
          <w:t>https://doi.org/10.7275/j75k-fn37</w:t>
        </w:r>
      </w:hyperlink>
      <w:r w:rsidRPr="00552376">
        <w:rPr>
          <w:rFonts w:ascii="Arial" w:hAnsi="Arial" w:cs="Arial"/>
        </w:rPr>
        <w:t xml:space="preserve"> </w:t>
      </w:r>
    </w:p>
    <w:p w14:paraId="4B00206F" w14:textId="769AF863" w:rsidR="00B83FA0" w:rsidRPr="00552376" w:rsidRDefault="00B83FA0" w:rsidP="00762F6D">
      <w:pPr>
        <w:spacing w:line="360" w:lineRule="auto"/>
        <w:ind w:left="360"/>
        <w:rPr>
          <w:rFonts w:ascii="Arial" w:hAnsi="Arial" w:cs="Arial"/>
        </w:rPr>
      </w:pPr>
      <w:r w:rsidRPr="00552376">
        <w:rPr>
          <w:rFonts w:ascii="Arial" w:hAnsi="Arial" w:cs="Arial"/>
        </w:rPr>
        <w:t xml:space="preserve">Marinakou, E., </w:t>
      </w:r>
      <w:r w:rsidR="00053264" w:rsidRPr="00552376">
        <w:rPr>
          <w:rFonts w:ascii="Arial" w:hAnsi="Arial" w:cs="Arial"/>
        </w:rPr>
        <w:t>(</w:t>
      </w:r>
      <w:r w:rsidRPr="00552376">
        <w:rPr>
          <w:rFonts w:ascii="Arial" w:hAnsi="Arial" w:cs="Arial"/>
        </w:rPr>
        <w:t>2012</w:t>
      </w:r>
      <w:r w:rsidR="00053264" w:rsidRPr="00552376">
        <w:rPr>
          <w:rFonts w:ascii="Arial" w:hAnsi="Arial" w:cs="Arial"/>
        </w:rPr>
        <w:t>)</w:t>
      </w:r>
      <w:r w:rsidRPr="00552376">
        <w:rPr>
          <w:rFonts w:ascii="Arial" w:hAnsi="Arial" w:cs="Arial"/>
        </w:rPr>
        <w:t xml:space="preserve">. An investigation of gender influences on transformational leadership style in the Greek hospitality industry. </w:t>
      </w:r>
      <w:hyperlink r:id="rId51" w:history="1">
        <w:r w:rsidRPr="00552376">
          <w:rPr>
            <w:rStyle w:val="Hyperlink"/>
            <w:rFonts w:ascii="Arial" w:hAnsi="Arial" w:cs="Arial"/>
          </w:rPr>
          <w:t>10.48730/g7s5-2g77</w:t>
        </w:r>
      </w:hyperlink>
    </w:p>
    <w:p w14:paraId="5EE92EAB" w14:textId="25880714" w:rsidR="00B83FA0" w:rsidRPr="00552376" w:rsidRDefault="00B83FA0" w:rsidP="00762F6D">
      <w:pPr>
        <w:spacing w:line="360" w:lineRule="auto"/>
        <w:ind w:left="360"/>
        <w:rPr>
          <w:rFonts w:ascii="Arial" w:hAnsi="Arial" w:cs="Arial"/>
          <w:lang w:val="de-DE"/>
        </w:rPr>
      </w:pPr>
      <w:r w:rsidRPr="00552376">
        <w:rPr>
          <w:rFonts w:ascii="Arial" w:hAnsi="Arial" w:cs="Arial"/>
        </w:rPr>
        <w:t xml:space="preserve">Mooney, S. and Ryan, I., </w:t>
      </w:r>
      <w:r w:rsidR="00053264" w:rsidRPr="00552376">
        <w:rPr>
          <w:rFonts w:ascii="Arial" w:hAnsi="Arial" w:cs="Arial"/>
        </w:rPr>
        <w:t>(</w:t>
      </w:r>
      <w:r w:rsidRPr="00552376">
        <w:rPr>
          <w:rFonts w:ascii="Arial" w:hAnsi="Arial" w:cs="Arial"/>
        </w:rPr>
        <w:t>2009</w:t>
      </w:r>
      <w:r w:rsidR="00053264" w:rsidRPr="00552376">
        <w:rPr>
          <w:rFonts w:ascii="Arial" w:hAnsi="Arial" w:cs="Arial"/>
        </w:rPr>
        <w:t>)</w:t>
      </w:r>
      <w:r w:rsidRPr="00552376">
        <w:rPr>
          <w:rFonts w:ascii="Arial" w:hAnsi="Arial" w:cs="Arial"/>
        </w:rPr>
        <w:t>. A woman's place in hotel management: upstairs or downstairs?. </w:t>
      </w:r>
      <w:r w:rsidRPr="00552376">
        <w:rPr>
          <w:rFonts w:ascii="Arial" w:hAnsi="Arial" w:cs="Arial"/>
          <w:i/>
          <w:iCs/>
          <w:lang w:val="de-DE"/>
        </w:rPr>
        <w:t>Gender in Management: An International Journal</w:t>
      </w:r>
      <w:r w:rsidRPr="00552376">
        <w:rPr>
          <w:rFonts w:ascii="Arial" w:hAnsi="Arial" w:cs="Arial"/>
          <w:lang w:val="de-DE"/>
        </w:rPr>
        <w:t>, </w:t>
      </w:r>
      <w:r w:rsidRPr="00552376">
        <w:rPr>
          <w:rFonts w:ascii="Arial" w:hAnsi="Arial" w:cs="Arial"/>
          <w:i/>
          <w:iCs/>
          <w:lang w:val="de-DE"/>
        </w:rPr>
        <w:t>24</w:t>
      </w:r>
      <w:r w:rsidRPr="00552376">
        <w:rPr>
          <w:rFonts w:ascii="Arial" w:hAnsi="Arial" w:cs="Arial"/>
          <w:lang w:val="de-DE"/>
        </w:rPr>
        <w:t xml:space="preserve">(3), pp.195-210. </w:t>
      </w:r>
      <w:hyperlink r:id="rId52" w:history="1">
        <w:r w:rsidRPr="00552376">
          <w:rPr>
            <w:rStyle w:val="Hyperlink"/>
            <w:rFonts w:ascii="Arial" w:hAnsi="Arial" w:cs="Arial"/>
            <w:lang w:val="de-DE"/>
          </w:rPr>
          <w:t>https://doi.org/10.1108/17542410910950877</w:t>
        </w:r>
      </w:hyperlink>
      <w:r w:rsidRPr="00552376">
        <w:rPr>
          <w:rFonts w:ascii="Arial" w:hAnsi="Arial" w:cs="Arial"/>
          <w:lang w:val="de-DE"/>
        </w:rPr>
        <w:t xml:space="preserve"> </w:t>
      </w:r>
    </w:p>
    <w:p w14:paraId="32B048FD" w14:textId="6574AED6" w:rsidR="00B83FA0" w:rsidRPr="00552376" w:rsidRDefault="00B83FA0" w:rsidP="00762F6D">
      <w:pPr>
        <w:spacing w:line="360" w:lineRule="auto"/>
        <w:ind w:left="360"/>
        <w:rPr>
          <w:rFonts w:ascii="Arial" w:hAnsi="Arial" w:cs="Arial"/>
        </w:rPr>
      </w:pPr>
      <w:r w:rsidRPr="00552376">
        <w:rPr>
          <w:rFonts w:ascii="Arial" w:hAnsi="Arial" w:cs="Arial"/>
        </w:rPr>
        <w:t xml:space="preserve">Mooney, S.K., </w:t>
      </w:r>
      <w:r w:rsidR="00053264" w:rsidRPr="00552376">
        <w:rPr>
          <w:rFonts w:ascii="Arial" w:hAnsi="Arial" w:cs="Arial"/>
        </w:rPr>
        <w:t>(</w:t>
      </w:r>
      <w:r w:rsidRPr="00552376">
        <w:rPr>
          <w:rFonts w:ascii="Arial" w:hAnsi="Arial" w:cs="Arial"/>
        </w:rPr>
        <w:t>2020</w:t>
      </w:r>
      <w:r w:rsidR="00053264" w:rsidRPr="00552376">
        <w:rPr>
          <w:rFonts w:ascii="Arial" w:hAnsi="Arial" w:cs="Arial"/>
        </w:rPr>
        <w:t>)</w:t>
      </w:r>
      <w:r w:rsidRPr="00552376">
        <w:rPr>
          <w:rFonts w:ascii="Arial" w:hAnsi="Arial" w:cs="Arial"/>
        </w:rPr>
        <w:t>. Gender research in hospitality and tourism management: time to change the guard. </w:t>
      </w:r>
      <w:r w:rsidRPr="00552376">
        <w:rPr>
          <w:rFonts w:ascii="Arial" w:hAnsi="Arial" w:cs="Arial"/>
          <w:i/>
          <w:iCs/>
        </w:rPr>
        <w:t>International Journal of Contemporary Hospitality Management</w:t>
      </w:r>
      <w:r w:rsidRPr="00552376">
        <w:rPr>
          <w:rFonts w:ascii="Arial" w:hAnsi="Arial" w:cs="Arial"/>
        </w:rPr>
        <w:t>, </w:t>
      </w:r>
      <w:r w:rsidRPr="00552376">
        <w:rPr>
          <w:rFonts w:ascii="Arial" w:hAnsi="Arial" w:cs="Arial"/>
          <w:i/>
          <w:iCs/>
        </w:rPr>
        <w:t>32</w:t>
      </w:r>
      <w:r w:rsidRPr="00552376">
        <w:rPr>
          <w:rFonts w:ascii="Arial" w:hAnsi="Arial" w:cs="Arial"/>
        </w:rPr>
        <w:t xml:space="preserve">(5), pp.1861-1879. </w:t>
      </w:r>
      <w:hyperlink r:id="rId53" w:history="1">
        <w:r w:rsidRPr="00552376">
          <w:rPr>
            <w:rStyle w:val="Hyperlink"/>
            <w:rFonts w:ascii="Arial" w:hAnsi="Arial" w:cs="Arial"/>
          </w:rPr>
          <w:t>https://doi.org/10.1108/ijchm-09-2019-0780</w:t>
        </w:r>
      </w:hyperlink>
      <w:r w:rsidRPr="00552376">
        <w:rPr>
          <w:rFonts w:ascii="Arial" w:hAnsi="Arial" w:cs="Arial"/>
        </w:rPr>
        <w:t xml:space="preserve"> </w:t>
      </w:r>
    </w:p>
    <w:p w14:paraId="2FECD6D8" w14:textId="1F7AA348" w:rsidR="00B83FA0" w:rsidRPr="00552376" w:rsidRDefault="00B83FA0" w:rsidP="00762F6D">
      <w:pPr>
        <w:spacing w:line="360" w:lineRule="auto"/>
        <w:ind w:left="360"/>
        <w:rPr>
          <w:rFonts w:ascii="Arial" w:hAnsi="Arial" w:cs="Arial"/>
        </w:rPr>
      </w:pPr>
      <w:r w:rsidRPr="00552376">
        <w:rPr>
          <w:rFonts w:ascii="Arial" w:hAnsi="Arial" w:cs="Arial"/>
        </w:rPr>
        <w:t xml:space="preserve">Murni, N., Ruki, M. and Antara, D., </w:t>
      </w:r>
      <w:r w:rsidR="00821459" w:rsidRPr="00552376">
        <w:rPr>
          <w:rFonts w:ascii="Arial" w:hAnsi="Arial" w:cs="Arial"/>
        </w:rPr>
        <w:t>(</w:t>
      </w:r>
      <w:r w:rsidRPr="00552376">
        <w:rPr>
          <w:rFonts w:ascii="Arial" w:hAnsi="Arial" w:cs="Arial"/>
        </w:rPr>
        <w:t>2021</w:t>
      </w:r>
      <w:r w:rsidR="00821459" w:rsidRPr="00552376">
        <w:rPr>
          <w:rFonts w:ascii="Arial" w:hAnsi="Arial" w:cs="Arial"/>
        </w:rPr>
        <w:t>)</w:t>
      </w:r>
      <w:r w:rsidRPr="00552376">
        <w:rPr>
          <w:rFonts w:ascii="Arial" w:hAnsi="Arial" w:cs="Arial"/>
        </w:rPr>
        <w:t xml:space="preserve">. Model of Gender Equality in International Chain Hotels to Support Sustainable Tourism in the Nusa Dua Tourism Area. , pp. 442-447. </w:t>
      </w:r>
      <w:hyperlink r:id="rId54" w:history="1">
        <w:r w:rsidRPr="00552376">
          <w:rPr>
            <w:rStyle w:val="Hyperlink"/>
            <w:rFonts w:ascii="Arial" w:hAnsi="Arial" w:cs="Arial"/>
          </w:rPr>
          <w:t>https://doi.org/10.2991/assehr.k.210424.086</w:t>
        </w:r>
      </w:hyperlink>
      <w:r w:rsidRPr="00552376">
        <w:rPr>
          <w:rFonts w:ascii="Arial" w:hAnsi="Arial" w:cs="Arial"/>
        </w:rPr>
        <w:t xml:space="preserve">. </w:t>
      </w:r>
    </w:p>
    <w:p w14:paraId="2BFAFA81" w14:textId="4EBCB26F" w:rsidR="00B83FA0" w:rsidRPr="00552376" w:rsidRDefault="00B83FA0" w:rsidP="00762F6D">
      <w:pPr>
        <w:spacing w:line="360" w:lineRule="auto"/>
        <w:ind w:left="360"/>
        <w:rPr>
          <w:rFonts w:ascii="Arial" w:hAnsi="Arial" w:cs="Arial"/>
        </w:rPr>
      </w:pPr>
      <w:r w:rsidRPr="00552376">
        <w:rPr>
          <w:rFonts w:ascii="Arial" w:hAnsi="Arial" w:cs="Arial"/>
        </w:rPr>
        <w:t xml:space="preserve">Nowell, L.S., Norris, J.M., White, D.E. and Moules, N.J., </w:t>
      </w:r>
      <w:r w:rsidR="00821459" w:rsidRPr="00552376">
        <w:rPr>
          <w:rFonts w:ascii="Arial" w:hAnsi="Arial" w:cs="Arial"/>
        </w:rPr>
        <w:t>(</w:t>
      </w:r>
      <w:r w:rsidRPr="00552376">
        <w:rPr>
          <w:rFonts w:ascii="Arial" w:hAnsi="Arial" w:cs="Arial"/>
        </w:rPr>
        <w:t>2017</w:t>
      </w:r>
      <w:r w:rsidR="00821459" w:rsidRPr="00552376">
        <w:rPr>
          <w:rFonts w:ascii="Arial" w:hAnsi="Arial" w:cs="Arial"/>
        </w:rPr>
        <w:t>)</w:t>
      </w:r>
      <w:r w:rsidRPr="00552376">
        <w:rPr>
          <w:rFonts w:ascii="Arial" w:hAnsi="Arial" w:cs="Arial"/>
        </w:rPr>
        <w:t>. Thematic analysis: Striving to meet the trustworthiness criteria. </w:t>
      </w:r>
      <w:r w:rsidRPr="00552376">
        <w:rPr>
          <w:rFonts w:ascii="Arial" w:hAnsi="Arial" w:cs="Arial"/>
          <w:i/>
          <w:iCs/>
        </w:rPr>
        <w:t>International journal of qualitative methods</w:t>
      </w:r>
      <w:r w:rsidRPr="00552376">
        <w:rPr>
          <w:rFonts w:ascii="Arial" w:hAnsi="Arial" w:cs="Arial"/>
        </w:rPr>
        <w:t>, </w:t>
      </w:r>
      <w:r w:rsidRPr="00552376">
        <w:rPr>
          <w:rFonts w:ascii="Arial" w:hAnsi="Arial" w:cs="Arial"/>
          <w:i/>
          <w:iCs/>
        </w:rPr>
        <w:t>16</w:t>
      </w:r>
      <w:r w:rsidRPr="00552376">
        <w:rPr>
          <w:rFonts w:ascii="Arial" w:hAnsi="Arial" w:cs="Arial"/>
        </w:rPr>
        <w:t xml:space="preserve">(1), p.1609406917733847. </w:t>
      </w:r>
      <w:hyperlink r:id="rId55" w:history="1">
        <w:r w:rsidRPr="00552376">
          <w:rPr>
            <w:rStyle w:val="Hyperlink"/>
            <w:rFonts w:ascii="Arial" w:hAnsi="Arial" w:cs="Arial"/>
          </w:rPr>
          <w:t>https://doi.org/10.1177/1609406917733847</w:t>
        </w:r>
      </w:hyperlink>
      <w:r w:rsidRPr="00552376">
        <w:rPr>
          <w:rFonts w:ascii="Arial" w:hAnsi="Arial" w:cs="Arial"/>
        </w:rPr>
        <w:t xml:space="preserve"> </w:t>
      </w:r>
    </w:p>
    <w:p w14:paraId="5668FF21" w14:textId="519AACF0" w:rsidR="00B83FA0" w:rsidRPr="00552376" w:rsidRDefault="00B83FA0" w:rsidP="00762F6D">
      <w:pPr>
        <w:spacing w:line="360" w:lineRule="auto"/>
        <w:ind w:left="360"/>
        <w:rPr>
          <w:rFonts w:ascii="Arial" w:hAnsi="Arial" w:cs="Arial"/>
        </w:rPr>
      </w:pPr>
      <w:r w:rsidRPr="00552376">
        <w:rPr>
          <w:rFonts w:ascii="Arial" w:hAnsi="Arial" w:cs="Arial"/>
        </w:rPr>
        <w:t xml:space="preserve">Papadopoulou, G., </w:t>
      </w:r>
      <w:r w:rsidR="00275B51" w:rsidRPr="00552376">
        <w:rPr>
          <w:rFonts w:ascii="Arial" w:hAnsi="Arial" w:cs="Arial"/>
        </w:rPr>
        <w:t>(</w:t>
      </w:r>
      <w:r w:rsidRPr="00552376">
        <w:rPr>
          <w:rFonts w:ascii="Arial" w:hAnsi="Arial" w:cs="Arial"/>
        </w:rPr>
        <w:t>2021</w:t>
      </w:r>
      <w:r w:rsidR="00275B51" w:rsidRPr="00552376">
        <w:rPr>
          <w:rFonts w:ascii="Arial" w:hAnsi="Arial" w:cs="Arial"/>
        </w:rPr>
        <w:t>)</w:t>
      </w:r>
      <w:r w:rsidRPr="00552376">
        <w:rPr>
          <w:rFonts w:ascii="Arial" w:hAnsi="Arial" w:cs="Arial"/>
        </w:rPr>
        <w:t>. Promoting gender equality and women empowerment in the tourism sector. In </w:t>
      </w:r>
      <w:r w:rsidRPr="00552376">
        <w:rPr>
          <w:rFonts w:ascii="Arial" w:hAnsi="Arial" w:cs="Arial"/>
          <w:i/>
          <w:iCs/>
        </w:rPr>
        <w:t>Handbook of Research on the Role of Tourism in Achieving Sustainable Development Goals</w:t>
      </w:r>
      <w:r w:rsidRPr="00552376">
        <w:rPr>
          <w:rFonts w:ascii="Arial" w:hAnsi="Arial" w:cs="Arial"/>
        </w:rPr>
        <w:t xml:space="preserve"> (pp. 152-174). </w:t>
      </w:r>
      <w:hyperlink r:id="rId56" w:history="1">
        <w:r w:rsidRPr="00552376">
          <w:rPr>
            <w:rStyle w:val="Hyperlink"/>
            <w:rFonts w:ascii="Arial" w:hAnsi="Arial" w:cs="Arial"/>
          </w:rPr>
          <w:t>https://doi.org/10.4018/978-1-6684-3885-5.ch029</w:t>
        </w:r>
      </w:hyperlink>
      <w:r w:rsidRPr="00552376">
        <w:rPr>
          <w:rFonts w:ascii="Arial" w:hAnsi="Arial" w:cs="Arial"/>
        </w:rPr>
        <w:t xml:space="preserve"> </w:t>
      </w:r>
    </w:p>
    <w:p w14:paraId="15106DC8" w14:textId="5572F23A" w:rsidR="00B83FA0" w:rsidRPr="00552376" w:rsidRDefault="00B83FA0" w:rsidP="00762F6D">
      <w:pPr>
        <w:spacing w:line="360" w:lineRule="auto"/>
        <w:ind w:left="360"/>
        <w:rPr>
          <w:rFonts w:ascii="Arial" w:hAnsi="Arial" w:cs="Arial"/>
          <w:lang w:val="fr-FR"/>
        </w:rPr>
      </w:pPr>
      <w:r w:rsidRPr="00552376">
        <w:rPr>
          <w:rFonts w:ascii="Arial" w:hAnsi="Arial" w:cs="Arial"/>
        </w:rPr>
        <w:t xml:space="preserve">Patton, M.Q., </w:t>
      </w:r>
      <w:r w:rsidR="00275B51" w:rsidRPr="00552376">
        <w:rPr>
          <w:rFonts w:ascii="Arial" w:hAnsi="Arial" w:cs="Arial"/>
        </w:rPr>
        <w:t>(</w:t>
      </w:r>
      <w:r w:rsidRPr="00552376">
        <w:rPr>
          <w:rFonts w:ascii="Arial" w:hAnsi="Arial" w:cs="Arial"/>
        </w:rPr>
        <w:t>2002</w:t>
      </w:r>
      <w:r w:rsidR="00275B51" w:rsidRPr="00552376">
        <w:rPr>
          <w:rFonts w:ascii="Arial" w:hAnsi="Arial" w:cs="Arial"/>
        </w:rPr>
        <w:t>)</w:t>
      </w:r>
      <w:r w:rsidRPr="00552376">
        <w:rPr>
          <w:rFonts w:ascii="Arial" w:hAnsi="Arial" w:cs="Arial"/>
        </w:rPr>
        <w:t xml:space="preserve">. Qualitative research and evaluation methods. </w:t>
      </w:r>
      <w:r w:rsidRPr="00552376">
        <w:rPr>
          <w:rFonts w:ascii="Arial" w:hAnsi="Arial" w:cs="Arial"/>
          <w:lang w:val="fr-FR"/>
        </w:rPr>
        <w:t>3</w:t>
      </w:r>
      <w:r w:rsidRPr="00552376">
        <w:rPr>
          <w:rFonts w:ascii="Arial" w:hAnsi="Arial" w:cs="Arial"/>
          <w:vertAlign w:val="superscript"/>
          <w:lang w:val="fr-FR"/>
        </w:rPr>
        <w:t>rd</w:t>
      </w:r>
      <w:r w:rsidRPr="00552376">
        <w:rPr>
          <w:rFonts w:ascii="Arial" w:hAnsi="Arial" w:cs="Arial"/>
          <w:lang w:val="fr-FR"/>
        </w:rPr>
        <w:t xml:space="preserve"> Edition. Sage Publications. </w:t>
      </w:r>
      <w:hyperlink r:id="rId57" w:history="1">
        <w:r w:rsidRPr="00552376">
          <w:rPr>
            <w:rStyle w:val="Hyperlink"/>
            <w:rFonts w:ascii="Arial" w:hAnsi="Arial" w:cs="Arial"/>
            <w:lang w:val="fr-FR"/>
          </w:rPr>
          <w:t>https://aulasvirtuales.wordpress.com/wp-content/uploads/2014/02/qualitative-research-evaluation-methods-by-michael-patton.pdf</w:t>
        </w:r>
      </w:hyperlink>
      <w:r w:rsidRPr="00552376">
        <w:rPr>
          <w:rFonts w:ascii="Arial" w:hAnsi="Arial" w:cs="Arial"/>
          <w:lang w:val="fr-FR"/>
        </w:rPr>
        <w:t xml:space="preserve"> </w:t>
      </w:r>
    </w:p>
    <w:p w14:paraId="32504E80" w14:textId="27EFCEBB" w:rsidR="00B83FA0" w:rsidRPr="00552376" w:rsidRDefault="00B83FA0" w:rsidP="00762F6D">
      <w:pPr>
        <w:spacing w:line="360" w:lineRule="auto"/>
        <w:ind w:left="360"/>
        <w:rPr>
          <w:rFonts w:ascii="Arial" w:hAnsi="Arial" w:cs="Arial"/>
        </w:rPr>
      </w:pPr>
      <w:r w:rsidRPr="00552376">
        <w:rPr>
          <w:rFonts w:ascii="Arial" w:hAnsi="Arial" w:cs="Arial"/>
        </w:rPr>
        <w:t xml:space="preserve">Pelit, E., Öztürk, Y. and Arslantürk, Y., </w:t>
      </w:r>
      <w:r w:rsidR="00275B51" w:rsidRPr="00552376">
        <w:rPr>
          <w:rFonts w:ascii="Arial" w:hAnsi="Arial" w:cs="Arial"/>
        </w:rPr>
        <w:t>(</w:t>
      </w:r>
      <w:r w:rsidRPr="00552376">
        <w:rPr>
          <w:rFonts w:ascii="Arial" w:hAnsi="Arial" w:cs="Arial"/>
        </w:rPr>
        <w:t>2011</w:t>
      </w:r>
      <w:r w:rsidR="00275B51" w:rsidRPr="00552376">
        <w:rPr>
          <w:rFonts w:ascii="Arial" w:hAnsi="Arial" w:cs="Arial"/>
        </w:rPr>
        <w:t>)</w:t>
      </w:r>
      <w:r w:rsidRPr="00552376">
        <w:rPr>
          <w:rFonts w:ascii="Arial" w:hAnsi="Arial" w:cs="Arial"/>
        </w:rPr>
        <w:t xml:space="preserve">. The effects of employee empowerment on employee job satisfaction: A study on hotels in </w:t>
      </w:r>
      <w:r w:rsidRPr="00552376">
        <w:rPr>
          <w:rFonts w:ascii="Arial" w:hAnsi="Arial" w:cs="Arial"/>
        </w:rPr>
        <w:lastRenderedPageBreak/>
        <w:t>Turkey. </w:t>
      </w:r>
      <w:r w:rsidRPr="00552376">
        <w:rPr>
          <w:rFonts w:ascii="Arial" w:hAnsi="Arial" w:cs="Arial"/>
          <w:i/>
          <w:iCs/>
        </w:rPr>
        <w:t>International Journal of Contemporary Hospitality Management</w:t>
      </w:r>
      <w:r w:rsidRPr="00552376">
        <w:rPr>
          <w:rFonts w:ascii="Arial" w:hAnsi="Arial" w:cs="Arial"/>
        </w:rPr>
        <w:t>, </w:t>
      </w:r>
      <w:r w:rsidRPr="00552376">
        <w:rPr>
          <w:rFonts w:ascii="Arial" w:hAnsi="Arial" w:cs="Arial"/>
          <w:i/>
          <w:iCs/>
        </w:rPr>
        <w:t>23</w:t>
      </w:r>
      <w:r w:rsidRPr="00552376">
        <w:rPr>
          <w:rFonts w:ascii="Arial" w:hAnsi="Arial" w:cs="Arial"/>
        </w:rPr>
        <w:t xml:space="preserve">(6), pp.784-802. </w:t>
      </w:r>
      <w:hyperlink r:id="rId58" w:history="1">
        <w:r w:rsidRPr="00552376">
          <w:rPr>
            <w:rStyle w:val="Hyperlink"/>
            <w:rFonts w:ascii="Arial" w:hAnsi="Arial" w:cs="Arial"/>
          </w:rPr>
          <w:t>https://doi.org/10.1108/09596111111153475</w:t>
        </w:r>
      </w:hyperlink>
      <w:r w:rsidRPr="00552376">
        <w:rPr>
          <w:rFonts w:ascii="Arial" w:hAnsi="Arial" w:cs="Arial"/>
        </w:rPr>
        <w:t xml:space="preserve">  </w:t>
      </w:r>
    </w:p>
    <w:p w14:paraId="4DE04ADB" w14:textId="1EEA27BB" w:rsidR="00B83FA0" w:rsidRPr="00552376" w:rsidRDefault="00B83FA0" w:rsidP="00762F6D">
      <w:pPr>
        <w:spacing w:line="360" w:lineRule="auto"/>
        <w:ind w:left="360"/>
        <w:rPr>
          <w:rFonts w:ascii="Arial" w:hAnsi="Arial" w:cs="Arial"/>
        </w:rPr>
      </w:pPr>
      <w:r w:rsidRPr="00552376">
        <w:rPr>
          <w:rFonts w:ascii="Arial" w:hAnsi="Arial" w:cs="Arial"/>
        </w:rPr>
        <w:t xml:space="preserve">Peprah, P. and Peprah, W.K., </w:t>
      </w:r>
      <w:r w:rsidR="00275B51" w:rsidRPr="00552376">
        <w:rPr>
          <w:rFonts w:ascii="Arial" w:hAnsi="Arial" w:cs="Arial"/>
        </w:rPr>
        <w:t>(</w:t>
      </w:r>
      <w:r w:rsidRPr="00552376">
        <w:rPr>
          <w:rFonts w:ascii="Arial" w:hAnsi="Arial" w:cs="Arial"/>
        </w:rPr>
        <w:t>2024</w:t>
      </w:r>
      <w:r w:rsidR="00275B51" w:rsidRPr="00552376">
        <w:rPr>
          <w:rFonts w:ascii="Arial" w:hAnsi="Arial" w:cs="Arial"/>
        </w:rPr>
        <w:t>)</w:t>
      </w:r>
      <w:r w:rsidRPr="00552376">
        <w:rPr>
          <w:rFonts w:ascii="Arial" w:hAnsi="Arial" w:cs="Arial"/>
        </w:rPr>
        <w:t xml:space="preserve">. Gender Difference on Internal Equity: Evidence from the Hospitality Industry in Ghana. </w:t>
      </w:r>
      <w:r w:rsidRPr="00552376">
        <w:rPr>
          <w:rFonts w:ascii="Arial" w:hAnsi="Arial" w:cs="Arial"/>
          <w:i/>
          <w:iCs/>
        </w:rPr>
        <w:t>Archives of Business Research</w:t>
      </w:r>
      <w:r w:rsidRPr="00552376">
        <w:rPr>
          <w:rFonts w:ascii="Arial" w:hAnsi="Arial" w:cs="Arial"/>
        </w:rPr>
        <w:t xml:space="preserve">. </w:t>
      </w:r>
      <w:hyperlink r:id="rId59" w:history="1">
        <w:r w:rsidRPr="00552376">
          <w:rPr>
            <w:rStyle w:val="Hyperlink"/>
            <w:rFonts w:ascii="Arial" w:hAnsi="Arial" w:cs="Arial"/>
          </w:rPr>
          <w:t>https://doi.org/10.14738/abr.121.16312</w:t>
        </w:r>
      </w:hyperlink>
      <w:r w:rsidRPr="00552376">
        <w:rPr>
          <w:rFonts w:ascii="Arial" w:hAnsi="Arial" w:cs="Arial"/>
        </w:rPr>
        <w:t xml:space="preserve"> </w:t>
      </w:r>
    </w:p>
    <w:p w14:paraId="30A4A2E7" w14:textId="40F12803" w:rsidR="00B83FA0" w:rsidRPr="00552376" w:rsidRDefault="00B83FA0" w:rsidP="00762F6D">
      <w:pPr>
        <w:spacing w:line="360" w:lineRule="auto"/>
        <w:ind w:left="360"/>
        <w:rPr>
          <w:rFonts w:ascii="Arial" w:hAnsi="Arial" w:cs="Arial"/>
        </w:rPr>
      </w:pPr>
      <w:r w:rsidRPr="00552376">
        <w:rPr>
          <w:rFonts w:ascii="Arial" w:hAnsi="Arial" w:cs="Arial"/>
        </w:rPr>
        <w:t xml:space="preserve">Peshave, J. and Gupta, K., </w:t>
      </w:r>
      <w:r w:rsidR="0066165D" w:rsidRPr="00552376">
        <w:rPr>
          <w:rFonts w:ascii="Arial" w:hAnsi="Arial" w:cs="Arial"/>
        </w:rPr>
        <w:t>(</w:t>
      </w:r>
      <w:r w:rsidRPr="00552376">
        <w:rPr>
          <w:rFonts w:ascii="Arial" w:hAnsi="Arial" w:cs="Arial"/>
        </w:rPr>
        <w:t>2017</w:t>
      </w:r>
      <w:r w:rsidR="0066165D" w:rsidRPr="00552376">
        <w:rPr>
          <w:rFonts w:ascii="Arial" w:hAnsi="Arial" w:cs="Arial"/>
        </w:rPr>
        <w:t>)</w:t>
      </w:r>
      <w:r w:rsidRPr="00552376">
        <w:rPr>
          <w:rFonts w:ascii="Arial" w:hAnsi="Arial" w:cs="Arial"/>
        </w:rPr>
        <w:t>. Challenges in the career progression of women in Hospitality Industry-a review of literature. </w:t>
      </w:r>
      <w:r w:rsidRPr="00552376">
        <w:rPr>
          <w:rFonts w:ascii="Arial" w:hAnsi="Arial" w:cs="Arial"/>
          <w:i/>
          <w:iCs/>
        </w:rPr>
        <w:t>International Journal of Commerce and Management Research</w:t>
      </w:r>
      <w:r w:rsidRPr="00552376">
        <w:rPr>
          <w:rFonts w:ascii="Arial" w:hAnsi="Arial" w:cs="Arial"/>
        </w:rPr>
        <w:t>, </w:t>
      </w:r>
      <w:r w:rsidRPr="00552376">
        <w:rPr>
          <w:rFonts w:ascii="Arial" w:hAnsi="Arial" w:cs="Arial"/>
          <w:i/>
          <w:iCs/>
        </w:rPr>
        <w:t>3</w:t>
      </w:r>
      <w:r w:rsidRPr="00552376">
        <w:rPr>
          <w:rFonts w:ascii="Arial" w:hAnsi="Arial" w:cs="Arial"/>
        </w:rPr>
        <w:t xml:space="preserve">(2), pp.158-165. </w:t>
      </w:r>
      <w:hyperlink r:id="rId60" w:history="1">
        <w:r w:rsidRPr="00552376">
          <w:rPr>
            <w:rStyle w:val="Hyperlink"/>
            <w:rFonts w:ascii="Arial" w:hAnsi="Arial" w:cs="Arial"/>
          </w:rPr>
          <w:t>https://www.researchgate.net/profile/Jyoti-Peshave</w:t>
        </w:r>
      </w:hyperlink>
      <w:r w:rsidRPr="00552376">
        <w:rPr>
          <w:rFonts w:ascii="Arial" w:hAnsi="Arial" w:cs="Arial"/>
        </w:rPr>
        <w:t xml:space="preserve"> </w:t>
      </w:r>
    </w:p>
    <w:p w14:paraId="370A4E9C" w14:textId="48FC76D2" w:rsidR="00B83FA0" w:rsidRPr="00552376" w:rsidRDefault="00B83FA0" w:rsidP="00762F6D">
      <w:pPr>
        <w:spacing w:line="360" w:lineRule="auto"/>
        <w:ind w:left="360"/>
        <w:rPr>
          <w:rFonts w:ascii="Arial" w:hAnsi="Arial" w:cs="Arial"/>
        </w:rPr>
      </w:pPr>
      <w:r w:rsidRPr="00552376">
        <w:rPr>
          <w:rFonts w:ascii="Arial" w:hAnsi="Arial" w:cs="Arial"/>
        </w:rPr>
        <w:t xml:space="preserve">Peshave, Jyoti &amp; Gupta, Kirti., </w:t>
      </w:r>
      <w:r w:rsidR="0066165D" w:rsidRPr="00552376">
        <w:rPr>
          <w:rFonts w:ascii="Arial" w:hAnsi="Arial" w:cs="Arial"/>
        </w:rPr>
        <w:t>(</w:t>
      </w:r>
      <w:r w:rsidRPr="00552376">
        <w:rPr>
          <w:rFonts w:ascii="Arial" w:hAnsi="Arial" w:cs="Arial"/>
        </w:rPr>
        <w:t>2017</w:t>
      </w:r>
      <w:r w:rsidR="0066165D" w:rsidRPr="00552376">
        <w:rPr>
          <w:rFonts w:ascii="Arial" w:hAnsi="Arial" w:cs="Arial"/>
        </w:rPr>
        <w:t>)</w:t>
      </w:r>
      <w:r w:rsidRPr="00552376">
        <w:rPr>
          <w:rFonts w:ascii="Arial" w:hAnsi="Arial" w:cs="Arial"/>
        </w:rPr>
        <w:t xml:space="preserve">. Challenges in the career progression of women in Hospitality industry-a review of literature. 3. 158-165. </w:t>
      </w:r>
      <w:hyperlink r:id="rId61" w:history="1">
        <w:r w:rsidRPr="00552376">
          <w:rPr>
            <w:rStyle w:val="Hyperlink"/>
            <w:rFonts w:ascii="Arial" w:hAnsi="Arial" w:cs="Arial"/>
          </w:rPr>
          <w:t>https://www.researchgate.net/publication/362532274_Challenges_in_the_career_progression_of_women_in_Hospitality_industry-a_review_of_literature</w:t>
        </w:r>
      </w:hyperlink>
      <w:r w:rsidRPr="00552376">
        <w:rPr>
          <w:rFonts w:ascii="Arial" w:hAnsi="Arial" w:cs="Arial"/>
        </w:rPr>
        <w:t xml:space="preserve"> </w:t>
      </w:r>
    </w:p>
    <w:p w14:paraId="21769695" w14:textId="287EED59" w:rsidR="00B83FA0" w:rsidRPr="00552376" w:rsidRDefault="00B83FA0" w:rsidP="00762F6D">
      <w:pPr>
        <w:spacing w:line="360" w:lineRule="auto"/>
        <w:ind w:left="360"/>
        <w:rPr>
          <w:rFonts w:ascii="Arial" w:hAnsi="Arial" w:cs="Arial"/>
        </w:rPr>
      </w:pPr>
      <w:r w:rsidRPr="00552376">
        <w:rPr>
          <w:rFonts w:ascii="Arial" w:hAnsi="Arial" w:cs="Arial"/>
        </w:rPr>
        <w:t xml:space="preserve">Raub, S. and Robert, C., </w:t>
      </w:r>
      <w:r w:rsidR="0066165D" w:rsidRPr="00552376">
        <w:rPr>
          <w:rFonts w:ascii="Arial" w:hAnsi="Arial" w:cs="Arial"/>
        </w:rPr>
        <w:t>(</w:t>
      </w:r>
      <w:r w:rsidRPr="00552376">
        <w:rPr>
          <w:rFonts w:ascii="Arial" w:hAnsi="Arial" w:cs="Arial"/>
        </w:rPr>
        <w:t>2010</w:t>
      </w:r>
      <w:r w:rsidR="0066165D" w:rsidRPr="00552376">
        <w:rPr>
          <w:rFonts w:ascii="Arial" w:hAnsi="Arial" w:cs="Arial"/>
        </w:rPr>
        <w:t>)</w:t>
      </w:r>
      <w:r w:rsidRPr="00552376">
        <w:rPr>
          <w:rFonts w:ascii="Arial" w:hAnsi="Arial" w:cs="Arial"/>
        </w:rPr>
        <w:t xml:space="preserve">. Differential effects of empowering leadership on in-role and extra-role employee </w:t>
      </w:r>
      <w:r w:rsidR="0066165D" w:rsidRPr="00552376">
        <w:rPr>
          <w:rFonts w:ascii="Arial" w:hAnsi="Arial" w:cs="Arial"/>
        </w:rPr>
        <w:t>behaviours</w:t>
      </w:r>
      <w:r w:rsidRPr="00552376">
        <w:rPr>
          <w:rFonts w:ascii="Arial" w:hAnsi="Arial" w:cs="Arial"/>
        </w:rPr>
        <w:t>: Exploring the role of psychological empowerment and power values. </w:t>
      </w:r>
      <w:r w:rsidRPr="00552376">
        <w:rPr>
          <w:rFonts w:ascii="Arial" w:hAnsi="Arial" w:cs="Arial"/>
          <w:i/>
          <w:iCs/>
        </w:rPr>
        <w:t>Human relations</w:t>
      </w:r>
      <w:r w:rsidRPr="00552376">
        <w:rPr>
          <w:rFonts w:ascii="Arial" w:hAnsi="Arial" w:cs="Arial"/>
        </w:rPr>
        <w:t>, </w:t>
      </w:r>
      <w:r w:rsidRPr="00552376">
        <w:rPr>
          <w:rFonts w:ascii="Arial" w:hAnsi="Arial" w:cs="Arial"/>
          <w:i/>
          <w:iCs/>
        </w:rPr>
        <w:t>63</w:t>
      </w:r>
      <w:r w:rsidRPr="00552376">
        <w:rPr>
          <w:rFonts w:ascii="Arial" w:hAnsi="Arial" w:cs="Arial"/>
        </w:rPr>
        <w:t xml:space="preserve">(11), pp.1743-1770. </w:t>
      </w:r>
      <w:hyperlink r:id="rId62" w:history="1">
        <w:r w:rsidRPr="00552376">
          <w:rPr>
            <w:rStyle w:val="Hyperlink"/>
            <w:rFonts w:ascii="Arial" w:hAnsi="Arial" w:cs="Arial"/>
          </w:rPr>
          <w:t>https://doi.org/10.1177/0018726710365092</w:t>
        </w:r>
      </w:hyperlink>
      <w:r w:rsidRPr="00552376">
        <w:rPr>
          <w:rFonts w:ascii="Arial" w:hAnsi="Arial" w:cs="Arial"/>
        </w:rPr>
        <w:t xml:space="preserve">  </w:t>
      </w:r>
    </w:p>
    <w:p w14:paraId="5D7B98C9" w14:textId="370931BA" w:rsidR="00B83FA0" w:rsidRPr="00552376" w:rsidRDefault="00B83FA0" w:rsidP="00762F6D">
      <w:pPr>
        <w:spacing w:line="360" w:lineRule="auto"/>
        <w:ind w:left="360"/>
        <w:rPr>
          <w:rFonts w:ascii="Arial" w:hAnsi="Arial" w:cs="Arial"/>
        </w:rPr>
      </w:pPr>
      <w:r w:rsidRPr="00552376">
        <w:rPr>
          <w:rFonts w:ascii="Arial" w:hAnsi="Arial" w:cs="Arial"/>
        </w:rPr>
        <w:t xml:space="preserve">Repetti, T. and Hoffman, S., </w:t>
      </w:r>
      <w:r w:rsidR="00703BC4" w:rsidRPr="00552376">
        <w:rPr>
          <w:rFonts w:ascii="Arial" w:hAnsi="Arial" w:cs="Arial"/>
        </w:rPr>
        <w:t>(</w:t>
      </w:r>
      <w:r w:rsidRPr="00552376">
        <w:rPr>
          <w:rFonts w:ascii="Arial" w:hAnsi="Arial" w:cs="Arial"/>
        </w:rPr>
        <w:t>2018</w:t>
      </w:r>
      <w:r w:rsidR="00703BC4" w:rsidRPr="00552376">
        <w:rPr>
          <w:rFonts w:ascii="Arial" w:hAnsi="Arial" w:cs="Arial"/>
        </w:rPr>
        <w:t>)</w:t>
      </w:r>
      <w:r w:rsidRPr="00552376">
        <w:rPr>
          <w:rFonts w:ascii="Arial" w:hAnsi="Arial" w:cs="Arial"/>
        </w:rPr>
        <w:t>. Glass Ceilings &amp; Leaky Pipelines: Gender Disparity in the Casino Industry. </w:t>
      </w:r>
      <w:r w:rsidRPr="00552376">
        <w:rPr>
          <w:rFonts w:ascii="Arial" w:hAnsi="Arial" w:cs="Arial"/>
          <w:i/>
          <w:iCs/>
        </w:rPr>
        <w:t>UNLV Gaming Research &amp; Review Journal</w:t>
      </w:r>
      <w:r w:rsidRPr="00552376">
        <w:rPr>
          <w:rFonts w:ascii="Arial" w:hAnsi="Arial" w:cs="Arial"/>
        </w:rPr>
        <w:t xml:space="preserve">. </w:t>
      </w:r>
      <w:hyperlink r:id="rId63" w:history="1">
        <w:r w:rsidRPr="00552376">
          <w:rPr>
            <w:rStyle w:val="Hyperlink"/>
            <w:rFonts w:ascii="Arial" w:hAnsi="Arial" w:cs="Arial"/>
          </w:rPr>
          <w:t>https://doi.org/10.9741/2327-8455.1369</w:t>
        </w:r>
      </w:hyperlink>
      <w:r w:rsidRPr="00552376">
        <w:rPr>
          <w:rFonts w:ascii="Arial" w:hAnsi="Arial" w:cs="Arial"/>
        </w:rPr>
        <w:t xml:space="preserve">. </w:t>
      </w:r>
    </w:p>
    <w:p w14:paraId="69A13BDF" w14:textId="13439600" w:rsidR="00B83FA0" w:rsidRPr="00552376" w:rsidRDefault="00B83FA0" w:rsidP="00762F6D">
      <w:pPr>
        <w:spacing w:line="360" w:lineRule="auto"/>
        <w:ind w:left="360"/>
        <w:rPr>
          <w:rFonts w:ascii="Arial" w:hAnsi="Arial" w:cs="Arial"/>
        </w:rPr>
      </w:pPr>
      <w:r w:rsidRPr="00552376">
        <w:rPr>
          <w:rFonts w:ascii="Arial" w:hAnsi="Arial" w:cs="Arial"/>
        </w:rPr>
        <w:t xml:space="preserve">Sanchez-Gutierrez, J., Leon-Cazares, F. and Gutierrez-Govea, A., </w:t>
      </w:r>
      <w:r w:rsidR="00703BC4" w:rsidRPr="00552376">
        <w:rPr>
          <w:rFonts w:ascii="Arial" w:hAnsi="Arial" w:cs="Arial"/>
        </w:rPr>
        <w:t>(</w:t>
      </w:r>
      <w:r w:rsidRPr="00552376">
        <w:rPr>
          <w:rFonts w:ascii="Arial" w:hAnsi="Arial" w:cs="Arial"/>
        </w:rPr>
        <w:t>2010</w:t>
      </w:r>
      <w:r w:rsidR="00703BC4" w:rsidRPr="00552376">
        <w:rPr>
          <w:rFonts w:ascii="Arial" w:hAnsi="Arial" w:cs="Arial"/>
        </w:rPr>
        <w:t>)</w:t>
      </w:r>
      <w:r w:rsidRPr="00552376">
        <w:rPr>
          <w:rFonts w:ascii="Arial" w:hAnsi="Arial" w:cs="Arial"/>
        </w:rPr>
        <w:t>. Empowerment: a competitiveness key factor in the hospitality industry in Guadalajara, Mexico. In </w:t>
      </w:r>
      <w:r w:rsidRPr="00552376">
        <w:rPr>
          <w:rFonts w:ascii="Arial" w:hAnsi="Arial" w:cs="Arial"/>
          <w:i/>
          <w:iCs/>
        </w:rPr>
        <w:t>Competition Forum</w:t>
      </w:r>
      <w:r w:rsidRPr="00552376">
        <w:rPr>
          <w:rFonts w:ascii="Arial" w:hAnsi="Arial" w:cs="Arial"/>
        </w:rPr>
        <w:t> (Vol. 8, No. 2, p. 156).</w:t>
      </w:r>
    </w:p>
    <w:p w14:paraId="6982C695" w14:textId="4202DCA5" w:rsidR="00B83FA0" w:rsidRPr="00552376" w:rsidRDefault="00B83FA0" w:rsidP="00762F6D">
      <w:pPr>
        <w:spacing w:line="360" w:lineRule="auto"/>
        <w:ind w:left="360"/>
        <w:rPr>
          <w:rFonts w:ascii="Arial" w:hAnsi="Arial" w:cs="Arial"/>
        </w:rPr>
      </w:pPr>
      <w:r w:rsidRPr="00552376">
        <w:rPr>
          <w:rFonts w:ascii="Arial" w:hAnsi="Arial" w:cs="Arial"/>
        </w:rPr>
        <w:t xml:space="preserve">Saunders, M., Lewis, P. and Thornhill, A., </w:t>
      </w:r>
      <w:r w:rsidR="00703BC4" w:rsidRPr="00552376">
        <w:rPr>
          <w:rFonts w:ascii="Arial" w:hAnsi="Arial" w:cs="Arial"/>
        </w:rPr>
        <w:t>(</w:t>
      </w:r>
      <w:r w:rsidRPr="00552376">
        <w:rPr>
          <w:rFonts w:ascii="Arial" w:hAnsi="Arial" w:cs="Arial"/>
        </w:rPr>
        <w:t>2009</w:t>
      </w:r>
      <w:r w:rsidR="00703BC4" w:rsidRPr="00552376">
        <w:rPr>
          <w:rFonts w:ascii="Arial" w:hAnsi="Arial" w:cs="Arial"/>
        </w:rPr>
        <w:t>)</w:t>
      </w:r>
      <w:r w:rsidRPr="00552376">
        <w:rPr>
          <w:rFonts w:ascii="Arial" w:hAnsi="Arial" w:cs="Arial"/>
        </w:rPr>
        <w:t>. </w:t>
      </w:r>
      <w:r w:rsidRPr="00552376">
        <w:rPr>
          <w:rFonts w:ascii="Arial" w:hAnsi="Arial" w:cs="Arial"/>
          <w:i/>
          <w:iCs/>
        </w:rPr>
        <w:t>Research methods for business students</w:t>
      </w:r>
      <w:r w:rsidRPr="00552376">
        <w:rPr>
          <w:rFonts w:ascii="Arial" w:hAnsi="Arial" w:cs="Arial"/>
        </w:rPr>
        <w:t xml:space="preserve">. Pearson education. </w:t>
      </w:r>
    </w:p>
    <w:p w14:paraId="59092389" w14:textId="22929335" w:rsidR="00B83FA0" w:rsidRPr="00552376" w:rsidRDefault="00B83FA0" w:rsidP="00762F6D">
      <w:pPr>
        <w:spacing w:line="360" w:lineRule="auto"/>
        <w:ind w:left="360"/>
        <w:rPr>
          <w:rFonts w:ascii="Arial" w:hAnsi="Arial" w:cs="Arial"/>
        </w:rPr>
      </w:pPr>
      <w:r w:rsidRPr="00552376">
        <w:rPr>
          <w:rFonts w:ascii="Arial" w:hAnsi="Arial" w:cs="Arial"/>
        </w:rPr>
        <w:t xml:space="preserve">Schön, D.A., </w:t>
      </w:r>
      <w:r w:rsidR="00703BC4" w:rsidRPr="00552376">
        <w:rPr>
          <w:rFonts w:ascii="Arial" w:hAnsi="Arial" w:cs="Arial"/>
        </w:rPr>
        <w:t>(</w:t>
      </w:r>
      <w:r w:rsidRPr="00552376">
        <w:rPr>
          <w:rFonts w:ascii="Arial" w:hAnsi="Arial" w:cs="Arial"/>
        </w:rPr>
        <w:t>2017</w:t>
      </w:r>
      <w:r w:rsidR="00703BC4" w:rsidRPr="00552376">
        <w:rPr>
          <w:rFonts w:ascii="Arial" w:hAnsi="Arial" w:cs="Arial"/>
        </w:rPr>
        <w:t>)</w:t>
      </w:r>
      <w:r w:rsidRPr="00552376">
        <w:rPr>
          <w:rFonts w:ascii="Arial" w:hAnsi="Arial" w:cs="Arial"/>
        </w:rPr>
        <w:t>. </w:t>
      </w:r>
      <w:r w:rsidRPr="00552376">
        <w:rPr>
          <w:rFonts w:ascii="Arial" w:hAnsi="Arial" w:cs="Arial"/>
          <w:i/>
          <w:iCs/>
        </w:rPr>
        <w:t>The reflective practitioner: How professionals think in action</w:t>
      </w:r>
      <w:r w:rsidRPr="00552376">
        <w:rPr>
          <w:rFonts w:ascii="Arial" w:hAnsi="Arial" w:cs="Arial"/>
        </w:rPr>
        <w:t xml:space="preserve">. Routledge. </w:t>
      </w:r>
      <w:hyperlink r:id="rId64" w:history="1">
        <w:r w:rsidRPr="00552376">
          <w:rPr>
            <w:rStyle w:val="Hyperlink"/>
            <w:rFonts w:ascii="Arial" w:hAnsi="Arial" w:cs="Arial"/>
          </w:rPr>
          <w:t>https://doi.org/10.4324/9781315237473</w:t>
        </w:r>
      </w:hyperlink>
      <w:r w:rsidRPr="00552376">
        <w:rPr>
          <w:rFonts w:ascii="Arial" w:hAnsi="Arial" w:cs="Arial"/>
        </w:rPr>
        <w:t xml:space="preserve"> </w:t>
      </w:r>
    </w:p>
    <w:p w14:paraId="4EA51DB4" w14:textId="0C465A79" w:rsidR="00B83FA0" w:rsidRPr="00552376" w:rsidRDefault="00B83FA0" w:rsidP="00762F6D">
      <w:pPr>
        <w:spacing w:line="360" w:lineRule="auto"/>
        <w:ind w:left="360"/>
        <w:rPr>
          <w:rFonts w:ascii="Arial" w:hAnsi="Arial" w:cs="Arial"/>
        </w:rPr>
      </w:pPr>
      <w:r w:rsidRPr="00552376">
        <w:rPr>
          <w:rFonts w:ascii="Arial" w:hAnsi="Arial" w:cs="Arial"/>
        </w:rPr>
        <w:t xml:space="preserve">Silva, S. and Couto, M., </w:t>
      </w:r>
      <w:r w:rsidR="00703BC4" w:rsidRPr="00552376">
        <w:rPr>
          <w:rFonts w:ascii="Arial" w:hAnsi="Arial" w:cs="Arial"/>
        </w:rPr>
        <w:t>(</w:t>
      </w:r>
      <w:r w:rsidRPr="00552376">
        <w:rPr>
          <w:rFonts w:ascii="Arial" w:hAnsi="Arial" w:cs="Arial"/>
        </w:rPr>
        <w:t>2023</w:t>
      </w:r>
      <w:r w:rsidR="00703BC4" w:rsidRPr="00552376">
        <w:rPr>
          <w:rFonts w:ascii="Arial" w:hAnsi="Arial" w:cs="Arial"/>
        </w:rPr>
        <w:t>)</w:t>
      </w:r>
      <w:r w:rsidRPr="00552376">
        <w:rPr>
          <w:rFonts w:ascii="Arial" w:hAnsi="Arial" w:cs="Arial"/>
        </w:rPr>
        <w:t xml:space="preserve">. Gender Bias in the Hospitality Sector: Female and Male Jobs. </w:t>
      </w:r>
      <w:r w:rsidRPr="00552376">
        <w:rPr>
          <w:rFonts w:ascii="Arial" w:hAnsi="Arial" w:cs="Arial"/>
          <w:i/>
          <w:iCs/>
        </w:rPr>
        <w:t>International Conference on Tourism Research</w:t>
      </w:r>
      <w:r w:rsidRPr="00552376">
        <w:rPr>
          <w:rFonts w:ascii="Arial" w:hAnsi="Arial" w:cs="Arial"/>
        </w:rPr>
        <w:t xml:space="preserve">. </w:t>
      </w:r>
      <w:hyperlink r:id="rId65" w:history="1">
        <w:r w:rsidRPr="00552376">
          <w:rPr>
            <w:rStyle w:val="Hyperlink"/>
            <w:rFonts w:ascii="Arial" w:hAnsi="Arial" w:cs="Arial"/>
          </w:rPr>
          <w:t>https://doi.org/10.34190/ictr.6.1.1095</w:t>
        </w:r>
      </w:hyperlink>
      <w:r w:rsidRPr="00552376">
        <w:rPr>
          <w:rFonts w:ascii="Arial" w:hAnsi="Arial" w:cs="Arial"/>
        </w:rPr>
        <w:t xml:space="preserve"> </w:t>
      </w:r>
    </w:p>
    <w:p w14:paraId="2F71618D" w14:textId="41C8C891" w:rsidR="00B83FA0" w:rsidRPr="00552376" w:rsidRDefault="00B83FA0" w:rsidP="00762F6D">
      <w:pPr>
        <w:spacing w:line="360" w:lineRule="auto"/>
        <w:ind w:left="360"/>
        <w:rPr>
          <w:rFonts w:ascii="Arial" w:hAnsi="Arial" w:cs="Arial"/>
        </w:rPr>
      </w:pPr>
      <w:r w:rsidRPr="00552376">
        <w:rPr>
          <w:rFonts w:ascii="Arial" w:hAnsi="Arial" w:cs="Arial"/>
        </w:rPr>
        <w:lastRenderedPageBreak/>
        <w:t xml:space="preserve">Siyal, S., Liu, J., , L., Kumari, K., Saeed, M., Xin, C. and Hussain, S., </w:t>
      </w:r>
      <w:r w:rsidR="00703BC4" w:rsidRPr="00552376">
        <w:rPr>
          <w:rFonts w:ascii="Arial" w:hAnsi="Arial" w:cs="Arial"/>
        </w:rPr>
        <w:t>(</w:t>
      </w:r>
      <w:r w:rsidRPr="00552376">
        <w:rPr>
          <w:rFonts w:ascii="Arial" w:hAnsi="Arial" w:cs="Arial"/>
        </w:rPr>
        <w:t>2023</w:t>
      </w:r>
      <w:r w:rsidR="00703BC4" w:rsidRPr="00552376">
        <w:rPr>
          <w:rFonts w:ascii="Arial" w:hAnsi="Arial" w:cs="Arial"/>
        </w:rPr>
        <w:t>)</w:t>
      </w:r>
      <w:r w:rsidRPr="00552376">
        <w:rPr>
          <w:rFonts w:ascii="Arial" w:hAnsi="Arial" w:cs="Arial"/>
        </w:rPr>
        <w:t>. Does inclusive leadership influence task performance of hospitality industry employees? Role of psychological empowerment and trust in leader. </w:t>
      </w:r>
      <w:r w:rsidRPr="00552376">
        <w:rPr>
          <w:rFonts w:ascii="Arial" w:hAnsi="Arial" w:cs="Arial"/>
          <w:i/>
          <w:iCs/>
        </w:rPr>
        <w:t>Heliyon</w:t>
      </w:r>
      <w:r w:rsidRPr="00552376">
        <w:rPr>
          <w:rFonts w:ascii="Arial" w:hAnsi="Arial" w:cs="Arial"/>
        </w:rPr>
        <w:t xml:space="preserve">, 9. </w:t>
      </w:r>
      <w:hyperlink r:id="rId66" w:history="1">
        <w:r w:rsidRPr="00552376">
          <w:rPr>
            <w:rStyle w:val="Hyperlink"/>
            <w:rFonts w:ascii="Arial" w:hAnsi="Arial" w:cs="Arial"/>
          </w:rPr>
          <w:t>https://doi.org/10.1016/j.heliyon.2023.e15507</w:t>
        </w:r>
      </w:hyperlink>
      <w:r w:rsidRPr="00552376">
        <w:rPr>
          <w:rFonts w:ascii="Arial" w:hAnsi="Arial" w:cs="Arial"/>
        </w:rPr>
        <w:t xml:space="preserve"> </w:t>
      </w:r>
    </w:p>
    <w:p w14:paraId="2BB82BED" w14:textId="329980C4" w:rsidR="00B83FA0" w:rsidRPr="00552376" w:rsidRDefault="00B83FA0" w:rsidP="00762F6D">
      <w:pPr>
        <w:spacing w:line="360" w:lineRule="auto"/>
        <w:ind w:left="360"/>
        <w:rPr>
          <w:rFonts w:ascii="Arial" w:hAnsi="Arial" w:cs="Arial"/>
        </w:rPr>
      </w:pPr>
      <w:r w:rsidRPr="00552376">
        <w:rPr>
          <w:rFonts w:ascii="Arial" w:hAnsi="Arial" w:cs="Arial"/>
        </w:rPr>
        <w:t xml:space="preserve">Stake, R.E., </w:t>
      </w:r>
      <w:r w:rsidR="00703BC4" w:rsidRPr="00552376">
        <w:rPr>
          <w:rFonts w:ascii="Arial" w:hAnsi="Arial" w:cs="Arial"/>
        </w:rPr>
        <w:t>(</w:t>
      </w:r>
      <w:r w:rsidRPr="00552376">
        <w:rPr>
          <w:rFonts w:ascii="Arial" w:hAnsi="Arial" w:cs="Arial"/>
        </w:rPr>
        <w:t>1995</w:t>
      </w:r>
      <w:r w:rsidR="00703BC4" w:rsidRPr="00552376">
        <w:rPr>
          <w:rFonts w:ascii="Arial" w:hAnsi="Arial" w:cs="Arial"/>
        </w:rPr>
        <w:t>)</w:t>
      </w:r>
      <w:r w:rsidRPr="00552376">
        <w:rPr>
          <w:rFonts w:ascii="Arial" w:hAnsi="Arial" w:cs="Arial"/>
        </w:rPr>
        <w:t>. The art of case study research.</w:t>
      </w:r>
    </w:p>
    <w:p w14:paraId="5379E46F" w14:textId="4CF7801F" w:rsidR="00B83FA0" w:rsidRPr="00552376" w:rsidRDefault="00B83FA0" w:rsidP="00762F6D">
      <w:pPr>
        <w:spacing w:line="360" w:lineRule="auto"/>
        <w:ind w:left="360"/>
        <w:rPr>
          <w:rFonts w:ascii="Arial" w:hAnsi="Arial" w:cs="Arial"/>
        </w:rPr>
      </w:pPr>
      <w:r w:rsidRPr="00552376">
        <w:rPr>
          <w:rFonts w:ascii="Arial" w:hAnsi="Arial" w:cs="Arial"/>
        </w:rPr>
        <w:t xml:space="preserve">Stoyka, M., </w:t>
      </w:r>
      <w:r w:rsidR="00703BC4" w:rsidRPr="00552376">
        <w:rPr>
          <w:rFonts w:ascii="Arial" w:hAnsi="Arial" w:cs="Arial"/>
        </w:rPr>
        <w:t>(</w:t>
      </w:r>
      <w:r w:rsidRPr="00552376">
        <w:rPr>
          <w:rFonts w:ascii="Arial" w:hAnsi="Arial" w:cs="Arial"/>
        </w:rPr>
        <w:t>2023</w:t>
      </w:r>
      <w:r w:rsidR="00703BC4" w:rsidRPr="00552376">
        <w:rPr>
          <w:rFonts w:ascii="Arial" w:hAnsi="Arial" w:cs="Arial"/>
        </w:rPr>
        <w:t>)</w:t>
      </w:r>
      <w:r w:rsidRPr="00552376">
        <w:rPr>
          <w:rFonts w:ascii="Arial" w:hAnsi="Arial" w:cs="Arial"/>
        </w:rPr>
        <w:t>. THE CONCEPTUALISATION OF THE GENDER TRANSFORMATIVE TOURISM FROM THE PERSPECTIVE OF THE NEW TRENDS IN THE HOSPITALITY INDUSTRY. </w:t>
      </w:r>
      <w:hyperlink r:id="rId67" w:tgtFrame="_blank" w:history="1">
        <w:r w:rsidRPr="00552376">
          <w:rPr>
            <w:rStyle w:val="Hyperlink"/>
            <w:rFonts w:ascii="Arial" w:hAnsi="Arial" w:cs="Arial"/>
          </w:rPr>
          <w:t>https://doi.org/10.32782/2524-0072/2023-55-61</w:t>
        </w:r>
      </w:hyperlink>
      <w:r w:rsidRPr="00552376">
        <w:rPr>
          <w:rFonts w:ascii="Arial" w:hAnsi="Arial" w:cs="Arial"/>
        </w:rPr>
        <w:t>.</w:t>
      </w:r>
    </w:p>
    <w:p w14:paraId="063D5F27" w14:textId="02B0FC33" w:rsidR="00B83FA0" w:rsidRPr="00552376" w:rsidRDefault="00B83FA0" w:rsidP="00762F6D">
      <w:pPr>
        <w:spacing w:line="360" w:lineRule="auto"/>
        <w:ind w:left="360"/>
        <w:rPr>
          <w:rFonts w:ascii="Arial" w:hAnsi="Arial" w:cs="Arial"/>
        </w:rPr>
      </w:pPr>
      <w:r w:rsidRPr="00552376">
        <w:rPr>
          <w:rFonts w:ascii="Arial" w:hAnsi="Arial" w:cs="Arial"/>
        </w:rPr>
        <w:t xml:space="preserve">Tracy, S.J., </w:t>
      </w:r>
      <w:r w:rsidR="00646194" w:rsidRPr="00552376">
        <w:rPr>
          <w:rFonts w:ascii="Arial" w:hAnsi="Arial" w:cs="Arial"/>
        </w:rPr>
        <w:t>(</w:t>
      </w:r>
      <w:r w:rsidRPr="00552376">
        <w:rPr>
          <w:rFonts w:ascii="Arial" w:hAnsi="Arial" w:cs="Arial"/>
        </w:rPr>
        <w:t>2010</w:t>
      </w:r>
      <w:r w:rsidR="00646194" w:rsidRPr="00552376">
        <w:rPr>
          <w:rFonts w:ascii="Arial" w:hAnsi="Arial" w:cs="Arial"/>
        </w:rPr>
        <w:t>)</w:t>
      </w:r>
      <w:r w:rsidRPr="00552376">
        <w:rPr>
          <w:rFonts w:ascii="Arial" w:hAnsi="Arial" w:cs="Arial"/>
        </w:rPr>
        <w:t>. Qualitative quality: Eight “big-tent” criteria for excellent qualitative research. </w:t>
      </w:r>
      <w:r w:rsidRPr="00552376">
        <w:rPr>
          <w:rFonts w:ascii="Arial" w:hAnsi="Arial" w:cs="Arial"/>
          <w:i/>
          <w:iCs/>
        </w:rPr>
        <w:t>Qualitative inquiry</w:t>
      </w:r>
      <w:r w:rsidRPr="00552376">
        <w:rPr>
          <w:rFonts w:ascii="Arial" w:hAnsi="Arial" w:cs="Arial"/>
        </w:rPr>
        <w:t>, </w:t>
      </w:r>
      <w:r w:rsidRPr="00552376">
        <w:rPr>
          <w:rFonts w:ascii="Arial" w:hAnsi="Arial" w:cs="Arial"/>
          <w:i/>
          <w:iCs/>
        </w:rPr>
        <w:t>16</w:t>
      </w:r>
      <w:r w:rsidRPr="00552376">
        <w:rPr>
          <w:rFonts w:ascii="Arial" w:hAnsi="Arial" w:cs="Arial"/>
        </w:rPr>
        <w:t xml:space="preserve">(10), pp.837-851. </w:t>
      </w:r>
      <w:hyperlink r:id="rId68" w:history="1">
        <w:r w:rsidRPr="00552376">
          <w:rPr>
            <w:rStyle w:val="Hyperlink"/>
            <w:rFonts w:ascii="Arial" w:hAnsi="Arial" w:cs="Arial"/>
          </w:rPr>
          <w:t>https://doi.org/10.1177/1077800410383121</w:t>
        </w:r>
      </w:hyperlink>
      <w:r w:rsidRPr="00552376">
        <w:rPr>
          <w:rFonts w:ascii="Arial" w:hAnsi="Arial" w:cs="Arial"/>
        </w:rPr>
        <w:t xml:space="preserve"> </w:t>
      </w:r>
    </w:p>
    <w:p w14:paraId="7B781310" w14:textId="43C4920B" w:rsidR="00B83FA0" w:rsidRPr="00552376" w:rsidRDefault="00B83FA0" w:rsidP="00762F6D">
      <w:pPr>
        <w:spacing w:line="360" w:lineRule="auto"/>
        <w:ind w:left="360"/>
        <w:rPr>
          <w:rFonts w:ascii="Arial" w:hAnsi="Arial" w:cs="Arial"/>
        </w:rPr>
      </w:pPr>
      <w:r w:rsidRPr="00552376">
        <w:rPr>
          <w:rFonts w:ascii="Arial" w:hAnsi="Arial" w:cs="Arial"/>
        </w:rPr>
        <w:t xml:space="preserve">Vithayaporn, S., </w:t>
      </w:r>
      <w:r w:rsidR="00646194" w:rsidRPr="00552376">
        <w:rPr>
          <w:rFonts w:ascii="Arial" w:hAnsi="Arial" w:cs="Arial"/>
        </w:rPr>
        <w:t>(</w:t>
      </w:r>
      <w:r w:rsidRPr="00552376">
        <w:rPr>
          <w:rFonts w:ascii="Arial" w:hAnsi="Arial" w:cs="Arial"/>
        </w:rPr>
        <w:t>2023</w:t>
      </w:r>
      <w:r w:rsidR="00646194" w:rsidRPr="00552376">
        <w:rPr>
          <w:rFonts w:ascii="Arial" w:hAnsi="Arial" w:cs="Arial"/>
        </w:rPr>
        <w:t>)</w:t>
      </w:r>
      <w:r w:rsidRPr="00552376">
        <w:rPr>
          <w:rFonts w:ascii="Arial" w:hAnsi="Arial" w:cs="Arial"/>
        </w:rPr>
        <w:t>. The Influence of Cultural Differences on Gender Issues in Tourism and Hospitality Employment: A Grounded Theory Analysis. </w:t>
      </w:r>
      <w:r w:rsidRPr="00552376">
        <w:rPr>
          <w:rFonts w:ascii="Arial" w:hAnsi="Arial" w:cs="Arial"/>
          <w:i/>
          <w:iCs/>
        </w:rPr>
        <w:t>Asian Journal of Business Research</w:t>
      </w:r>
      <w:r w:rsidRPr="00552376">
        <w:rPr>
          <w:rFonts w:ascii="Arial" w:hAnsi="Arial" w:cs="Arial"/>
        </w:rPr>
        <w:t xml:space="preserve">. </w:t>
      </w:r>
      <w:hyperlink r:id="rId69" w:history="1">
        <w:r w:rsidRPr="00552376">
          <w:rPr>
            <w:rStyle w:val="Hyperlink"/>
            <w:rFonts w:ascii="Arial" w:hAnsi="Arial" w:cs="Arial"/>
          </w:rPr>
          <w:t>https://doi.org/10.14707/ajbr.230151</w:t>
        </w:r>
      </w:hyperlink>
      <w:r w:rsidRPr="00552376">
        <w:rPr>
          <w:rFonts w:ascii="Arial" w:hAnsi="Arial" w:cs="Arial"/>
        </w:rPr>
        <w:t xml:space="preserve">. </w:t>
      </w:r>
    </w:p>
    <w:p w14:paraId="488039FC" w14:textId="5965E8AC" w:rsidR="00B83FA0" w:rsidRPr="00552376" w:rsidRDefault="00B83FA0" w:rsidP="00762F6D">
      <w:pPr>
        <w:spacing w:line="360" w:lineRule="auto"/>
        <w:ind w:left="360"/>
        <w:rPr>
          <w:rFonts w:ascii="Arial" w:hAnsi="Arial" w:cs="Arial"/>
        </w:rPr>
      </w:pPr>
      <w:r w:rsidRPr="00552376">
        <w:rPr>
          <w:rFonts w:ascii="Arial" w:hAnsi="Arial" w:cs="Arial"/>
        </w:rPr>
        <w:t xml:space="preserve">Whitelaw, P. and Morda, R., </w:t>
      </w:r>
      <w:r w:rsidR="00646194" w:rsidRPr="00552376">
        <w:rPr>
          <w:rFonts w:ascii="Arial" w:hAnsi="Arial" w:cs="Arial"/>
        </w:rPr>
        <w:t>(</w:t>
      </w:r>
      <w:r w:rsidRPr="00552376">
        <w:rPr>
          <w:rFonts w:ascii="Arial" w:hAnsi="Arial" w:cs="Arial"/>
        </w:rPr>
        <w:t>2004</w:t>
      </w:r>
      <w:r w:rsidR="00646194" w:rsidRPr="00552376">
        <w:rPr>
          <w:rFonts w:ascii="Arial" w:hAnsi="Arial" w:cs="Arial"/>
        </w:rPr>
        <w:t>)</w:t>
      </w:r>
      <w:r w:rsidRPr="00552376">
        <w:rPr>
          <w:rFonts w:ascii="Arial" w:hAnsi="Arial" w:cs="Arial"/>
        </w:rPr>
        <w:t>. Leadership in the hospitality industries: Do women and men value different leadership styles?. In </w:t>
      </w:r>
      <w:r w:rsidRPr="00552376">
        <w:rPr>
          <w:rFonts w:ascii="Arial" w:hAnsi="Arial" w:cs="Arial"/>
          <w:i/>
          <w:iCs/>
        </w:rPr>
        <w:t>CAUTHE (14th: 2004: Brisbane, Qld.)</w:t>
      </w:r>
      <w:r w:rsidRPr="00552376">
        <w:rPr>
          <w:rFonts w:ascii="Arial" w:hAnsi="Arial" w:cs="Arial"/>
        </w:rPr>
        <w:t xml:space="preserve"> (pp. 846-853). Brisbane, Qld.: Common Ground Publishing. </w:t>
      </w:r>
      <w:hyperlink r:id="rId70" w:history="1">
        <w:r w:rsidRPr="00552376">
          <w:rPr>
            <w:rStyle w:val="Hyperlink"/>
            <w:rFonts w:ascii="Arial" w:hAnsi="Arial" w:cs="Arial"/>
          </w:rPr>
          <w:t>https://search.informit.org/doi/10.3316/informit.202753602465484</w:t>
        </w:r>
      </w:hyperlink>
      <w:r w:rsidRPr="00552376">
        <w:rPr>
          <w:rFonts w:ascii="Arial" w:hAnsi="Arial" w:cs="Arial"/>
        </w:rPr>
        <w:t xml:space="preserve"> </w:t>
      </w:r>
    </w:p>
    <w:p w14:paraId="7A3D450C" w14:textId="3A577C60" w:rsidR="00B83FA0" w:rsidRPr="00552376" w:rsidRDefault="00B83FA0" w:rsidP="00762F6D">
      <w:pPr>
        <w:spacing w:line="360" w:lineRule="auto"/>
        <w:ind w:left="360"/>
        <w:rPr>
          <w:rFonts w:ascii="Arial" w:hAnsi="Arial" w:cs="Arial"/>
        </w:rPr>
      </w:pPr>
      <w:r w:rsidRPr="00552376">
        <w:rPr>
          <w:rFonts w:ascii="Arial" w:hAnsi="Arial" w:cs="Arial"/>
        </w:rPr>
        <w:t xml:space="preserve">Whitelaw, P., </w:t>
      </w:r>
      <w:r w:rsidR="00646194" w:rsidRPr="00552376">
        <w:rPr>
          <w:rFonts w:ascii="Arial" w:hAnsi="Arial" w:cs="Arial"/>
        </w:rPr>
        <w:t>(</w:t>
      </w:r>
      <w:r w:rsidRPr="00552376">
        <w:rPr>
          <w:rFonts w:ascii="Arial" w:hAnsi="Arial" w:cs="Arial"/>
        </w:rPr>
        <w:t>2013</w:t>
      </w:r>
      <w:r w:rsidR="00646194" w:rsidRPr="00552376">
        <w:rPr>
          <w:rFonts w:ascii="Arial" w:hAnsi="Arial" w:cs="Arial"/>
        </w:rPr>
        <w:t>)</w:t>
      </w:r>
      <w:r w:rsidRPr="00552376">
        <w:rPr>
          <w:rFonts w:ascii="Arial" w:hAnsi="Arial" w:cs="Arial"/>
        </w:rPr>
        <w:t>. Leadership up the ladder: The construction of leadership styles in the hospitality industry. </w:t>
      </w:r>
      <w:r w:rsidRPr="00552376">
        <w:rPr>
          <w:rFonts w:ascii="Arial" w:hAnsi="Arial" w:cs="Arial"/>
          <w:i/>
          <w:iCs/>
        </w:rPr>
        <w:t>The Journal of Contemporary Issues in Business and Government</w:t>
      </w:r>
      <w:r w:rsidRPr="00552376">
        <w:rPr>
          <w:rFonts w:ascii="Arial" w:hAnsi="Arial" w:cs="Arial"/>
        </w:rPr>
        <w:t>, 19, pp. 65-79. </w:t>
      </w:r>
      <w:hyperlink r:id="rId71" w:tgtFrame="_blank" w:history="1">
        <w:r w:rsidRPr="00552376">
          <w:rPr>
            <w:rStyle w:val="Hyperlink"/>
            <w:rFonts w:ascii="Arial" w:hAnsi="Arial" w:cs="Arial"/>
          </w:rPr>
          <w:t>https://doi.org/10.7790/cibg.v19i1.9</w:t>
        </w:r>
      </w:hyperlink>
      <w:r w:rsidRPr="00552376">
        <w:rPr>
          <w:rFonts w:ascii="Arial" w:hAnsi="Arial" w:cs="Arial"/>
        </w:rPr>
        <w:t>.</w:t>
      </w:r>
    </w:p>
    <w:p w14:paraId="1B8EC8A9" w14:textId="62442C1D" w:rsidR="00B83FA0" w:rsidRPr="00552376" w:rsidRDefault="00B83FA0" w:rsidP="00762F6D">
      <w:pPr>
        <w:spacing w:line="360" w:lineRule="auto"/>
        <w:ind w:left="360"/>
        <w:rPr>
          <w:rFonts w:ascii="Arial" w:hAnsi="Arial" w:cs="Arial"/>
        </w:rPr>
      </w:pPr>
      <w:r w:rsidRPr="00552376">
        <w:rPr>
          <w:rFonts w:ascii="Arial" w:hAnsi="Arial" w:cs="Arial"/>
        </w:rPr>
        <w:t xml:space="preserve">Yin, R.K., </w:t>
      </w:r>
      <w:r w:rsidR="00646194" w:rsidRPr="00552376">
        <w:rPr>
          <w:rFonts w:ascii="Arial" w:hAnsi="Arial" w:cs="Arial"/>
        </w:rPr>
        <w:t>(</w:t>
      </w:r>
      <w:r w:rsidRPr="00552376">
        <w:rPr>
          <w:rFonts w:ascii="Arial" w:hAnsi="Arial" w:cs="Arial"/>
        </w:rPr>
        <w:t>2014</w:t>
      </w:r>
      <w:r w:rsidR="00646194" w:rsidRPr="00552376">
        <w:rPr>
          <w:rFonts w:ascii="Arial" w:hAnsi="Arial" w:cs="Arial"/>
        </w:rPr>
        <w:t>)</w:t>
      </w:r>
      <w:r w:rsidRPr="00552376">
        <w:rPr>
          <w:rFonts w:ascii="Arial" w:hAnsi="Arial" w:cs="Arial"/>
        </w:rPr>
        <w:t xml:space="preserve">. </w:t>
      </w:r>
      <w:r w:rsidRPr="00552376">
        <w:rPr>
          <w:rFonts w:ascii="Arial" w:hAnsi="Arial" w:cs="Arial"/>
          <w:i/>
          <w:iCs/>
        </w:rPr>
        <w:t>Case Study Research: Design and Methods</w:t>
      </w:r>
      <w:r w:rsidRPr="00552376">
        <w:rPr>
          <w:rFonts w:ascii="Arial" w:hAnsi="Arial" w:cs="Arial"/>
        </w:rPr>
        <w:t>. 5th ed. Thousand Oaks, CA: Sage Publications.</w:t>
      </w:r>
    </w:p>
    <w:p w14:paraId="6D555B26" w14:textId="061F7562" w:rsidR="00E67679" w:rsidRDefault="00B83FA0" w:rsidP="004C7BDB">
      <w:pPr>
        <w:spacing w:line="360" w:lineRule="auto"/>
        <w:ind w:left="360"/>
        <w:rPr>
          <w:rFonts w:ascii="Arial" w:hAnsi="Arial" w:cs="Arial"/>
        </w:rPr>
      </w:pPr>
      <w:r w:rsidRPr="00552376">
        <w:rPr>
          <w:rFonts w:ascii="Arial" w:hAnsi="Arial" w:cs="Arial"/>
        </w:rPr>
        <w:t xml:space="preserve">Yin, R.K., </w:t>
      </w:r>
      <w:r w:rsidR="00646194" w:rsidRPr="00552376">
        <w:rPr>
          <w:rFonts w:ascii="Arial" w:hAnsi="Arial" w:cs="Arial"/>
        </w:rPr>
        <w:t>(</w:t>
      </w:r>
      <w:r w:rsidRPr="00552376">
        <w:rPr>
          <w:rFonts w:ascii="Arial" w:hAnsi="Arial" w:cs="Arial"/>
        </w:rPr>
        <w:t>2018</w:t>
      </w:r>
      <w:r w:rsidR="00646194" w:rsidRPr="00552376">
        <w:rPr>
          <w:rFonts w:ascii="Arial" w:hAnsi="Arial" w:cs="Arial"/>
        </w:rPr>
        <w:t>)</w:t>
      </w:r>
      <w:r w:rsidRPr="00552376">
        <w:rPr>
          <w:rFonts w:ascii="Arial" w:hAnsi="Arial" w:cs="Arial"/>
        </w:rPr>
        <w:t>. </w:t>
      </w:r>
      <w:r w:rsidRPr="00552376">
        <w:rPr>
          <w:rFonts w:ascii="Arial" w:hAnsi="Arial" w:cs="Arial"/>
          <w:i/>
          <w:iCs/>
        </w:rPr>
        <w:t>Case study research and applications</w:t>
      </w:r>
      <w:r w:rsidRPr="00552376">
        <w:rPr>
          <w:rFonts w:ascii="Arial" w:hAnsi="Arial" w:cs="Arial"/>
        </w:rPr>
        <w:t> (Vol. 6). Thousand Oaks, CA: Sage.</w:t>
      </w:r>
    </w:p>
    <w:p w14:paraId="598ED081" w14:textId="77777777" w:rsidR="004C7BDB" w:rsidRDefault="004C7BDB" w:rsidP="004C7BDB">
      <w:pPr>
        <w:rPr>
          <w:rFonts w:ascii="Arial" w:hAnsi="Arial" w:cs="Arial"/>
        </w:rPr>
      </w:pPr>
    </w:p>
    <w:p w14:paraId="2D74D008" w14:textId="77777777" w:rsidR="004C7BDB" w:rsidRDefault="004C7BDB" w:rsidP="004C7BDB">
      <w:pPr>
        <w:rPr>
          <w:rFonts w:ascii="Arial" w:hAnsi="Arial" w:cs="Arial"/>
        </w:rPr>
      </w:pPr>
    </w:p>
    <w:p w14:paraId="1E5116BE" w14:textId="77777777" w:rsidR="004C7BDB" w:rsidRDefault="004C7BDB" w:rsidP="004C7BDB">
      <w:pPr>
        <w:rPr>
          <w:rFonts w:ascii="Arial" w:hAnsi="Arial" w:cs="Arial"/>
        </w:rPr>
      </w:pPr>
    </w:p>
    <w:p w14:paraId="29EFC8E6" w14:textId="77777777" w:rsidR="004C7BDB" w:rsidRDefault="004C7BDB" w:rsidP="004C7BDB">
      <w:pPr>
        <w:rPr>
          <w:rFonts w:ascii="Arial" w:hAnsi="Arial" w:cs="Arial"/>
        </w:rPr>
      </w:pPr>
    </w:p>
    <w:p w14:paraId="1790C689" w14:textId="27E2269B" w:rsidR="004C7BDB" w:rsidRPr="004C7BDB" w:rsidRDefault="004C7BDB" w:rsidP="004C7BDB">
      <w:pPr>
        <w:rPr>
          <w:rFonts w:ascii="Arial" w:hAnsi="Arial" w:cs="Arial"/>
        </w:rPr>
      </w:pPr>
      <w:r w:rsidRPr="004C7BDB">
        <w:rPr>
          <w:rFonts w:ascii="Arial" w:hAnsi="Arial" w:cs="Arial"/>
        </w:rPr>
        <w:lastRenderedPageBreak/>
        <w:t>AI Declaration</w:t>
      </w:r>
    </w:p>
    <w:p w14:paraId="3E961F42" w14:textId="281D4652" w:rsidR="004C7BDB" w:rsidRPr="00552376" w:rsidRDefault="004C7BDB" w:rsidP="004C7BDB">
      <w:pPr>
        <w:rPr>
          <w:rFonts w:ascii="Arial" w:hAnsi="Arial" w:cs="Arial"/>
        </w:rPr>
      </w:pPr>
      <w:r w:rsidRPr="004C7BDB">
        <w:rPr>
          <w:rFonts w:ascii="Arial" w:hAnsi="Arial" w:cs="Arial"/>
        </w:rPr>
        <w:t>I acknowledge the use of the Grammarly App in my own text for grammatical and syntactical mistakes, including getting suggestions to rephrase my work in the document containing the assignment.</w:t>
      </w:r>
    </w:p>
    <w:sectPr w:rsidR="004C7BDB" w:rsidRPr="005523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Raleway">
    <w:charset w:val="00"/>
    <w:family w:val="auto"/>
    <w:pitch w:val="variable"/>
    <w:sig w:usb0="A00002FF" w:usb1="5000205B" w:usb2="00000000" w:usb3="00000000" w:csb0="00000197"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800DC6"/>
    <w:multiLevelType w:val="hybridMultilevel"/>
    <w:tmpl w:val="2FB000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6D90F3E"/>
    <w:multiLevelType w:val="hybridMultilevel"/>
    <w:tmpl w:val="E5D00F66"/>
    <w:lvl w:ilvl="0" w:tplc="A07AD47A">
      <w:start w:val="1"/>
      <w:numFmt w:val="bullet"/>
      <w:lvlText w:val="‐"/>
      <w:lvlJc w:val="left"/>
      <w:pPr>
        <w:ind w:left="720" w:hanging="360"/>
      </w:pPr>
      <w:rPr>
        <w:rFonts w:ascii="Raleway" w:hAnsi="Raleway"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2" w15:restartNumberingAfterBreak="0">
    <w:nsid w:val="277F6409"/>
    <w:multiLevelType w:val="hybridMultilevel"/>
    <w:tmpl w:val="EA8C90D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401109DA"/>
    <w:multiLevelType w:val="hybridMultilevel"/>
    <w:tmpl w:val="353CAA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45B02144"/>
    <w:multiLevelType w:val="hybridMultilevel"/>
    <w:tmpl w:val="7C04421C"/>
    <w:lvl w:ilvl="0" w:tplc="A07AD47A">
      <w:start w:val="1"/>
      <w:numFmt w:val="bullet"/>
      <w:lvlText w:val="‐"/>
      <w:lvlJc w:val="left"/>
      <w:pPr>
        <w:ind w:left="720" w:hanging="360"/>
      </w:pPr>
      <w:rPr>
        <w:rFonts w:ascii="Raleway" w:hAnsi="Raleway"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5" w15:restartNumberingAfterBreak="0">
    <w:nsid w:val="48372E22"/>
    <w:multiLevelType w:val="hybridMultilevel"/>
    <w:tmpl w:val="088AFBB0"/>
    <w:lvl w:ilvl="0" w:tplc="A07AD47A">
      <w:start w:val="1"/>
      <w:numFmt w:val="bullet"/>
      <w:lvlText w:val="‐"/>
      <w:lvlJc w:val="left"/>
      <w:pPr>
        <w:ind w:left="720" w:hanging="360"/>
      </w:pPr>
      <w:rPr>
        <w:rFonts w:ascii="Raleway" w:hAnsi="Raleway"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6" w15:restartNumberingAfterBreak="0">
    <w:nsid w:val="506D3D77"/>
    <w:multiLevelType w:val="hybridMultilevel"/>
    <w:tmpl w:val="5B565C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5B602920"/>
    <w:multiLevelType w:val="hybridMultilevel"/>
    <w:tmpl w:val="DD3E42DC"/>
    <w:lvl w:ilvl="0" w:tplc="A07AD47A">
      <w:start w:val="1"/>
      <w:numFmt w:val="bullet"/>
      <w:lvlText w:val="‐"/>
      <w:lvlJc w:val="left"/>
      <w:pPr>
        <w:ind w:left="720" w:hanging="360"/>
      </w:pPr>
      <w:rPr>
        <w:rFonts w:ascii="Raleway" w:hAnsi="Raleway"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66592FBF"/>
    <w:multiLevelType w:val="multilevel"/>
    <w:tmpl w:val="BA1AE61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9" w15:restartNumberingAfterBreak="0">
    <w:nsid w:val="6E272968"/>
    <w:multiLevelType w:val="hybridMultilevel"/>
    <w:tmpl w:val="C4103B32"/>
    <w:lvl w:ilvl="0" w:tplc="A07AD47A">
      <w:start w:val="1"/>
      <w:numFmt w:val="bullet"/>
      <w:lvlText w:val="‐"/>
      <w:lvlJc w:val="left"/>
      <w:pPr>
        <w:ind w:left="720" w:hanging="360"/>
      </w:pPr>
      <w:rPr>
        <w:rFonts w:ascii="Raleway" w:hAnsi="Raleway"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10" w15:restartNumberingAfterBreak="0">
    <w:nsid w:val="6F042AA0"/>
    <w:multiLevelType w:val="multilevel"/>
    <w:tmpl w:val="D50E1EF4"/>
    <w:lvl w:ilvl="0">
      <w:start w:val="1"/>
      <w:numFmt w:val="decimal"/>
      <w:lvlText w:val="%1"/>
      <w:lvlJc w:val="left"/>
      <w:pPr>
        <w:ind w:left="396" w:hanging="396"/>
      </w:pPr>
      <w:rPr>
        <w:b/>
      </w:rPr>
    </w:lvl>
    <w:lvl w:ilvl="1">
      <w:start w:val="1"/>
      <w:numFmt w:val="decimal"/>
      <w:lvlText w:val="%1.%2"/>
      <w:lvlJc w:val="left"/>
      <w:pPr>
        <w:ind w:left="396" w:hanging="396"/>
      </w:pPr>
      <w:rPr>
        <w:b/>
      </w:rPr>
    </w:lvl>
    <w:lvl w:ilvl="2">
      <w:start w:val="1"/>
      <w:numFmt w:val="decimal"/>
      <w:lvlText w:val="%1.%2.%3"/>
      <w:lvlJc w:val="left"/>
      <w:pPr>
        <w:ind w:left="720" w:hanging="720"/>
      </w:pPr>
      <w:rPr>
        <w:b/>
      </w:rPr>
    </w:lvl>
    <w:lvl w:ilvl="3">
      <w:start w:val="1"/>
      <w:numFmt w:val="decimal"/>
      <w:lvlText w:val="%1.%2.%3.%4"/>
      <w:lvlJc w:val="left"/>
      <w:pPr>
        <w:ind w:left="1080" w:hanging="1080"/>
      </w:pPr>
      <w:rPr>
        <w:b/>
      </w:rPr>
    </w:lvl>
    <w:lvl w:ilvl="4">
      <w:start w:val="1"/>
      <w:numFmt w:val="decimal"/>
      <w:lvlText w:val="%1.%2.%3.%4.%5"/>
      <w:lvlJc w:val="left"/>
      <w:pPr>
        <w:ind w:left="1080" w:hanging="1080"/>
      </w:pPr>
      <w:rPr>
        <w:b/>
      </w:rPr>
    </w:lvl>
    <w:lvl w:ilvl="5">
      <w:start w:val="1"/>
      <w:numFmt w:val="decimal"/>
      <w:lvlText w:val="%1.%2.%3.%4.%5.%6"/>
      <w:lvlJc w:val="left"/>
      <w:pPr>
        <w:ind w:left="1440" w:hanging="1440"/>
      </w:pPr>
      <w:rPr>
        <w:b/>
      </w:rPr>
    </w:lvl>
    <w:lvl w:ilvl="6">
      <w:start w:val="1"/>
      <w:numFmt w:val="decimal"/>
      <w:lvlText w:val="%1.%2.%3.%4.%5.%6.%7"/>
      <w:lvlJc w:val="left"/>
      <w:pPr>
        <w:ind w:left="1440" w:hanging="1440"/>
      </w:pPr>
      <w:rPr>
        <w:b/>
      </w:rPr>
    </w:lvl>
    <w:lvl w:ilvl="7">
      <w:start w:val="1"/>
      <w:numFmt w:val="decimal"/>
      <w:lvlText w:val="%1.%2.%3.%4.%5.%6.%7.%8"/>
      <w:lvlJc w:val="left"/>
      <w:pPr>
        <w:ind w:left="1800" w:hanging="1800"/>
      </w:pPr>
      <w:rPr>
        <w:b/>
      </w:rPr>
    </w:lvl>
    <w:lvl w:ilvl="8">
      <w:start w:val="1"/>
      <w:numFmt w:val="decimal"/>
      <w:lvlText w:val="%1.%2.%3.%4.%5.%6.%7.%8.%9"/>
      <w:lvlJc w:val="left"/>
      <w:pPr>
        <w:ind w:left="1800" w:hanging="1800"/>
      </w:pPr>
      <w:rPr>
        <w:b/>
      </w:rPr>
    </w:lvl>
  </w:abstractNum>
  <w:abstractNum w:abstractNumId="11" w15:restartNumberingAfterBreak="0">
    <w:nsid w:val="73AE31F5"/>
    <w:multiLevelType w:val="hybridMultilevel"/>
    <w:tmpl w:val="25383F06"/>
    <w:lvl w:ilvl="0" w:tplc="A07AD47A">
      <w:start w:val="1"/>
      <w:numFmt w:val="bullet"/>
      <w:lvlText w:val="‐"/>
      <w:lvlJc w:val="left"/>
      <w:pPr>
        <w:ind w:left="720" w:hanging="360"/>
      </w:pPr>
      <w:rPr>
        <w:rFonts w:ascii="Raleway" w:hAnsi="Raleway"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num w:numId="1" w16cid:durableId="300573599">
    <w:abstractNumId w:val="3"/>
  </w:num>
  <w:num w:numId="2" w16cid:durableId="677855599">
    <w:abstractNumId w:val="6"/>
  </w:num>
  <w:num w:numId="3" w16cid:durableId="865026075">
    <w:abstractNumId w:val="0"/>
  </w:num>
  <w:num w:numId="4" w16cid:durableId="1118795858">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735352113">
    <w:abstractNumId w:val="2"/>
  </w:num>
  <w:num w:numId="6" w16cid:durableId="890965369">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127702461">
    <w:abstractNumId w:val="4"/>
  </w:num>
  <w:num w:numId="8" w16cid:durableId="950865385">
    <w:abstractNumId w:val="7"/>
  </w:num>
  <w:num w:numId="9" w16cid:durableId="549079152">
    <w:abstractNumId w:val="1"/>
  </w:num>
  <w:num w:numId="10" w16cid:durableId="1727602762">
    <w:abstractNumId w:val="5"/>
  </w:num>
  <w:num w:numId="11" w16cid:durableId="1330523196">
    <w:abstractNumId w:val="11"/>
  </w:num>
  <w:num w:numId="12" w16cid:durableId="121315239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679"/>
    <w:rsid w:val="00053264"/>
    <w:rsid w:val="0023095C"/>
    <w:rsid w:val="00275B51"/>
    <w:rsid w:val="002D4708"/>
    <w:rsid w:val="00310090"/>
    <w:rsid w:val="003A687A"/>
    <w:rsid w:val="004216E2"/>
    <w:rsid w:val="00437F08"/>
    <w:rsid w:val="004C7BDB"/>
    <w:rsid w:val="004D3173"/>
    <w:rsid w:val="00552376"/>
    <w:rsid w:val="00623A9B"/>
    <w:rsid w:val="00637015"/>
    <w:rsid w:val="00646194"/>
    <w:rsid w:val="00656158"/>
    <w:rsid w:val="0066165D"/>
    <w:rsid w:val="0066677B"/>
    <w:rsid w:val="006929E2"/>
    <w:rsid w:val="006E6C83"/>
    <w:rsid w:val="00703BC4"/>
    <w:rsid w:val="00762F6D"/>
    <w:rsid w:val="00821459"/>
    <w:rsid w:val="008C0325"/>
    <w:rsid w:val="00B83FA0"/>
    <w:rsid w:val="00C00A9A"/>
    <w:rsid w:val="00E67679"/>
    <w:rsid w:val="00E96968"/>
    <w:rsid w:val="00F37D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0222A3"/>
  <w15:chartTrackingRefBased/>
  <w15:docId w15:val="{1D268FCF-8E67-47F3-B43D-A6C09CD6E7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3FA0"/>
    <w:pPr>
      <w:spacing w:line="276" w:lineRule="auto"/>
    </w:pPr>
  </w:style>
  <w:style w:type="paragraph" w:styleId="Heading1">
    <w:name w:val="heading 1"/>
    <w:basedOn w:val="Normal"/>
    <w:next w:val="Normal"/>
    <w:link w:val="Heading1Char"/>
    <w:uiPriority w:val="9"/>
    <w:qFormat/>
    <w:rsid w:val="00E676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76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6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6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6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6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6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6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6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6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76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6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6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6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6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6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6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679"/>
    <w:rPr>
      <w:rFonts w:eastAsiaTheme="majorEastAsia" w:cstheme="majorBidi"/>
      <w:color w:val="272727" w:themeColor="text1" w:themeTint="D8"/>
    </w:rPr>
  </w:style>
  <w:style w:type="paragraph" w:styleId="Title">
    <w:name w:val="Title"/>
    <w:basedOn w:val="Normal"/>
    <w:next w:val="Normal"/>
    <w:link w:val="TitleChar"/>
    <w:uiPriority w:val="10"/>
    <w:qFormat/>
    <w:rsid w:val="00E676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6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6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6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679"/>
    <w:pPr>
      <w:spacing w:before="160"/>
      <w:jc w:val="center"/>
    </w:pPr>
    <w:rPr>
      <w:i/>
      <w:iCs/>
      <w:color w:val="404040" w:themeColor="text1" w:themeTint="BF"/>
    </w:rPr>
  </w:style>
  <w:style w:type="character" w:customStyle="1" w:styleId="QuoteChar">
    <w:name w:val="Quote Char"/>
    <w:basedOn w:val="DefaultParagraphFont"/>
    <w:link w:val="Quote"/>
    <w:uiPriority w:val="29"/>
    <w:rsid w:val="00E67679"/>
    <w:rPr>
      <w:i/>
      <w:iCs/>
      <w:color w:val="404040" w:themeColor="text1" w:themeTint="BF"/>
    </w:rPr>
  </w:style>
  <w:style w:type="paragraph" w:styleId="ListParagraph">
    <w:name w:val="List Paragraph"/>
    <w:basedOn w:val="Normal"/>
    <w:uiPriority w:val="34"/>
    <w:qFormat/>
    <w:rsid w:val="00E67679"/>
    <w:pPr>
      <w:ind w:left="720"/>
      <w:contextualSpacing/>
    </w:pPr>
  </w:style>
  <w:style w:type="character" w:styleId="IntenseEmphasis">
    <w:name w:val="Intense Emphasis"/>
    <w:basedOn w:val="DefaultParagraphFont"/>
    <w:uiPriority w:val="21"/>
    <w:qFormat/>
    <w:rsid w:val="00E67679"/>
    <w:rPr>
      <w:i/>
      <w:iCs/>
      <w:color w:val="0F4761" w:themeColor="accent1" w:themeShade="BF"/>
    </w:rPr>
  </w:style>
  <w:style w:type="paragraph" w:styleId="IntenseQuote">
    <w:name w:val="Intense Quote"/>
    <w:basedOn w:val="Normal"/>
    <w:next w:val="Normal"/>
    <w:link w:val="IntenseQuoteChar"/>
    <w:uiPriority w:val="30"/>
    <w:qFormat/>
    <w:rsid w:val="00E676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679"/>
    <w:rPr>
      <w:i/>
      <w:iCs/>
      <w:color w:val="0F4761" w:themeColor="accent1" w:themeShade="BF"/>
    </w:rPr>
  </w:style>
  <w:style w:type="character" w:styleId="IntenseReference">
    <w:name w:val="Intense Reference"/>
    <w:basedOn w:val="DefaultParagraphFont"/>
    <w:uiPriority w:val="32"/>
    <w:qFormat/>
    <w:rsid w:val="00E67679"/>
    <w:rPr>
      <w:b/>
      <w:bCs/>
      <w:smallCaps/>
      <w:color w:val="0F4761" w:themeColor="accent1" w:themeShade="BF"/>
      <w:spacing w:val="5"/>
    </w:rPr>
  </w:style>
  <w:style w:type="character" w:styleId="Hyperlink">
    <w:name w:val="Hyperlink"/>
    <w:basedOn w:val="DefaultParagraphFont"/>
    <w:uiPriority w:val="99"/>
    <w:semiHidden/>
    <w:unhideWhenUsed/>
    <w:rsid w:val="00B83FA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07/s40558-020-00168-0" TargetMode="External"/><Relationship Id="rId21" Type="http://schemas.openxmlformats.org/officeDocument/2006/relationships/hyperlink" Target="https://doi.org/10.1177/1096348094018-19003-106" TargetMode="External"/><Relationship Id="rId42" Type="http://schemas.openxmlformats.org/officeDocument/2006/relationships/hyperlink" Target="https://www.researchgate.net/publication/227653837_General_Considerations_on_Leadership_in_the_Hospitality_Industry_Conceptual_Analysis_and_Practical_Studies" TargetMode="External"/><Relationship Id="rId47" Type="http://schemas.openxmlformats.org/officeDocument/2006/relationships/hyperlink" Target="https://doi.org/10.18411/satm-02-2022-07" TargetMode="External"/><Relationship Id="rId63" Type="http://schemas.openxmlformats.org/officeDocument/2006/relationships/hyperlink" Target="https://doi.org/10.9741/2327-8455.1369" TargetMode="External"/><Relationship Id="rId68" Type="http://schemas.openxmlformats.org/officeDocument/2006/relationships/hyperlink" Target="https://doi.org/10.1177/1077800410383121" TargetMode="External"/><Relationship Id="rId2" Type="http://schemas.openxmlformats.org/officeDocument/2006/relationships/styles" Target="styles.xml"/><Relationship Id="rId16" Type="http://schemas.openxmlformats.org/officeDocument/2006/relationships/hyperlink" Target="https://doi.org/10.20867/thm.29.4.8" TargetMode="External"/><Relationship Id="rId29" Type="http://schemas.openxmlformats.org/officeDocument/2006/relationships/hyperlink" Target="https://www.academia.edu/download/77148768/viewcontent.pdf" TargetMode="External"/><Relationship Id="rId11" Type="http://schemas.openxmlformats.org/officeDocument/2006/relationships/hyperlink" Target="https://www.academia.edu/download/68367272/JTHM_2017_4_.pdf" TargetMode="External"/><Relationship Id="rId24" Type="http://schemas.openxmlformats.org/officeDocument/2006/relationships/hyperlink" Target="https://doi.org/10.1080/22243534.2024.2322221" TargetMode="External"/><Relationship Id="rId32" Type="http://schemas.openxmlformats.org/officeDocument/2006/relationships/hyperlink" Target="https://doi.org/10.1007/978-3-031-52803-3_8" TargetMode="External"/><Relationship Id="rId37" Type="http://schemas.openxmlformats.org/officeDocument/2006/relationships/hyperlink" Target="https://doi.org/10.1177/109634809401800105" TargetMode="External"/><Relationship Id="rId40" Type="http://schemas.openxmlformats.org/officeDocument/2006/relationships/hyperlink" Target="https://doi.org/10.1108/IJCHM-09-2016-0538" TargetMode="External"/><Relationship Id="rId45" Type="http://schemas.openxmlformats.org/officeDocument/2006/relationships/hyperlink" Target="https://digitalcommons.fiu.edu/cgi/viewcontent.cgi?article=1356&amp;context=hospitalityreview" TargetMode="External"/><Relationship Id="rId53" Type="http://schemas.openxmlformats.org/officeDocument/2006/relationships/hyperlink" Target="https://doi.org/10.1108/ijchm-09-2019-0780" TargetMode="External"/><Relationship Id="rId58" Type="http://schemas.openxmlformats.org/officeDocument/2006/relationships/hyperlink" Target="https://doi.org/10.1108/09596111111153475" TargetMode="External"/><Relationship Id="rId66" Type="http://schemas.openxmlformats.org/officeDocument/2006/relationships/hyperlink" Target="https://doi.org/10.1016/j.heliyon.2023.e15507" TargetMode="External"/><Relationship Id="rId5" Type="http://schemas.openxmlformats.org/officeDocument/2006/relationships/image" Target="media/image1.jpeg"/><Relationship Id="rId61" Type="http://schemas.openxmlformats.org/officeDocument/2006/relationships/hyperlink" Target="https://www.researchgate.net/publication/362532274_Challenges_in_the_career_progression_of_women_in_Hospitality_industry-a_review_of_literature" TargetMode="External"/><Relationship Id="rId19" Type="http://schemas.openxmlformats.org/officeDocument/2006/relationships/hyperlink" Target="https://doi.org/10.1016/j.ijhm.2019.102397" TargetMode="External"/><Relationship Id="rId14" Type="http://schemas.openxmlformats.org/officeDocument/2006/relationships/hyperlink" Target="https://doi.org/10.1002/sd.2059" TargetMode="External"/><Relationship Id="rId22" Type="http://schemas.openxmlformats.org/officeDocument/2006/relationships/hyperlink" Target="https://doi.org/10.1111/1467-6486.00386" TargetMode="External"/><Relationship Id="rId27" Type="http://schemas.openxmlformats.org/officeDocument/2006/relationships/hyperlink" Target="https://vivauniversity.wordpress.com/wp-content/uploads/2014/02/flick-2009-an-introduction-to-qualitative-research-full-book.pdf" TargetMode="External"/><Relationship Id="rId30" Type="http://schemas.openxmlformats.org/officeDocument/2006/relationships/hyperlink" Target="https://doi.org/10.1108/ijchm-05-2020-0385" TargetMode="External"/><Relationship Id="rId35" Type="http://schemas.openxmlformats.org/officeDocument/2006/relationships/hyperlink" Target="https://www.researchgate.net/profile/Thomas-Gomes-2/publication/348005434_Tourism_as_a_Driver_for_Promoting_Gender_Equality_A_Case_Study_of_Participation_of_Women_in_the_Tourism_Labour_Market_in_Cox's_Bazar_Bangladesh/links/5fecad4b92851c13fed7bdb9/Tourism-as-a-Driver-for-Promoting-Gender-Equality-A-Case-Study-of-Participation-of-Women-in-the-Tourism-Labour-Market-in-Coxs-Bazar-Bangladesh.pdf" TargetMode="External"/><Relationship Id="rId43" Type="http://schemas.openxmlformats.org/officeDocument/2006/relationships/hyperlink" Target="https://doi.org/10.1080/15332845.2021.1872235" TargetMode="External"/><Relationship Id="rId48" Type="http://schemas.openxmlformats.org/officeDocument/2006/relationships/hyperlink" Target="https://doi.org/10.1108/00483480010297211" TargetMode="External"/><Relationship Id="rId56" Type="http://schemas.openxmlformats.org/officeDocument/2006/relationships/hyperlink" Target="https://doi.org/10.4018/978-1-6684-3885-5.ch029" TargetMode="External"/><Relationship Id="rId64" Type="http://schemas.openxmlformats.org/officeDocument/2006/relationships/hyperlink" Target="https://doi.org/10.4324/9781315237473" TargetMode="External"/><Relationship Id="rId69" Type="http://schemas.openxmlformats.org/officeDocument/2006/relationships/hyperlink" Target="https://doi.org/10.14707/ajbr.230151" TargetMode="External"/><Relationship Id="rId8" Type="http://schemas.openxmlformats.org/officeDocument/2006/relationships/hyperlink" Target="https://doi.org/10.1016/j.ijhm.2024.103756" TargetMode="External"/><Relationship Id="rId51" Type="http://schemas.openxmlformats.org/officeDocument/2006/relationships/hyperlink" Target="https://doi.org/10.48730/g7s5-2g77" TargetMode="External"/><Relationship Id="rId72"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hdl.handle.net/10419/177067" TargetMode="External"/><Relationship Id="rId17" Type="http://schemas.openxmlformats.org/officeDocument/2006/relationships/hyperlink" Target="https://elib.vku.udn.vn/bitstream/123456789/5123/1/2013.%20Qualitative%20Inquiry%20And%20Research%20Design%20Choosing%20Among%20Five%20Approaches%20%28%203th%20Edition%20%29.pdf" TargetMode="External"/><Relationship Id="rId25" Type="http://schemas.openxmlformats.org/officeDocument/2006/relationships/hyperlink" Target="https://doi.org/10.2139/ssrn.5021719" TargetMode="External"/><Relationship Id="rId33" Type="http://schemas.openxmlformats.org/officeDocument/2006/relationships/hyperlink" Target="https://doi.org/10.31305/trjtm2024.v04.n04.002" TargetMode="External"/><Relationship Id="rId38" Type="http://schemas.openxmlformats.org/officeDocument/2006/relationships/hyperlink" Target="https://aepsic.org/resources/Measurements/Coordinating%20Mechanisms.pdf" TargetMode="External"/><Relationship Id="rId46" Type="http://schemas.openxmlformats.org/officeDocument/2006/relationships/hyperlink" Target="https://doi.org/10.1080/19368623.2015.976696" TargetMode="External"/><Relationship Id="rId59" Type="http://schemas.openxmlformats.org/officeDocument/2006/relationships/hyperlink" Target="https://doi.org/10.14738/abr.121.16312" TargetMode="External"/><Relationship Id="rId67" Type="http://schemas.openxmlformats.org/officeDocument/2006/relationships/hyperlink" Target="https://doi.org/10.32782/2524-0072/2023-55-61" TargetMode="External"/><Relationship Id="rId20" Type="http://schemas.openxmlformats.org/officeDocument/2006/relationships/hyperlink" Target="https://doi.org/10.1080/22243534.2020.1869461" TargetMode="External"/><Relationship Id="rId41" Type="http://schemas.openxmlformats.org/officeDocument/2006/relationships/hyperlink" Target="https://doi.org/10.1108/09596110810899086" TargetMode="External"/><Relationship Id="rId54" Type="http://schemas.openxmlformats.org/officeDocument/2006/relationships/hyperlink" Target="https://doi.org/10.2991/assehr.k.210424.086" TargetMode="External"/><Relationship Id="rId62" Type="http://schemas.openxmlformats.org/officeDocument/2006/relationships/hyperlink" Target="https://doi.org/10.1177/0018726710365092" TargetMode="External"/><Relationship Id="rId70" Type="http://schemas.openxmlformats.org/officeDocument/2006/relationships/hyperlink" Target="https://search.informit.org/doi/10.3316/informit.202753602465484" TargetMode="External"/><Relationship Id="rId1" Type="http://schemas.openxmlformats.org/officeDocument/2006/relationships/numbering" Target="numbering.xml"/><Relationship Id="rId6" Type="http://schemas.openxmlformats.org/officeDocument/2006/relationships/hyperlink" Target="https://doi.org/10.1108/IJCHM-10-2018-0805" TargetMode="External"/><Relationship Id="rId15" Type="http://schemas.openxmlformats.org/officeDocument/2006/relationships/hyperlink" Target="https://ngocc.org.zm/wp-content/uploads/2020/10/Gender-Equality-and-Tourism-Beyond-Empowerment.pdf" TargetMode="External"/><Relationship Id="rId23" Type="http://schemas.openxmlformats.org/officeDocument/2006/relationships/hyperlink" Target="https://doi.org/10.1108/ijchm-09-2021-1128" TargetMode="External"/><Relationship Id="rId28" Type="http://schemas.openxmlformats.org/officeDocument/2006/relationships/hyperlink" Target="https://doi.org/10.1108/gm-03-2024-0149" TargetMode="External"/><Relationship Id="rId36" Type="http://schemas.openxmlformats.org/officeDocument/2006/relationships/hyperlink" Target="https://doi.org/10.1108/ijchm-06-2018-0486" TargetMode="External"/><Relationship Id="rId49" Type="http://schemas.openxmlformats.org/officeDocument/2006/relationships/hyperlink" Target="https://libres.uncg.edu/ir/uncg/f/A_Chuang_Transforming_2007.pdf" TargetMode="External"/><Relationship Id="rId57" Type="http://schemas.openxmlformats.org/officeDocument/2006/relationships/hyperlink" Target="https://aulasvirtuales.wordpress.com/wp-content/uploads/2014/02/qualitative-research-evaluation-methods-by-michael-patton.pdf" TargetMode="External"/><Relationship Id="rId10" Type="http://schemas.openxmlformats.org/officeDocument/2006/relationships/hyperlink" Target="https://www.bera.ac.uk/publication/ethical-guidelines-for-educational-research-2018" TargetMode="External"/><Relationship Id="rId31" Type="http://schemas.openxmlformats.org/officeDocument/2006/relationships/hyperlink" Target="https://doi.org/10.1177/00472875221111754" TargetMode="External"/><Relationship Id="rId44" Type="http://schemas.openxmlformats.org/officeDocument/2006/relationships/hyperlink" Target="https://www.theseus.fi/bitstream/handle/10024/97762/Jokinen_Silva.pdf?sequence=1" TargetMode="External"/><Relationship Id="rId52" Type="http://schemas.openxmlformats.org/officeDocument/2006/relationships/hyperlink" Target="https://doi.org/10.1108/17542410910950877" TargetMode="External"/><Relationship Id="rId60" Type="http://schemas.openxmlformats.org/officeDocument/2006/relationships/hyperlink" Target="https://www.researchgate.net/profile/Jyoti-Peshave/publication/362568676_International_Journal_of_Commerce_and_Management_Research_Challenges_in_the_career_progression_of_women_in_Hospitality_industry-a_review_of_literature/links/62f1f2bf0b37cc3447804965/International-Journal-of-Commerce-and-Management-Research-Challenges-in-the-career-progression-of-women-in-Hospitality-industry-a-review-of-literature.pdf" TargetMode="External"/><Relationship Id="rId65" Type="http://schemas.openxmlformats.org/officeDocument/2006/relationships/hyperlink" Target="https://doi.org/10.34190/ictr.6.1.1095" TargetMode="External"/><Relationship Id="rId73"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16/j.ijhm.2014.05.003" TargetMode="External"/><Relationship Id="rId13" Type="http://schemas.openxmlformats.org/officeDocument/2006/relationships/hyperlink" Target="https://lib.mdpu.org.ua/wp-content/uploads/2024/03/Alan-Bryman-Social-Research-Methods2016.pdf" TargetMode="External"/><Relationship Id="rId18" Type="http://schemas.openxmlformats.org/officeDocument/2006/relationships/hyperlink" Target="https://doi.org/10.34190/icgr.7.1.2255" TargetMode="External"/><Relationship Id="rId39" Type="http://schemas.openxmlformats.org/officeDocument/2006/relationships/hyperlink" Target="https://doi.org/10.21608/ijhth.2019.35101" TargetMode="External"/><Relationship Id="rId34" Type="http://schemas.openxmlformats.org/officeDocument/2006/relationships/hyperlink" Target="https://doi.org/10.1287/mnsc.48.11.1408.268" TargetMode="External"/><Relationship Id="rId50" Type="http://schemas.openxmlformats.org/officeDocument/2006/relationships/hyperlink" Target="https://doi.org/10.7275/j75k-fn37" TargetMode="External"/><Relationship Id="rId55" Type="http://schemas.openxmlformats.org/officeDocument/2006/relationships/hyperlink" Target="https://doi.org/10.1177/1609406917733847" TargetMode="External"/><Relationship Id="rId7" Type="http://schemas.openxmlformats.org/officeDocument/2006/relationships/hyperlink" Target="https://doi.org/10.1016/j.ijhm.2018.06.027" TargetMode="External"/><Relationship Id="rId71" Type="http://schemas.openxmlformats.org/officeDocument/2006/relationships/hyperlink" Target="https://doi.org/10.7790/cibg.v19i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43</Pages>
  <Words>11078</Words>
  <Characters>69352</Characters>
  <Application>Microsoft Office Word</Application>
  <DocSecurity>0</DocSecurity>
  <Lines>1333</Lines>
  <Paragraphs>392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Postelnicu (2223852)</dc:creator>
  <cp:keywords/>
  <dc:description/>
  <cp:lastModifiedBy>Bianca Postelnicu (2223852)</cp:lastModifiedBy>
  <cp:revision>24</cp:revision>
  <dcterms:created xsi:type="dcterms:W3CDTF">2025-11-06T17:47:00Z</dcterms:created>
  <dcterms:modified xsi:type="dcterms:W3CDTF">2025-11-06T18:30:00Z</dcterms:modified>
</cp:coreProperties>
</file>