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056ED49" w14:textId="7312D3EE" w:rsidR="00725291" w:rsidRDefault="00725291" w:rsidP="00725291">
      <w:pPr>
        <w:jc w:val="center"/>
        <w:rPr>
          <w:sz w:val="36"/>
          <w:szCs w:val="36"/>
        </w:rPr>
      </w:pPr>
    </w:p>
    <w:p w14:paraId="345946F3" w14:textId="6003AAEC" w:rsidR="00725291" w:rsidRDefault="00725291" w:rsidP="00725291">
      <w:pPr>
        <w:jc w:val="center"/>
        <w:rPr>
          <w:sz w:val="36"/>
          <w:szCs w:val="36"/>
        </w:rPr>
      </w:pPr>
    </w:p>
    <w:p w14:paraId="07C106FD" w14:textId="1335D6EE" w:rsidR="00725291" w:rsidRDefault="00725291" w:rsidP="00725291">
      <w:pPr>
        <w:jc w:val="center"/>
        <w:rPr>
          <w:sz w:val="36"/>
          <w:szCs w:val="36"/>
        </w:rPr>
      </w:pPr>
    </w:p>
    <w:p w14:paraId="138312B9" w14:textId="267207C5" w:rsidR="00725291" w:rsidRDefault="00725291" w:rsidP="00725291">
      <w:pPr>
        <w:jc w:val="center"/>
        <w:rPr>
          <w:sz w:val="36"/>
          <w:szCs w:val="36"/>
        </w:rPr>
      </w:pPr>
    </w:p>
    <w:p w14:paraId="7FA0CBC2" w14:textId="2FC65283" w:rsidR="00725291" w:rsidRDefault="00725291" w:rsidP="00725291">
      <w:pPr>
        <w:jc w:val="center"/>
        <w:rPr>
          <w:sz w:val="36"/>
          <w:szCs w:val="36"/>
        </w:rPr>
      </w:pPr>
      <w:r>
        <w:rPr>
          <w:sz w:val="36"/>
          <w:szCs w:val="36"/>
        </w:rPr>
        <w:t>Exhibiting the Past: Museums, Collections and Heritage</w:t>
      </w:r>
    </w:p>
    <w:p w14:paraId="66584221" w14:textId="65BA9654" w:rsidR="00725291" w:rsidRDefault="00725291" w:rsidP="00725291">
      <w:pPr>
        <w:jc w:val="center"/>
        <w:rPr>
          <w:sz w:val="36"/>
          <w:szCs w:val="36"/>
        </w:rPr>
      </w:pPr>
      <w:r>
        <w:rPr>
          <w:sz w:val="36"/>
          <w:szCs w:val="36"/>
        </w:rPr>
        <w:t>(AHAN7030)</w:t>
      </w:r>
    </w:p>
    <w:p w14:paraId="4225FF10" w14:textId="0B79A621" w:rsidR="00725291" w:rsidRDefault="00725291" w:rsidP="00725291">
      <w:pPr>
        <w:jc w:val="center"/>
        <w:rPr>
          <w:sz w:val="36"/>
          <w:szCs w:val="36"/>
        </w:rPr>
      </w:pPr>
      <w:r>
        <w:rPr>
          <w:sz w:val="36"/>
          <w:szCs w:val="36"/>
        </w:rPr>
        <w:t>Assignment 2: Essay</w:t>
      </w:r>
    </w:p>
    <w:p w14:paraId="54E705AC" w14:textId="48BF4883" w:rsidR="00725291" w:rsidRDefault="00725291" w:rsidP="00725291">
      <w:pPr>
        <w:jc w:val="center"/>
        <w:rPr>
          <w:sz w:val="36"/>
          <w:szCs w:val="36"/>
        </w:rPr>
      </w:pPr>
      <w:r>
        <w:rPr>
          <w:sz w:val="36"/>
          <w:szCs w:val="36"/>
        </w:rPr>
        <w:t>Moody_1812255_AHAN7030_Ass2</w:t>
      </w:r>
    </w:p>
    <w:p w14:paraId="6D4DAE4B" w14:textId="7FF40131" w:rsidR="00725291" w:rsidRDefault="00725291" w:rsidP="00725291">
      <w:pPr>
        <w:jc w:val="center"/>
        <w:rPr>
          <w:sz w:val="36"/>
          <w:szCs w:val="36"/>
        </w:rPr>
      </w:pPr>
      <w:r>
        <w:rPr>
          <w:sz w:val="36"/>
          <w:szCs w:val="36"/>
        </w:rPr>
        <w:t>Alison Moody</w:t>
      </w:r>
    </w:p>
    <w:p w14:paraId="4EDEBC7F" w14:textId="51F22C2D" w:rsidR="00966B6A" w:rsidRDefault="00966B6A" w:rsidP="00725291">
      <w:pPr>
        <w:jc w:val="center"/>
        <w:rPr>
          <w:sz w:val="36"/>
          <w:szCs w:val="36"/>
        </w:rPr>
      </w:pPr>
    </w:p>
    <w:p w14:paraId="5295A498" w14:textId="4AA563B5" w:rsidR="00966B6A" w:rsidRDefault="00966B6A" w:rsidP="00966B6A"/>
    <w:p w14:paraId="45EEFAB5" w14:textId="7C14D76E" w:rsidR="00966B6A" w:rsidRDefault="00966B6A" w:rsidP="00966B6A"/>
    <w:p w14:paraId="46998375" w14:textId="0A54F9F2" w:rsidR="00966B6A" w:rsidRDefault="00966B6A" w:rsidP="00966B6A"/>
    <w:p w14:paraId="7905759A" w14:textId="617D9A17" w:rsidR="00966B6A" w:rsidRDefault="00966B6A" w:rsidP="00966B6A"/>
    <w:p w14:paraId="2A8D5C05" w14:textId="0C0FE25E" w:rsidR="00966B6A" w:rsidRDefault="00966B6A" w:rsidP="00966B6A"/>
    <w:p w14:paraId="586BEC9D" w14:textId="3F613347" w:rsidR="00966B6A" w:rsidRDefault="00966B6A" w:rsidP="00966B6A"/>
    <w:p w14:paraId="0EF90862" w14:textId="02C34610" w:rsidR="00966B6A" w:rsidRDefault="00966B6A" w:rsidP="00966B6A"/>
    <w:p w14:paraId="1863789B" w14:textId="3B168CE8" w:rsidR="00966B6A" w:rsidRDefault="00966B6A" w:rsidP="00966B6A"/>
    <w:p w14:paraId="6B286C68" w14:textId="08D3C09B" w:rsidR="00966B6A" w:rsidRDefault="00966B6A" w:rsidP="00966B6A"/>
    <w:p w14:paraId="3E90A04C" w14:textId="4D6260F8" w:rsidR="00966B6A" w:rsidRDefault="00966B6A" w:rsidP="00966B6A"/>
    <w:p w14:paraId="522EF05F" w14:textId="6DC84407" w:rsidR="00966B6A" w:rsidRDefault="00966B6A" w:rsidP="00966B6A"/>
    <w:p w14:paraId="36E6A061" w14:textId="48A36901" w:rsidR="00966B6A" w:rsidRDefault="00966B6A" w:rsidP="00966B6A"/>
    <w:p w14:paraId="400014F1" w14:textId="5E3049A0" w:rsidR="00966B6A" w:rsidRDefault="00966B6A" w:rsidP="00966B6A"/>
    <w:p w14:paraId="7D85646D" w14:textId="016A999F" w:rsidR="00966B6A" w:rsidRDefault="00966B6A" w:rsidP="00966B6A"/>
    <w:p w14:paraId="71940B27" w14:textId="577CBF52" w:rsidR="00966B6A" w:rsidRDefault="00966B6A" w:rsidP="00966B6A"/>
    <w:p w14:paraId="67C47E3C" w14:textId="782BAEA4" w:rsidR="00966B6A" w:rsidRDefault="00966B6A" w:rsidP="00966B6A"/>
    <w:p w14:paraId="63443CDF" w14:textId="4BE01798" w:rsidR="00966B6A" w:rsidRDefault="00966B6A" w:rsidP="00966B6A"/>
    <w:p w14:paraId="6EF6013A" w14:textId="73DE7E70" w:rsidR="00966B6A" w:rsidRDefault="00966B6A" w:rsidP="00966B6A">
      <w:pPr>
        <w:jc w:val="center"/>
      </w:pPr>
      <w:r>
        <w:lastRenderedPageBreak/>
        <w:t>Are museums institutions of cultural and collective memory?</w:t>
      </w:r>
    </w:p>
    <w:p w14:paraId="39A580E1" w14:textId="755D699A" w:rsidR="004D0D6B" w:rsidRDefault="004D0D6B" w:rsidP="004D0D6B">
      <w:r>
        <w:t>The first museum in Britain</w:t>
      </w:r>
      <w:r w:rsidR="00C937EC">
        <w:t>, in the modern sense,</w:t>
      </w:r>
      <w:r>
        <w:t xml:space="preserve"> was the Ashmolean in Oxford </w:t>
      </w:r>
      <w:r w:rsidR="00C937EC">
        <w:t xml:space="preserve">which had </w:t>
      </w:r>
      <w:r w:rsidR="003B4123">
        <w:t>its</w:t>
      </w:r>
      <w:r w:rsidR="00C937EC">
        <w:t xml:space="preserve"> conception in 1682</w:t>
      </w:r>
      <w:r w:rsidR="00C937EC">
        <w:rPr>
          <w:rStyle w:val="FootnoteReference"/>
        </w:rPr>
        <w:footnoteReference w:id="1"/>
      </w:r>
      <w:r w:rsidR="00C937EC">
        <w:t xml:space="preserve">, however museums </w:t>
      </w:r>
      <w:r w:rsidR="003B4123">
        <w:t>in Britain really came to prominence in the 19</w:t>
      </w:r>
      <w:r w:rsidR="003B4123" w:rsidRPr="003B4123">
        <w:rPr>
          <w:vertAlign w:val="superscript"/>
        </w:rPr>
        <w:t>th</w:t>
      </w:r>
      <w:r w:rsidR="003B4123">
        <w:t xml:space="preserve"> century.</w:t>
      </w:r>
    </w:p>
    <w:p w14:paraId="519EA413" w14:textId="5E4E1091" w:rsidR="00966B6A" w:rsidRDefault="00F77C90" w:rsidP="00966B6A">
      <w:r>
        <w:t>From the 19</w:t>
      </w:r>
      <w:r w:rsidRPr="00F77C90">
        <w:rPr>
          <w:vertAlign w:val="superscript"/>
        </w:rPr>
        <w:t>th</w:t>
      </w:r>
      <w:r>
        <w:t xml:space="preserve"> century until the</w:t>
      </w:r>
      <w:r w:rsidR="00DD7B5F">
        <w:t xml:space="preserve"> around the</w:t>
      </w:r>
      <w:r>
        <w:t xml:space="preserve"> 1970’s museums acted as the guardians of the cultural and collective memory of the elite. </w:t>
      </w:r>
      <w:r w:rsidR="00DD7B5F">
        <w:t>The</w:t>
      </w:r>
      <w:r w:rsidR="00187F9C">
        <w:t>y</w:t>
      </w:r>
      <w:r w:rsidR="00DD7B5F">
        <w:t xml:space="preserve"> told the stor</w:t>
      </w:r>
      <w:r w:rsidR="00187F9C">
        <w:t>ies</w:t>
      </w:r>
      <w:r w:rsidR="00DD7B5F">
        <w:t xml:space="preserve"> of kings, queens, conquests and colonies. Crooke says that ‘</w:t>
      </w:r>
      <w:r w:rsidR="00DD7B5F" w:rsidRPr="004A5B32">
        <w:rPr>
          <w:i/>
          <w:iCs/>
        </w:rPr>
        <w:t>The national community is naturalized through a shared history represented in the grand narrative of a nation, and in turn depicted in museums</w:t>
      </w:r>
      <w:r w:rsidR="004A5B32">
        <w:t xml:space="preserve"> …’</w:t>
      </w:r>
      <w:r w:rsidR="004A5B32">
        <w:rPr>
          <w:rStyle w:val="FootnoteReference"/>
        </w:rPr>
        <w:footnoteReference w:id="2"/>
      </w:r>
      <w:r w:rsidR="00DD7B5F">
        <w:t xml:space="preserve"> </w:t>
      </w:r>
      <w:r w:rsidR="00187F9C">
        <w:t>while Merriman tells us that ‘</w:t>
      </w:r>
      <w:r w:rsidR="00187F9C" w:rsidRPr="00187F9C">
        <w:rPr>
          <w:i/>
          <w:iCs/>
        </w:rPr>
        <w:t>ever since their inception, museums have been associated with the elite, and the</w:t>
      </w:r>
      <w:r w:rsidR="004D0D6B">
        <w:rPr>
          <w:i/>
          <w:iCs/>
        </w:rPr>
        <w:t>ir</w:t>
      </w:r>
      <w:r w:rsidR="00187F9C" w:rsidRPr="00187F9C">
        <w:rPr>
          <w:i/>
          <w:iCs/>
        </w:rPr>
        <w:t xml:space="preserve"> imposing architecture and their glass cases have symbolically and literally excluded large sections of the population from them</w:t>
      </w:r>
      <w:r w:rsidR="00187F9C">
        <w:t>.’</w:t>
      </w:r>
      <w:r w:rsidR="00187F9C">
        <w:rPr>
          <w:rStyle w:val="FootnoteReference"/>
        </w:rPr>
        <w:footnoteReference w:id="3"/>
      </w:r>
      <w:r w:rsidR="00187F9C">
        <w:t xml:space="preserve"> So while museums of the past were institutions of cultural and collective memory</w:t>
      </w:r>
      <w:r w:rsidR="00C54CCA">
        <w:t xml:space="preserve"> they were representing a very narrow section of society and were used as a way of maintaining the status quo by projecting and promoting a very white, </w:t>
      </w:r>
      <w:r w:rsidR="00AB6291">
        <w:t>Anglo</w:t>
      </w:r>
      <w:r w:rsidR="00C54CCA">
        <w:t xml:space="preserve">-centric, </w:t>
      </w:r>
      <w:r w:rsidR="00E2000F">
        <w:t>patriarchal</w:t>
      </w:r>
      <w:r w:rsidR="00C54CCA">
        <w:t xml:space="preserve">, colonial and elitist view of Britain. </w:t>
      </w:r>
      <w:r w:rsidR="00FA1A50">
        <w:t xml:space="preserve">Encompassing the concept of the </w:t>
      </w:r>
      <w:r w:rsidR="00DB5B7B">
        <w:t>‘</w:t>
      </w:r>
      <w:r w:rsidR="00DB5B7B" w:rsidRPr="00DB5B7B">
        <w:rPr>
          <w:i/>
          <w:iCs/>
        </w:rPr>
        <w:t>white man’s burden</w:t>
      </w:r>
      <w:r w:rsidR="00DB5B7B">
        <w:t>’</w:t>
      </w:r>
      <w:r w:rsidR="00787976">
        <w:rPr>
          <w:rStyle w:val="FootnoteReference"/>
        </w:rPr>
        <w:footnoteReference w:id="4"/>
      </w:r>
      <w:r w:rsidR="00AB6291">
        <w:t xml:space="preserve"> </w:t>
      </w:r>
      <w:r w:rsidR="00A3420E">
        <w:t xml:space="preserve">they were </w:t>
      </w:r>
      <w:r w:rsidR="00A3420E" w:rsidRPr="00A3420E">
        <w:rPr>
          <w:i/>
          <w:iCs/>
        </w:rPr>
        <w:t>‘aggressively designed to transform people into citizens by infusing them with a sense of cultural identity and shared patrimony</w:t>
      </w:r>
      <w:r w:rsidR="00A3420E">
        <w:t>.’</w:t>
      </w:r>
      <w:r w:rsidR="00A3420E">
        <w:rPr>
          <w:rStyle w:val="FootnoteReference"/>
        </w:rPr>
        <w:footnoteReference w:id="5"/>
      </w:r>
      <w:r w:rsidR="00DB5B7B">
        <w:t xml:space="preserve"> </w:t>
      </w:r>
      <w:r w:rsidR="00C54CCA">
        <w:t xml:space="preserve">This by </w:t>
      </w:r>
      <w:r w:rsidR="00E2000F">
        <w:t>its</w:t>
      </w:r>
      <w:r w:rsidR="00C54CCA">
        <w:t xml:space="preserve"> nature excluded the lived experience of wide sections of society including immigrants and their descendants, women, people with disabilities and the working classes. </w:t>
      </w:r>
      <w:r w:rsidR="00951002">
        <w:t>This was by no means accidental.</w:t>
      </w:r>
    </w:p>
    <w:p w14:paraId="500FA038" w14:textId="77777777" w:rsidR="00BC6C99" w:rsidRDefault="00C54CCA" w:rsidP="00966B6A">
      <w:r>
        <w:t>Since the 1970’s the way that history has been studied</w:t>
      </w:r>
      <w:r w:rsidR="002E64B5">
        <w:t xml:space="preserve"> has changed. From the work of Hobsbawm came a raft of historians studying a range of social histories; history from below, labour history and </w:t>
      </w:r>
      <w:r w:rsidR="00E2000F">
        <w:t>woman’s</w:t>
      </w:r>
      <w:r w:rsidR="002E64B5">
        <w:t xml:space="preserve"> history, which lead to studies in BAME and LGBTQ history among others. </w:t>
      </w:r>
      <w:r w:rsidR="00AB6291">
        <w:t>Writers like Lowenthal and Urry suggest that museums and the ‘heritage industry’ are disconnected from the academic study of history.</w:t>
      </w:r>
      <w:r w:rsidR="00A3420E">
        <w:t xml:space="preserve"> </w:t>
      </w:r>
      <w:r w:rsidR="00875B9C">
        <w:t xml:space="preserve">Lowenthal </w:t>
      </w:r>
      <w:r w:rsidR="001E4573">
        <w:t>suggests that heritage is not history, it is entertainment</w:t>
      </w:r>
      <w:r w:rsidR="001E4573">
        <w:rPr>
          <w:rStyle w:val="FootnoteReference"/>
        </w:rPr>
        <w:footnoteReference w:id="6"/>
      </w:r>
      <w:r w:rsidR="00951002">
        <w:t xml:space="preserve"> while Urry believes that museums and the ‘heritage industry’ are part of the collective gaze and questionable in their authenticity.</w:t>
      </w:r>
      <w:r w:rsidR="00951002">
        <w:rPr>
          <w:rStyle w:val="FootnoteReference"/>
        </w:rPr>
        <w:footnoteReference w:id="7"/>
      </w:r>
      <w:r w:rsidR="00951002">
        <w:t xml:space="preserve"> While I acknowledge that museums and other heritage sites may not have the same level of academic rigor found in universities I dispute </w:t>
      </w:r>
      <w:r w:rsidR="0026099C">
        <w:t>claims that they are totally detached from scholarship. Museums and heritage sites may be run by a variety of people to promote a varied selection of histories, but all must have at least one eye on the changing face of academia. How else would we explain the modern phenomena of black history month and LGBTQ history month. You can also see the correlation between heritage sites and academia in sites like the Big Pit</w:t>
      </w:r>
      <w:r w:rsidR="0026099C">
        <w:rPr>
          <w:rStyle w:val="FootnoteReference"/>
        </w:rPr>
        <w:footnoteReference w:id="8"/>
      </w:r>
      <w:r w:rsidR="0026099C">
        <w:t xml:space="preserve"> which would not have been possible before the rise of social and labour histories.</w:t>
      </w:r>
      <w:r w:rsidR="008D3934">
        <w:t xml:space="preserve"> I agree with Beier-de Haan that ‘</w:t>
      </w:r>
      <w:r w:rsidR="008D3934" w:rsidRPr="008D3934">
        <w:rPr>
          <w:i/>
          <w:iCs/>
        </w:rPr>
        <w:t xml:space="preserve">The changes that history museums have faced, and are still facing, can best be described by looking at changes in the discipline of history itself since the two are mutually dependent. Historiographic developments are reflected in history museums – at least, in the </w:t>
      </w:r>
      <w:r w:rsidR="008D3934" w:rsidRPr="008D3934">
        <w:rPr>
          <w:i/>
          <w:iCs/>
        </w:rPr>
        <w:lastRenderedPageBreak/>
        <w:t>innovative ones</w:t>
      </w:r>
      <w:r w:rsidR="008D3934">
        <w:t>.’</w:t>
      </w:r>
      <w:r w:rsidR="008D3934">
        <w:rPr>
          <w:rStyle w:val="FootnoteReference"/>
        </w:rPr>
        <w:footnoteReference w:id="9"/>
      </w:r>
      <w:r w:rsidR="00560234">
        <w:t xml:space="preserve"> I like the way she delineates between ‘old history’ the history of conflict and ‘</w:t>
      </w:r>
      <w:r w:rsidR="00560234" w:rsidRPr="00560234">
        <w:rPr>
          <w:i/>
          <w:iCs/>
        </w:rPr>
        <w:t>past politics</w:t>
      </w:r>
      <w:r w:rsidR="00560234">
        <w:t>’</w:t>
      </w:r>
      <w:r w:rsidR="00560234">
        <w:rPr>
          <w:rStyle w:val="FootnoteReference"/>
        </w:rPr>
        <w:footnoteReference w:id="10"/>
      </w:r>
      <w:r w:rsidR="00560234">
        <w:t xml:space="preserve"> what I would have understood as an undergraduate as ‘Whig history’ and a newer history </w:t>
      </w:r>
      <w:r w:rsidR="004D0D6B">
        <w:t xml:space="preserve">   </w:t>
      </w:r>
      <w:r w:rsidR="00560234">
        <w:t>‘</w:t>
      </w:r>
      <w:r w:rsidR="00560234" w:rsidRPr="004D0D6B">
        <w:rPr>
          <w:i/>
          <w:iCs/>
        </w:rPr>
        <w:t>a more modern, broader</w:t>
      </w:r>
      <w:r w:rsidR="004D0D6B" w:rsidRPr="004D0D6B">
        <w:rPr>
          <w:i/>
          <w:iCs/>
        </w:rPr>
        <w:t>, understanding of history which gave priority to social structure and change, and dealt with social class and stratification. The focus was economic and social history</w:t>
      </w:r>
      <w:r w:rsidR="004D0D6B">
        <w:t>.’</w:t>
      </w:r>
      <w:r w:rsidR="004D0D6B">
        <w:rPr>
          <w:rStyle w:val="FootnoteReference"/>
        </w:rPr>
        <w:footnoteReference w:id="11"/>
      </w:r>
      <w:r w:rsidR="00BC6C99">
        <w:t xml:space="preserve"> </w:t>
      </w:r>
    </w:p>
    <w:p w14:paraId="26FA652F" w14:textId="1C4DC8D3" w:rsidR="00C54CCA" w:rsidRDefault="00BC6C99" w:rsidP="00966B6A">
      <w:r>
        <w:t>In the late 20</w:t>
      </w:r>
      <w:r w:rsidRPr="00BC6C99">
        <w:rPr>
          <w:vertAlign w:val="superscript"/>
        </w:rPr>
        <w:t>th</w:t>
      </w:r>
      <w:r>
        <w:t xml:space="preserve"> and early 21</w:t>
      </w:r>
      <w:r w:rsidRPr="00BC6C99">
        <w:rPr>
          <w:vertAlign w:val="superscript"/>
        </w:rPr>
        <w:t>st</w:t>
      </w:r>
      <w:r>
        <w:t xml:space="preserve"> centuries people are no longer content with the traditional portrayal of British lives from the perspective of the British Empire </w:t>
      </w:r>
      <w:r w:rsidR="00E43844">
        <w:t>and</w:t>
      </w:r>
      <w:r>
        <w:t xml:space="preserve"> Great Britain. People are no longer cogs</w:t>
      </w:r>
      <w:r w:rsidR="00E43844">
        <w:t xml:space="preserve"> in the wheels of nation</w:t>
      </w:r>
      <w:r>
        <w:t xml:space="preserve"> to gaze a</w:t>
      </w:r>
      <w:r w:rsidR="00E43844">
        <w:t>t</w:t>
      </w:r>
      <w:r>
        <w:t xml:space="preserve"> the </w:t>
      </w:r>
      <w:r w:rsidR="00E43844">
        <w:t>achievements</w:t>
      </w:r>
      <w:r>
        <w:t xml:space="preserve"> of the great and good. </w:t>
      </w:r>
      <w:r w:rsidR="00E43844">
        <w:t xml:space="preserve">People identify with many different groups in many different ways and see that their history has value and deserves to be represented. </w:t>
      </w:r>
      <w:r>
        <w:t xml:space="preserve"> </w:t>
      </w:r>
      <w:r w:rsidR="00E43844">
        <w:t>That change may have come from academia, it may come from globalisation (it may be easier to identify with workers around the world th</w:t>
      </w:r>
      <w:r w:rsidR="00347190">
        <w:t>an the</w:t>
      </w:r>
      <w:r w:rsidR="00E43844">
        <w:t xml:space="preserve"> elites of your own country) it may have come about in Britain as the country developed into a post-industrial multi-cultural nation where minority groups became more visible and more vocal, however it came about</w:t>
      </w:r>
      <w:r w:rsidR="00F8624D">
        <w:t>,</w:t>
      </w:r>
      <w:r w:rsidR="00E43844">
        <w:t xml:space="preserve"> museums in Britain must and do represent the lives, experiences and histories of a diverse range of people.</w:t>
      </w:r>
    </w:p>
    <w:p w14:paraId="74E96A5E" w14:textId="673BC929" w:rsidR="00791536" w:rsidRDefault="00F8624D" w:rsidP="00966B6A">
      <w:r>
        <w:t>As the fundamental nature of museums and heritage sites has changed so to</w:t>
      </w:r>
      <w:r w:rsidR="007440F8">
        <w:t>o</w:t>
      </w:r>
      <w:r>
        <w:t xml:space="preserve"> have their numbers increased exponentially. </w:t>
      </w:r>
      <w:r w:rsidR="002503F5">
        <w:t xml:space="preserve">Many more local and regional museums have opened, and these will represent the histories of the people in their localities. </w:t>
      </w:r>
      <w:r w:rsidR="008526C5">
        <w:t>Haverfordwest Town Museum</w:t>
      </w:r>
      <w:r w:rsidR="008526C5">
        <w:rPr>
          <w:rStyle w:val="FootnoteReference"/>
        </w:rPr>
        <w:footnoteReference w:id="12"/>
      </w:r>
      <w:r w:rsidR="008526C5">
        <w:t xml:space="preserve"> is a lovely little museum within the ruined walls of the castle. In a tiny building it tells the story of medieval monastic occupation, cattle markets, the poor house, gaols, local schools, civic dignitaries, the plague and the world </w:t>
      </w:r>
      <w:r w:rsidR="00EF4BC1">
        <w:t>wars (</w:t>
      </w:r>
      <w:r w:rsidR="008526C5">
        <w:t xml:space="preserve">from the perspectives of men, women and children). In many ways it is a very traditional museum (lack of technology, display cases) but </w:t>
      </w:r>
      <w:r w:rsidR="00EF4BC1">
        <w:t>it</w:t>
      </w:r>
      <w:r w:rsidR="008526C5">
        <w:t xml:space="preserve"> covers the social and economic history of the town. It is somewhat lacking in diversity, but it is a museum about the people and not the elites.</w:t>
      </w:r>
      <w:r w:rsidR="002503F5">
        <w:t xml:space="preserve"> In South West Wales there are a huge number of museums and heritage sites. Laugharne with a population of 817</w:t>
      </w:r>
      <w:r w:rsidR="002503F5">
        <w:rPr>
          <w:rStyle w:val="FootnoteReference"/>
        </w:rPr>
        <w:footnoteReference w:id="13"/>
      </w:r>
      <w:r w:rsidR="002503F5">
        <w:t xml:space="preserve"> has a castle and two museums</w:t>
      </w:r>
      <w:r w:rsidR="00EF4BC1">
        <w:t>,</w:t>
      </w:r>
      <w:r w:rsidR="002503F5">
        <w:t xml:space="preserve"> Pendine with a population of 346</w:t>
      </w:r>
      <w:r w:rsidR="002503F5">
        <w:rPr>
          <w:rStyle w:val="FootnoteReference"/>
        </w:rPr>
        <w:footnoteReference w:id="14"/>
      </w:r>
      <w:r w:rsidR="002503F5">
        <w:t xml:space="preserve"> has</w:t>
      </w:r>
      <w:r w:rsidR="00EF4BC1">
        <w:t xml:space="preserve"> one</w:t>
      </w:r>
      <w:r w:rsidR="002503F5">
        <w:t xml:space="preserve">. </w:t>
      </w:r>
      <w:r w:rsidR="00EF4BC1">
        <w:t>However,</w:t>
      </w:r>
      <w:r w:rsidR="002503F5">
        <w:t xml:space="preserve"> these museums are not</w:t>
      </w:r>
      <w:r w:rsidR="00EF4BC1">
        <w:t xml:space="preserve"> general museums.</w:t>
      </w:r>
      <w:r w:rsidR="002503F5">
        <w:t xml:space="preserve"> </w:t>
      </w:r>
      <w:r w:rsidR="00EF4BC1">
        <w:t>T</w:t>
      </w:r>
      <w:r w:rsidR="002503F5">
        <w:t>here are many museums or heritage site that specialise in one type of history.</w:t>
      </w:r>
      <w:r w:rsidR="00EF4BC1">
        <w:t xml:space="preserve"> Looking at Laugharne there is the castle</w:t>
      </w:r>
      <w:r w:rsidR="007440F8">
        <w:rPr>
          <w:rStyle w:val="FootnoteReference"/>
        </w:rPr>
        <w:footnoteReference w:id="15"/>
      </w:r>
      <w:r w:rsidR="00EF4BC1">
        <w:t>, the Tin Shed</w:t>
      </w:r>
      <w:r w:rsidR="007440F8">
        <w:rPr>
          <w:rStyle w:val="FootnoteReference"/>
        </w:rPr>
        <w:footnoteReference w:id="16"/>
      </w:r>
      <w:r w:rsidR="00EF4BC1">
        <w:t xml:space="preserve"> museum which is about World War II and Dylan Thomas Boathouse.</w:t>
      </w:r>
      <w:r w:rsidR="00EF4BC1">
        <w:rPr>
          <w:rStyle w:val="FootnoteReference"/>
        </w:rPr>
        <w:footnoteReference w:id="17"/>
      </w:r>
      <w:r w:rsidR="00EF4BC1">
        <w:t xml:space="preserve"> Although the castle could be seen as being of general interest, and visitors to Laugharne will probably visit all three </w:t>
      </w:r>
      <w:r w:rsidR="007440F8">
        <w:t>there is no way that the Tin Shed or Dylan Thomas’s Boathouse could be seen as being general. They will appeal to a certain type of people, they are niche, and in the process of catering to the interests of one group of people they will exclude many more. What percentage of the population will identify with Dylan Thomas?</w:t>
      </w:r>
      <w:r w:rsidR="00D94331">
        <w:t xml:space="preserve"> In Pendine there is the Museum of Speed</w:t>
      </w:r>
      <w:r w:rsidR="00D94331">
        <w:rPr>
          <w:rStyle w:val="FootnoteReference"/>
        </w:rPr>
        <w:footnoteReference w:id="18"/>
      </w:r>
      <w:r w:rsidR="00D94331">
        <w:t xml:space="preserve">, it is in Pendine because for </w:t>
      </w:r>
      <w:proofErr w:type="gramStart"/>
      <w:r w:rsidR="00D94331">
        <w:t>a period of time</w:t>
      </w:r>
      <w:proofErr w:type="gramEnd"/>
      <w:r w:rsidR="00D94331">
        <w:t xml:space="preserve"> in the 1920’s the land speed records were set on the beach at Pendine. Today Pendine regularly hosts </w:t>
      </w:r>
      <w:proofErr w:type="gramStart"/>
      <w:r w:rsidR="00D94331">
        <w:t>a number of</w:t>
      </w:r>
      <w:proofErr w:type="gramEnd"/>
      <w:r w:rsidR="00D94331">
        <w:t xml:space="preserve"> racing events on the beach and the Top Gear</w:t>
      </w:r>
      <w:r w:rsidR="00D94331">
        <w:rPr>
          <w:rStyle w:val="FootnoteReference"/>
        </w:rPr>
        <w:footnoteReference w:id="19"/>
      </w:r>
      <w:r w:rsidR="00D94331">
        <w:t xml:space="preserve"> team can be seen filming on the sand a couple of times every year. </w:t>
      </w:r>
      <w:r w:rsidR="00122A88">
        <w:t xml:space="preserve">As well as having </w:t>
      </w:r>
      <w:r w:rsidR="0038359E">
        <w:t xml:space="preserve">a </w:t>
      </w:r>
      <w:r w:rsidR="00122A88">
        <w:t xml:space="preserve">rather famous beach Pendine is also home to a </w:t>
      </w:r>
      <w:r w:rsidR="00122A88">
        <w:lastRenderedPageBreak/>
        <w:t>large caravan park</w:t>
      </w:r>
      <w:r w:rsidR="00122A88">
        <w:rPr>
          <w:rStyle w:val="FootnoteReference"/>
        </w:rPr>
        <w:footnoteReference w:id="20"/>
      </w:r>
      <w:r w:rsidR="00122A88">
        <w:t xml:space="preserve"> the caravan park has around 500 caravans and lodges boasting the population </w:t>
      </w:r>
      <w:r w:rsidR="0038359E">
        <w:t xml:space="preserve">of the village </w:t>
      </w:r>
      <w:r w:rsidR="00122A88">
        <w:t xml:space="preserve">by around 4000 in peak season, this is in edition to a number of smaller caravan and camp sites, B &amp; B’s, holiday cottages and Inn’s. While a proportion of these holiday makers may be ‘petrol heads’ the majority are not and consequently the Museum of Speed will be of little interest to them. This is a challenge that the curator of the museum faces, how to make a fairly specialist </w:t>
      </w:r>
      <w:r w:rsidR="00791536">
        <w:t xml:space="preserve">subject appeal to a wider audience without alienating the fanatics. In areas with a large population </w:t>
      </w:r>
      <w:r w:rsidR="0038359E">
        <w:t>and</w:t>
      </w:r>
      <w:r w:rsidR="00791536">
        <w:t xml:space="preserve"> hundreds of thousands or even millions of visitors every year there is room for museums catering to a wide variety of different interests and enough visitors to sustain them all, while Pendine may feel packed when the races come to town it not necessarily sufficient</w:t>
      </w:r>
      <w:r w:rsidR="0038359E">
        <w:t xml:space="preserve"> visitor numbers</w:t>
      </w:r>
      <w:r w:rsidR="00791536">
        <w:t xml:space="preserve"> to keep a museum viable.</w:t>
      </w:r>
    </w:p>
    <w:p w14:paraId="24AF0E46" w14:textId="26C2F749" w:rsidR="00A2553A" w:rsidRDefault="00A2553A" w:rsidP="00966B6A">
      <w:r>
        <w:t>Modern museum have in some ways the same objective they always had ‘</w:t>
      </w:r>
      <w:r w:rsidRPr="00A2553A">
        <w:rPr>
          <w:i/>
          <w:iCs/>
        </w:rPr>
        <w:t>Museums have a key task to play in providing an understanding of identity and a sense of belonging to a place or community</w:t>
      </w:r>
      <w:r>
        <w:t>’</w:t>
      </w:r>
      <w:r>
        <w:rPr>
          <w:rStyle w:val="FootnoteReference"/>
        </w:rPr>
        <w:footnoteReference w:id="21"/>
      </w:r>
      <w:r>
        <w:t xml:space="preserve"> but how we understand and interpreted that has changed in the last few decades, it is no longer just about wars and aristocrats</w:t>
      </w:r>
      <w:r w:rsidR="00A424C7">
        <w:t>,</w:t>
      </w:r>
      <w:r w:rsidR="001463EF">
        <w:t xml:space="preserve"> and this ca</w:t>
      </w:r>
      <w:r w:rsidR="0038359E">
        <w:t>n</w:t>
      </w:r>
      <w:r w:rsidR="001463EF">
        <w:t xml:space="preserve"> be seen when even a visit to a county house includes a look at the service side of the building</w:t>
      </w:r>
      <w:r w:rsidR="0038359E">
        <w:t xml:space="preserve"> ‘below stairs’</w:t>
      </w:r>
      <w:r w:rsidR="001463EF">
        <w:t>,</w:t>
      </w:r>
      <w:r w:rsidR="00A424C7">
        <w:t xml:space="preserve"> people want to understand the history of their ancestors, or with the LGBTQ community the story of their people. We can see that</w:t>
      </w:r>
      <w:r>
        <w:t xml:space="preserve"> ‘</w:t>
      </w:r>
      <w:r w:rsidRPr="00A2553A">
        <w:rPr>
          <w:i/>
          <w:iCs/>
        </w:rPr>
        <w:t>In the face of immense and often painful cultural change in many countries museums can provide a valuable sense of connection with the past and the present, and serve as a springboard for the future</w:t>
      </w:r>
      <w:r w:rsidR="00A424C7">
        <w:rPr>
          <w:i/>
          <w:iCs/>
        </w:rPr>
        <w:t>.</w:t>
      </w:r>
      <w:r>
        <w:t>’</w:t>
      </w:r>
      <w:r w:rsidR="00A424C7">
        <w:rPr>
          <w:rStyle w:val="FootnoteReference"/>
        </w:rPr>
        <w:footnoteReference w:id="22"/>
      </w:r>
      <w:r>
        <w:t xml:space="preserve"> </w:t>
      </w:r>
      <w:r w:rsidR="00A424C7">
        <w:t>Museums whatever their nature or focus ‘</w:t>
      </w:r>
      <w:r w:rsidR="00A424C7" w:rsidRPr="00A424C7">
        <w:rPr>
          <w:i/>
          <w:iCs/>
        </w:rPr>
        <w:t>provide a significant range of social and cultural benefits to their area</w:t>
      </w:r>
      <w:r w:rsidR="00A424C7">
        <w:t>’</w:t>
      </w:r>
      <w:r w:rsidR="00A424C7">
        <w:rPr>
          <w:rStyle w:val="FootnoteReference"/>
        </w:rPr>
        <w:footnoteReference w:id="23"/>
      </w:r>
      <w:r w:rsidR="00A424C7">
        <w:t xml:space="preserve"> I lived for many years in the traditionally working class area of Easton an inner city area to the east of Bristol city centre which had originally developed around a coal mine. The demographic of the area had changed</w:t>
      </w:r>
      <w:r w:rsidR="0038377B">
        <w:t>, Easton is now a vibrant multi-cultural community</w:t>
      </w:r>
      <w:r w:rsidR="0038359E">
        <w:t>,</w:t>
      </w:r>
      <w:r w:rsidR="0038377B">
        <w:t xml:space="preserve"> just under 70% of the population were born in England and 82% speak English</w:t>
      </w:r>
      <w:r w:rsidR="0038377B">
        <w:rPr>
          <w:rStyle w:val="FootnoteReference"/>
        </w:rPr>
        <w:footnoteReference w:id="24"/>
      </w:r>
      <w:r w:rsidR="0038377B">
        <w:t xml:space="preserve"> while 36% identify as Christian. The challenge in an area like Easton is how to engage with a community that is transitory or immigrant to help them identify with the history of the area in which they live but rarely contains their ancestors. This is achieved by writing the history of the immigrants into the narrative of Easton, draw</w:t>
      </w:r>
      <w:r w:rsidR="001463EF">
        <w:t>ing</w:t>
      </w:r>
      <w:r w:rsidR="0038377B">
        <w:t xml:space="preserve"> parallels between the shared experiences of the working class inhabitants of today with the working class inhabitants of the past, </w:t>
      </w:r>
      <w:r w:rsidR="001463EF">
        <w:t>making</w:t>
      </w:r>
      <w:r w:rsidR="0038377B">
        <w:t xml:space="preserve"> all the information available in a multitude of languages and promote it </w:t>
      </w:r>
      <w:r w:rsidR="0074789D">
        <w:t xml:space="preserve">enthusiastically </w:t>
      </w:r>
      <w:r w:rsidR="0038377B">
        <w:t xml:space="preserve"> through the network of </w:t>
      </w:r>
      <w:r w:rsidR="0074789D">
        <w:t xml:space="preserve">community groups. Museums are still primarily the haunt of the educated, middle class and </w:t>
      </w:r>
      <w:r w:rsidR="00673BAC">
        <w:t>white,</w:t>
      </w:r>
      <w:r w:rsidR="0074789D">
        <w:t xml:space="preserve"> but they don’t need to be when you engage with communities at a very local level and represent them accurately. This would not have been done fifty years ago</w:t>
      </w:r>
      <w:r w:rsidR="0038359E">
        <w:t>, but it is important to do so now and represent everyone because museums ‘</w:t>
      </w:r>
      <w:r w:rsidR="0038359E" w:rsidRPr="0038359E">
        <w:rPr>
          <w:i/>
          <w:iCs/>
        </w:rPr>
        <w:t>can be major providers of social glue that constructs personal, social, and national identities, maintains social order and builds the social capital that enables us to collectively and individually succeed</w:t>
      </w:r>
      <w:r w:rsidR="00623B3A">
        <w:rPr>
          <w:i/>
          <w:iCs/>
        </w:rPr>
        <w:t>.</w:t>
      </w:r>
      <w:r w:rsidR="0038359E">
        <w:t>’</w:t>
      </w:r>
      <w:r w:rsidR="0038359E">
        <w:rPr>
          <w:rStyle w:val="FootnoteReference"/>
        </w:rPr>
        <w:footnoteReference w:id="25"/>
      </w:r>
    </w:p>
    <w:p w14:paraId="45FB393A" w14:textId="1608F82F" w:rsidR="00791536" w:rsidRDefault="00623B3A" w:rsidP="00966B6A">
      <w:r>
        <w:t>Interesting though</w:t>
      </w:r>
      <w:r w:rsidR="0040596F">
        <w:t>,</w:t>
      </w:r>
      <w:r>
        <w:t xml:space="preserve"> exhibitions on the history of civil disobedience from the</w:t>
      </w:r>
      <w:r w:rsidR="0040596F">
        <w:t xml:space="preserve"> Peasants revolt and </w:t>
      </w:r>
      <w:r>
        <w:t xml:space="preserve"> luddites to the toll road protests, the Peterloo Massacre, the </w:t>
      </w:r>
      <w:proofErr w:type="spellStart"/>
      <w:r>
        <w:t>Tolpuddle</w:t>
      </w:r>
      <w:proofErr w:type="spellEnd"/>
      <w:r>
        <w:t xml:space="preserve"> Martyrs</w:t>
      </w:r>
      <w:r w:rsidR="00620DD9">
        <w:t>, the suffragettes</w:t>
      </w:r>
      <w:r>
        <w:t xml:space="preserve"> and the Saint Paul’s riots of the 1980’s educate and inform people of the long history of protest and civil disobedience</w:t>
      </w:r>
      <w:r w:rsidR="00466708">
        <w:t xml:space="preserve"> in this country. This is a history and an </w:t>
      </w:r>
      <w:r w:rsidR="0040596F">
        <w:t xml:space="preserve">empowerment that the authorities may not want the populace to be informed about and again it is something that would not appear in a museum of the pre-1980’s but it’s an important part of the history of Britain and seeing that </w:t>
      </w:r>
      <w:r w:rsidR="0040596F">
        <w:lastRenderedPageBreak/>
        <w:t xml:space="preserve">represented in our museums gives the backing of history to the many struggles for equality and progress that are critical in todays world. The government tries to hide the fact, but elites don’t give rights, they </w:t>
      </w:r>
      <w:proofErr w:type="gramStart"/>
      <w:r w:rsidR="0040596F">
        <w:t>have to</w:t>
      </w:r>
      <w:proofErr w:type="gramEnd"/>
      <w:r w:rsidR="0040596F">
        <w:t xml:space="preserve"> be taken and riot is a very British institution. </w:t>
      </w:r>
      <w:r w:rsidR="00620DD9">
        <w:t>The heroes of the past were often viewed quite differently in their own time.</w:t>
      </w:r>
    </w:p>
    <w:p w14:paraId="62F5B60F" w14:textId="1BA2A869" w:rsidR="0040596F" w:rsidRDefault="0040596F" w:rsidP="00966B6A">
      <w:r>
        <w:t xml:space="preserve">There is </w:t>
      </w:r>
      <w:r w:rsidR="00620DD9">
        <w:t>of course a dark side to everything. Museums are never un-bias and today as much as ever with the ‘othering’ for sections of society (benefit claimants, people with disabilities, immigrants) by the prevailing powers we can see that ‘</w:t>
      </w:r>
      <w:r w:rsidR="00620DD9" w:rsidRPr="003E181E">
        <w:rPr>
          <w:i/>
          <w:iCs/>
        </w:rPr>
        <w:t>Museums can also serve a social engineering function. Behind every benign political utterance about social inclusion and opportunity lies the same nineteenth century realpolitik that if the ‘socially excluded’ visit museums they may acquire more desirable social habits and be more economically valuable</w:t>
      </w:r>
      <w:r w:rsidR="003E181E">
        <w:t>’</w:t>
      </w:r>
      <w:r w:rsidR="003E181E">
        <w:rPr>
          <w:rStyle w:val="FootnoteReference"/>
        </w:rPr>
        <w:footnoteReference w:id="26"/>
      </w:r>
      <w:r w:rsidR="00620DD9">
        <w:t xml:space="preserve"> </w:t>
      </w:r>
      <w:r w:rsidR="003E181E">
        <w:t>Although today the messages they receive from those museums would be varied and not always to the benefit of the establishment.</w:t>
      </w:r>
    </w:p>
    <w:p w14:paraId="4A2380B0" w14:textId="3EA3EE58" w:rsidR="003E181E" w:rsidRDefault="003E181E" w:rsidP="00966B6A">
      <w:r>
        <w:t>Are museums institutions of cultural and collective memory in the 21</w:t>
      </w:r>
      <w:r w:rsidRPr="003E181E">
        <w:rPr>
          <w:vertAlign w:val="superscript"/>
        </w:rPr>
        <w:t>st</w:t>
      </w:r>
      <w:r>
        <w:t xml:space="preserve"> century? We can see that in the past museums represented the cultural and collective memory of the elites and preserved and promoted a way of life and a view of history that wa</w:t>
      </w:r>
      <w:r w:rsidR="00347190">
        <w:t>s</w:t>
      </w:r>
      <w:r>
        <w:t xml:space="preserve"> advantageous t</w:t>
      </w:r>
      <w:r w:rsidR="00347190">
        <w:t>o</w:t>
      </w:r>
      <w:r>
        <w:t xml:space="preserve"> them and the preservation of the status quo. That has changed, and that is a good thing, but by having the histories of everyone represented in diverse museums are we telling the history of no one if there is no cohesive narrative? By represent</w:t>
      </w:r>
      <w:r w:rsidR="00347190">
        <w:t>ing</w:t>
      </w:r>
      <w:r>
        <w:t xml:space="preserve"> all the </w:t>
      </w:r>
      <w:r w:rsidR="00BC295F">
        <w:t>peoples</w:t>
      </w:r>
      <w:r>
        <w:t xml:space="preserve"> of the United Kingdom do we divide them into </w:t>
      </w:r>
      <w:r w:rsidR="00BC295F">
        <w:t>smaller and smaller groups? Is there a museum or a history that can represent everyone? I think probably not, modern Britain is too diverse to encapsulate all the lived experiences and histories of it’s people in one museum or exhibition, however if we take all the museums and heritage sites in Britain and view them as a whole then a case could be made that somewhere in Britain the cultural and collective memory of every single person</w:t>
      </w:r>
      <w:r w:rsidR="00347190">
        <w:t xml:space="preserve"> and group</w:t>
      </w:r>
      <w:r w:rsidR="00BC295F">
        <w:t xml:space="preserve"> is represented. It is not cohesive, and it might not be easy to find, some people or groups of people are mu</w:t>
      </w:r>
      <w:r w:rsidR="00347190">
        <w:t>ch</w:t>
      </w:r>
      <w:r w:rsidR="00BC295F">
        <w:t xml:space="preserve"> better represented than others, but museums today are representing everybody. </w:t>
      </w:r>
      <w:bookmarkStart w:id="0" w:name="_GoBack"/>
      <w:bookmarkEnd w:id="0"/>
    </w:p>
    <w:p w14:paraId="02B8A784" w14:textId="00FF18A5" w:rsidR="002526A5" w:rsidRDefault="002526A5" w:rsidP="00966B6A"/>
    <w:p w14:paraId="5561336E" w14:textId="0CFEEA5C" w:rsidR="002526A5" w:rsidRDefault="002526A5" w:rsidP="00966B6A"/>
    <w:p w14:paraId="2A718545" w14:textId="6012643B" w:rsidR="002526A5" w:rsidRDefault="002526A5" w:rsidP="00966B6A"/>
    <w:p w14:paraId="3C9C262B" w14:textId="4D710754" w:rsidR="002526A5" w:rsidRDefault="002526A5" w:rsidP="00966B6A"/>
    <w:p w14:paraId="0432F4D7" w14:textId="31E78EFC" w:rsidR="002526A5" w:rsidRDefault="002526A5" w:rsidP="00966B6A"/>
    <w:p w14:paraId="1B6519D7" w14:textId="109CFABD" w:rsidR="002526A5" w:rsidRDefault="002526A5" w:rsidP="00966B6A"/>
    <w:p w14:paraId="714BEFE3" w14:textId="093EBF65" w:rsidR="002526A5" w:rsidRDefault="002526A5" w:rsidP="00966B6A"/>
    <w:p w14:paraId="474136C5" w14:textId="2BDEFC6F" w:rsidR="002526A5" w:rsidRDefault="002526A5" w:rsidP="00966B6A"/>
    <w:p w14:paraId="2486F223" w14:textId="6803EAF3" w:rsidR="002526A5" w:rsidRDefault="002526A5" w:rsidP="00966B6A"/>
    <w:p w14:paraId="79595BFE" w14:textId="742B18CE" w:rsidR="002526A5" w:rsidRDefault="002526A5" w:rsidP="00966B6A"/>
    <w:p w14:paraId="346388A7" w14:textId="697E4535" w:rsidR="002526A5" w:rsidRDefault="002526A5" w:rsidP="00966B6A"/>
    <w:p w14:paraId="2C31FA97" w14:textId="146741C2" w:rsidR="002526A5" w:rsidRDefault="002526A5" w:rsidP="00966B6A"/>
    <w:p w14:paraId="58526D37" w14:textId="402E4D8A" w:rsidR="002526A5" w:rsidRDefault="002526A5" w:rsidP="002526A5">
      <w:pPr>
        <w:jc w:val="center"/>
      </w:pPr>
      <w:r>
        <w:lastRenderedPageBreak/>
        <w:t>Bibliography</w:t>
      </w:r>
    </w:p>
    <w:p w14:paraId="4B617356" w14:textId="7F46AD99" w:rsidR="002526A5" w:rsidRDefault="002526A5" w:rsidP="002526A5">
      <w:r>
        <w:t xml:space="preserve">Ambrose, T. &amp; Paine, C. (1993) </w:t>
      </w:r>
      <w:r w:rsidRPr="00C937EC">
        <w:rPr>
          <w:i/>
          <w:iCs/>
        </w:rPr>
        <w:t>Museum Basics</w:t>
      </w:r>
      <w:r>
        <w:t>. London: Routledge.</w:t>
      </w:r>
    </w:p>
    <w:p w14:paraId="557EB028" w14:textId="7838C5D2" w:rsidR="002526A5" w:rsidRDefault="002526A5" w:rsidP="002526A5">
      <w:r>
        <w:t>Beier – de Haan, R. (2011) Re-staging Histories and Identities. In S. Macdonald (Ed), A Companion to Museum Studies (2</w:t>
      </w:r>
      <w:r w:rsidRPr="00716B5E">
        <w:rPr>
          <w:vertAlign w:val="superscript"/>
        </w:rPr>
        <w:t>nd</w:t>
      </w:r>
      <w:r>
        <w:t xml:space="preserve"> ed., pp. 186-197). Chichester, West Sussex: Wiley-Blackwell.</w:t>
      </w:r>
    </w:p>
    <w:p w14:paraId="4964FF29" w14:textId="429DA52E" w:rsidR="002526A5" w:rsidRDefault="002526A5" w:rsidP="002526A5">
      <w:r>
        <w:t xml:space="preserve">Big Pit National Coal Museum Available at: </w:t>
      </w:r>
      <w:hyperlink r:id="rId7" w:history="1">
        <w:r w:rsidRPr="008D3934">
          <w:rPr>
            <w:rStyle w:val="Hyperlink"/>
          </w:rPr>
          <w:t>https://museum.wales/bigpit/</w:t>
        </w:r>
      </w:hyperlink>
    </w:p>
    <w:p w14:paraId="26B88033" w14:textId="7A3DD016" w:rsidR="002526A5" w:rsidRDefault="002526A5" w:rsidP="002526A5">
      <w:r>
        <w:t xml:space="preserve">Crooke, E. (2011). Museums and Community. In S. Macdonald (Ed), </w:t>
      </w:r>
      <w:r w:rsidRPr="003A3166">
        <w:rPr>
          <w:i/>
          <w:iCs/>
        </w:rPr>
        <w:t>A Companion to Museum Studies</w:t>
      </w:r>
      <w:r>
        <w:t xml:space="preserve"> (2</w:t>
      </w:r>
      <w:r w:rsidRPr="004A5B32">
        <w:rPr>
          <w:vertAlign w:val="superscript"/>
        </w:rPr>
        <w:t>nd</w:t>
      </w:r>
      <w:r>
        <w:t xml:space="preserve"> ed., pp. 170-185). Chichester, West Sussex: Wiley-Blackwell.</w:t>
      </w:r>
    </w:p>
    <w:p w14:paraId="3064DCF2" w14:textId="287CFA9F" w:rsidR="002526A5" w:rsidRDefault="002526A5" w:rsidP="002526A5">
      <w:r>
        <w:t xml:space="preserve">Dylan Thomas Boathouse Available at: </w:t>
      </w:r>
      <w:hyperlink r:id="rId8" w:history="1">
        <w:r w:rsidRPr="00EF4BC1">
          <w:rPr>
            <w:rStyle w:val="Hyperlink"/>
          </w:rPr>
          <w:t>https://www.dylanthomasboathouse.com/</w:t>
        </w:r>
      </w:hyperlink>
    </w:p>
    <w:p w14:paraId="615182B5" w14:textId="0F105623" w:rsidR="002526A5" w:rsidRDefault="002526A5" w:rsidP="002526A5">
      <w:r>
        <w:t xml:space="preserve">Haverfordwest Town Museum Available at: </w:t>
      </w:r>
      <w:hyperlink r:id="rId9" w:history="1">
        <w:r w:rsidRPr="00EF4BC1">
          <w:rPr>
            <w:rStyle w:val="Hyperlink"/>
          </w:rPr>
          <w:t>https://haverfordwest-town-museum.org.uk/</w:t>
        </w:r>
      </w:hyperlink>
    </w:p>
    <w:p w14:paraId="0F5734E5" w14:textId="4D61290C" w:rsidR="002526A5" w:rsidRDefault="002526A5" w:rsidP="002526A5">
      <w:r>
        <w:t xml:space="preserve">Hein, H. S. (2000) </w:t>
      </w:r>
      <w:r w:rsidRPr="00A3420E">
        <w:rPr>
          <w:i/>
          <w:iCs/>
        </w:rPr>
        <w:t>The Museum in Transition, A Philosophical Perspective</w:t>
      </w:r>
      <w:r>
        <w:t>. Washington: Smithsonian Books.</w:t>
      </w:r>
    </w:p>
    <w:p w14:paraId="23709624" w14:textId="23EA56F8" w:rsidR="002526A5" w:rsidRDefault="005F1EE6" w:rsidP="002526A5">
      <w:r>
        <w:t xml:space="preserve">Keene, S. (2005) </w:t>
      </w:r>
      <w:r w:rsidRPr="003E181E">
        <w:rPr>
          <w:i/>
          <w:iCs/>
        </w:rPr>
        <w:t>Fragments of the World: Uses of Museum Collections</w:t>
      </w:r>
      <w:r>
        <w:t xml:space="preserve">. Oxford: Elsevier Butterworth </w:t>
      </w:r>
      <w:proofErr w:type="spellStart"/>
      <w:r>
        <w:t>Heinman</w:t>
      </w:r>
      <w:proofErr w:type="spellEnd"/>
      <w:r>
        <w:t>.</w:t>
      </w:r>
    </w:p>
    <w:p w14:paraId="52311FF2" w14:textId="60816B0B" w:rsidR="002526A5" w:rsidRDefault="002526A5" w:rsidP="002526A5">
      <w:pPr>
        <w:rPr>
          <w:i/>
          <w:iCs/>
        </w:rPr>
      </w:pPr>
      <w:r>
        <w:t>Kipling, R. (1899, 4</w:t>
      </w:r>
      <w:r w:rsidRPr="00787976">
        <w:rPr>
          <w:vertAlign w:val="superscript"/>
        </w:rPr>
        <w:t>th</w:t>
      </w:r>
      <w:r>
        <w:t xml:space="preserve"> February) The White Man’s Burden: The United States and the Philippine Islands. </w:t>
      </w:r>
      <w:r w:rsidRPr="00787976">
        <w:rPr>
          <w:i/>
          <w:iCs/>
        </w:rPr>
        <w:t>The Times</w:t>
      </w:r>
    </w:p>
    <w:p w14:paraId="5FF47666" w14:textId="406F10B4" w:rsidR="002526A5" w:rsidRPr="002526A5" w:rsidRDefault="002526A5" w:rsidP="002526A5">
      <w:r>
        <w:t xml:space="preserve">Laugharne Castle, Cadw Available at: </w:t>
      </w:r>
      <w:hyperlink r:id="rId10" w:history="1">
        <w:r w:rsidRPr="007440F8">
          <w:rPr>
            <w:rStyle w:val="Hyperlink"/>
          </w:rPr>
          <w:t>https://cadw.gov.wales/visit/places-to-visit/laugharne-castle</w:t>
        </w:r>
      </w:hyperlink>
    </w:p>
    <w:p w14:paraId="6768DAF3" w14:textId="3CA48EFE" w:rsidR="002526A5" w:rsidRPr="002526A5" w:rsidRDefault="002526A5" w:rsidP="002526A5">
      <w:r>
        <w:t xml:space="preserve">Lowenthal, D (2015) </w:t>
      </w:r>
      <w:r w:rsidRPr="00787976">
        <w:rPr>
          <w:i/>
          <w:iCs/>
        </w:rPr>
        <w:t>The Past is a Foreign Country Revisited</w:t>
      </w:r>
      <w:r>
        <w:t>. Cambridge: Cambridge University Press</w:t>
      </w:r>
    </w:p>
    <w:p w14:paraId="7C5C0EC2" w14:textId="5882EE29" w:rsidR="002526A5" w:rsidRDefault="002526A5" w:rsidP="002526A5">
      <w:r>
        <w:t xml:space="preserve">Merriman, N. (2000). </w:t>
      </w:r>
      <w:r w:rsidRPr="00187F9C">
        <w:rPr>
          <w:i/>
          <w:iCs/>
        </w:rPr>
        <w:t>Beyond the Glass Case: The Past, the Heritage and the Public</w:t>
      </w:r>
      <w:r>
        <w:t>. London: University College London.</w:t>
      </w:r>
    </w:p>
    <w:p w14:paraId="31F77E1A" w14:textId="7EAD71CD" w:rsidR="002526A5" w:rsidRDefault="002526A5" w:rsidP="002526A5">
      <w:proofErr w:type="spellStart"/>
      <w:r>
        <w:t>Parkdean</w:t>
      </w:r>
      <w:proofErr w:type="spellEnd"/>
      <w:r>
        <w:t xml:space="preserve"> Pendine Sands Available at: </w:t>
      </w:r>
      <w:hyperlink r:id="rId11" w:history="1">
        <w:r w:rsidRPr="00122A88">
          <w:rPr>
            <w:rStyle w:val="Hyperlink"/>
          </w:rPr>
          <w:t>https://www.parkdeanresorts.co.uk/location/wales/pendine-sands/</w:t>
        </w:r>
      </w:hyperlink>
    </w:p>
    <w:p w14:paraId="6201AF83" w14:textId="4C18EB69" w:rsidR="002526A5" w:rsidRDefault="002526A5" w:rsidP="002526A5">
      <w:r>
        <w:t xml:space="preserve">Tin Shed Experience Available at: </w:t>
      </w:r>
      <w:hyperlink r:id="rId12" w:history="1">
        <w:r w:rsidRPr="007440F8">
          <w:rPr>
            <w:rStyle w:val="Hyperlink"/>
          </w:rPr>
          <w:t>https://tinshedexperience.co.uk/</w:t>
        </w:r>
      </w:hyperlink>
    </w:p>
    <w:p w14:paraId="730BFBE0" w14:textId="2DCAAD52" w:rsidR="002526A5" w:rsidRDefault="002526A5" w:rsidP="002526A5">
      <w:r>
        <w:t xml:space="preserve">Top Gear, BBC Two Available at: </w:t>
      </w:r>
      <w:hyperlink r:id="rId13" w:history="1">
        <w:r w:rsidRPr="00122A88">
          <w:rPr>
            <w:rStyle w:val="Hyperlink"/>
          </w:rPr>
          <w:t>https://www.bbc.co.uk/programmes/b006mj59</w:t>
        </w:r>
      </w:hyperlink>
    </w:p>
    <w:p w14:paraId="09761DB3" w14:textId="135E1BB8" w:rsidR="002526A5" w:rsidRPr="00966B6A" w:rsidRDefault="002526A5" w:rsidP="002526A5">
      <w:r>
        <w:t xml:space="preserve">Urry, J. (2002) </w:t>
      </w:r>
      <w:r w:rsidRPr="00951002">
        <w:rPr>
          <w:i/>
          <w:iCs/>
        </w:rPr>
        <w:t>The Tourist Gaze, Second Edition</w:t>
      </w:r>
      <w:r>
        <w:t>. London: Sage Publications.</w:t>
      </w:r>
    </w:p>
    <w:sectPr w:rsidR="002526A5" w:rsidRPr="00966B6A">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7D230F3" w14:textId="77777777" w:rsidR="00AB7208" w:rsidRDefault="00AB7208" w:rsidP="004A5B32">
      <w:pPr>
        <w:spacing w:after="0" w:line="240" w:lineRule="auto"/>
      </w:pPr>
      <w:r>
        <w:separator/>
      </w:r>
    </w:p>
  </w:endnote>
  <w:endnote w:type="continuationSeparator" w:id="0">
    <w:p w14:paraId="09CC5F83" w14:textId="77777777" w:rsidR="00AB7208" w:rsidRDefault="00AB7208" w:rsidP="004A5B3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CA41A70" w14:textId="77777777" w:rsidR="00AB7208" w:rsidRDefault="00AB7208" w:rsidP="004A5B32">
      <w:pPr>
        <w:spacing w:after="0" w:line="240" w:lineRule="auto"/>
      </w:pPr>
      <w:r>
        <w:separator/>
      </w:r>
    </w:p>
  </w:footnote>
  <w:footnote w:type="continuationSeparator" w:id="0">
    <w:p w14:paraId="263D423B" w14:textId="77777777" w:rsidR="00AB7208" w:rsidRDefault="00AB7208" w:rsidP="004A5B32">
      <w:pPr>
        <w:spacing w:after="0" w:line="240" w:lineRule="auto"/>
      </w:pPr>
      <w:r>
        <w:continuationSeparator/>
      </w:r>
    </w:p>
  </w:footnote>
  <w:footnote w:id="1">
    <w:p w14:paraId="7960E0CF" w14:textId="356AC1CE" w:rsidR="003E181E" w:rsidRDefault="003E181E">
      <w:pPr>
        <w:pStyle w:val="FootnoteText"/>
      </w:pPr>
      <w:r>
        <w:rPr>
          <w:rStyle w:val="FootnoteReference"/>
        </w:rPr>
        <w:footnoteRef/>
      </w:r>
      <w:r>
        <w:t xml:space="preserve"> Ambrose, T. &amp; Paine, C. (1993) </w:t>
      </w:r>
      <w:r w:rsidRPr="00C937EC">
        <w:rPr>
          <w:i/>
          <w:iCs/>
        </w:rPr>
        <w:t>Museum Basics</w:t>
      </w:r>
      <w:r>
        <w:t>. London: Routledge. p. 6</w:t>
      </w:r>
    </w:p>
  </w:footnote>
  <w:footnote w:id="2">
    <w:p w14:paraId="0AE8DDBE" w14:textId="5BB749AB" w:rsidR="003E181E" w:rsidRDefault="003E181E">
      <w:pPr>
        <w:pStyle w:val="FootnoteText"/>
      </w:pPr>
      <w:r>
        <w:rPr>
          <w:rStyle w:val="FootnoteReference"/>
        </w:rPr>
        <w:footnoteRef/>
      </w:r>
      <w:r>
        <w:t xml:space="preserve"> Crooke, E. (2011). Museums and Community. In S. Macdonald (Ed), </w:t>
      </w:r>
      <w:r w:rsidRPr="003A3166">
        <w:rPr>
          <w:i/>
          <w:iCs/>
        </w:rPr>
        <w:t>A Companion to Museum Studies</w:t>
      </w:r>
      <w:r>
        <w:t xml:space="preserve"> (2</w:t>
      </w:r>
      <w:r w:rsidRPr="004A5B32">
        <w:rPr>
          <w:vertAlign w:val="superscript"/>
        </w:rPr>
        <w:t>nd</w:t>
      </w:r>
      <w:r>
        <w:t xml:space="preserve"> ed., pp. 170-185). Chichester, West Sussex: Wiley-Blackwell. p. 174</w:t>
      </w:r>
    </w:p>
  </w:footnote>
  <w:footnote w:id="3">
    <w:p w14:paraId="598E3015" w14:textId="092081B5" w:rsidR="003E181E" w:rsidRDefault="003E181E">
      <w:pPr>
        <w:pStyle w:val="FootnoteText"/>
      </w:pPr>
      <w:r>
        <w:rPr>
          <w:rStyle w:val="FootnoteReference"/>
        </w:rPr>
        <w:footnoteRef/>
      </w:r>
      <w:r>
        <w:t xml:space="preserve"> Merriman, N. (2000). </w:t>
      </w:r>
      <w:r w:rsidRPr="00187F9C">
        <w:rPr>
          <w:i/>
          <w:iCs/>
        </w:rPr>
        <w:t>Beyond the Glass Case: The Past, the Heritage and the Public</w:t>
      </w:r>
      <w:r>
        <w:t>. London: University College London. p. 2</w:t>
      </w:r>
    </w:p>
  </w:footnote>
  <w:footnote w:id="4">
    <w:p w14:paraId="035ACF21" w14:textId="50E86ED0" w:rsidR="003E181E" w:rsidRPr="00787976" w:rsidRDefault="003E181E">
      <w:pPr>
        <w:pStyle w:val="FootnoteText"/>
        <w:rPr>
          <w:i/>
          <w:iCs/>
        </w:rPr>
      </w:pPr>
      <w:r>
        <w:rPr>
          <w:rStyle w:val="FootnoteReference"/>
        </w:rPr>
        <w:footnoteRef/>
      </w:r>
      <w:r>
        <w:t xml:space="preserve"> Kipling, R. (1899, 4</w:t>
      </w:r>
      <w:r w:rsidRPr="00787976">
        <w:rPr>
          <w:vertAlign w:val="superscript"/>
        </w:rPr>
        <w:t>th</w:t>
      </w:r>
      <w:r>
        <w:t xml:space="preserve"> February) The White Man’s Burden: The United States and the Philippine Islands. </w:t>
      </w:r>
      <w:r w:rsidRPr="00787976">
        <w:rPr>
          <w:i/>
          <w:iCs/>
        </w:rPr>
        <w:t>The Times</w:t>
      </w:r>
    </w:p>
  </w:footnote>
  <w:footnote w:id="5">
    <w:p w14:paraId="30CC48E6" w14:textId="24D2C301" w:rsidR="003E181E" w:rsidRDefault="003E181E">
      <w:pPr>
        <w:pStyle w:val="FootnoteText"/>
      </w:pPr>
      <w:r>
        <w:rPr>
          <w:rStyle w:val="FootnoteReference"/>
        </w:rPr>
        <w:footnoteRef/>
      </w:r>
      <w:r>
        <w:t xml:space="preserve"> Hein, H. S. (2000) </w:t>
      </w:r>
      <w:r w:rsidRPr="00A3420E">
        <w:rPr>
          <w:i/>
          <w:iCs/>
        </w:rPr>
        <w:t>The Museum in Transition, A Philosophical Perspective</w:t>
      </w:r>
      <w:r>
        <w:t>. Washington: Smithsonian Books. p. 21</w:t>
      </w:r>
    </w:p>
  </w:footnote>
  <w:footnote w:id="6">
    <w:p w14:paraId="14581A82" w14:textId="156B106B" w:rsidR="003E181E" w:rsidRDefault="003E181E">
      <w:pPr>
        <w:pStyle w:val="FootnoteText"/>
      </w:pPr>
      <w:r>
        <w:rPr>
          <w:rStyle w:val="FootnoteReference"/>
        </w:rPr>
        <w:footnoteRef/>
      </w:r>
      <w:r>
        <w:t xml:space="preserve"> Lowenthal, D (2015) </w:t>
      </w:r>
      <w:r w:rsidRPr="00787976">
        <w:rPr>
          <w:i/>
          <w:iCs/>
        </w:rPr>
        <w:t>The Past is a Foreign Country Revisited</w:t>
      </w:r>
      <w:r>
        <w:t>. Cambridge: Cambridge University Press</w:t>
      </w:r>
    </w:p>
  </w:footnote>
  <w:footnote w:id="7">
    <w:p w14:paraId="574915B9" w14:textId="1E4E8182" w:rsidR="003E181E" w:rsidRDefault="003E181E">
      <w:pPr>
        <w:pStyle w:val="FootnoteText"/>
      </w:pPr>
      <w:r>
        <w:rPr>
          <w:rStyle w:val="FootnoteReference"/>
        </w:rPr>
        <w:footnoteRef/>
      </w:r>
      <w:r>
        <w:t xml:space="preserve"> Urry, J. (2002) </w:t>
      </w:r>
      <w:r w:rsidRPr="00951002">
        <w:rPr>
          <w:i/>
          <w:iCs/>
        </w:rPr>
        <w:t>The Tourist Gaze, Second Edition</w:t>
      </w:r>
      <w:r>
        <w:t>. London: Sage Publications. p. 94</w:t>
      </w:r>
    </w:p>
  </w:footnote>
  <w:footnote w:id="8">
    <w:p w14:paraId="5D0A96EC" w14:textId="221BE655" w:rsidR="003E181E" w:rsidRDefault="003E181E">
      <w:pPr>
        <w:pStyle w:val="FootnoteText"/>
      </w:pPr>
      <w:r>
        <w:rPr>
          <w:rStyle w:val="FootnoteReference"/>
        </w:rPr>
        <w:footnoteRef/>
      </w:r>
      <w:r>
        <w:t xml:space="preserve"> Big Pit National Coal Museum Available at: </w:t>
      </w:r>
      <w:hyperlink r:id="rId1" w:history="1">
        <w:r w:rsidRPr="008D3934">
          <w:rPr>
            <w:rStyle w:val="Hyperlink"/>
          </w:rPr>
          <w:t>https://museum.wales/bigpit/</w:t>
        </w:r>
      </w:hyperlink>
    </w:p>
  </w:footnote>
  <w:footnote w:id="9">
    <w:p w14:paraId="4875F0C6" w14:textId="2D0EE965" w:rsidR="003E181E" w:rsidRDefault="003E181E">
      <w:pPr>
        <w:pStyle w:val="FootnoteText"/>
      </w:pPr>
      <w:r>
        <w:rPr>
          <w:rStyle w:val="FootnoteReference"/>
        </w:rPr>
        <w:footnoteRef/>
      </w:r>
      <w:r>
        <w:t xml:space="preserve"> Beier – de Haan, R. (2011) Re-staging Histories and Identities. In S. Macdonald (Ed), A Companion to Museum Studies (2</w:t>
      </w:r>
      <w:r w:rsidRPr="00716B5E">
        <w:rPr>
          <w:vertAlign w:val="superscript"/>
        </w:rPr>
        <w:t>nd</w:t>
      </w:r>
      <w:r>
        <w:t xml:space="preserve"> ed., pp. 186-197). Chichester, West Sussex: Wiley-Blackwell. p. 186</w:t>
      </w:r>
    </w:p>
  </w:footnote>
  <w:footnote w:id="10">
    <w:p w14:paraId="5FC6C184" w14:textId="750586A1" w:rsidR="003E181E" w:rsidRDefault="003E181E">
      <w:pPr>
        <w:pStyle w:val="FootnoteText"/>
      </w:pPr>
      <w:r>
        <w:rPr>
          <w:rStyle w:val="FootnoteReference"/>
        </w:rPr>
        <w:footnoteRef/>
      </w:r>
      <w:r>
        <w:t xml:space="preserve"> Ibid.</w:t>
      </w:r>
    </w:p>
  </w:footnote>
  <w:footnote w:id="11">
    <w:p w14:paraId="5C25AF3A" w14:textId="127A1A32" w:rsidR="003E181E" w:rsidRDefault="003E181E">
      <w:pPr>
        <w:pStyle w:val="FootnoteText"/>
      </w:pPr>
      <w:r>
        <w:rPr>
          <w:rStyle w:val="FootnoteReference"/>
        </w:rPr>
        <w:footnoteRef/>
      </w:r>
      <w:r>
        <w:t xml:space="preserve"> Beier – de Haan, R. (2011) Re-staging Histories and Identities. In S. Macdonald (Ed), A Companion to Museum Studies (2</w:t>
      </w:r>
      <w:r w:rsidRPr="00716B5E">
        <w:rPr>
          <w:vertAlign w:val="superscript"/>
        </w:rPr>
        <w:t>nd</w:t>
      </w:r>
      <w:r>
        <w:t xml:space="preserve"> ed., pp. 186-197). Chichester, West Sussex: Wiley-Blackwell. p. 186</w:t>
      </w:r>
    </w:p>
  </w:footnote>
  <w:footnote w:id="12">
    <w:p w14:paraId="79C39F1A" w14:textId="75DCF16F" w:rsidR="003E181E" w:rsidRDefault="003E181E">
      <w:pPr>
        <w:pStyle w:val="FootnoteText"/>
      </w:pPr>
      <w:r>
        <w:rPr>
          <w:rStyle w:val="FootnoteReference"/>
        </w:rPr>
        <w:footnoteRef/>
      </w:r>
      <w:r>
        <w:t xml:space="preserve"> Haverfordwest Town Museum Available at: </w:t>
      </w:r>
      <w:hyperlink r:id="rId2" w:history="1">
        <w:r w:rsidRPr="00EF4BC1">
          <w:rPr>
            <w:rStyle w:val="Hyperlink"/>
          </w:rPr>
          <w:t>https://haverfordwest-town-museum.org.uk/</w:t>
        </w:r>
      </w:hyperlink>
    </w:p>
  </w:footnote>
  <w:footnote w:id="13">
    <w:p w14:paraId="0D7DC14B" w14:textId="7B392393" w:rsidR="003E181E" w:rsidRDefault="003E181E">
      <w:pPr>
        <w:pStyle w:val="FootnoteText"/>
      </w:pPr>
      <w:r>
        <w:rPr>
          <w:rStyle w:val="FootnoteReference"/>
        </w:rPr>
        <w:footnoteRef/>
      </w:r>
      <w:r>
        <w:t xml:space="preserve"> 2011 census</w:t>
      </w:r>
    </w:p>
  </w:footnote>
  <w:footnote w:id="14">
    <w:p w14:paraId="41628E87" w14:textId="245883B7" w:rsidR="003E181E" w:rsidRDefault="003E181E">
      <w:pPr>
        <w:pStyle w:val="FootnoteText"/>
      </w:pPr>
      <w:r>
        <w:rPr>
          <w:rStyle w:val="FootnoteReference"/>
        </w:rPr>
        <w:footnoteRef/>
      </w:r>
      <w:r>
        <w:t xml:space="preserve"> Ibid.</w:t>
      </w:r>
    </w:p>
  </w:footnote>
  <w:footnote w:id="15">
    <w:p w14:paraId="6D8FFC9B" w14:textId="249ECEF4" w:rsidR="003E181E" w:rsidRDefault="003E181E">
      <w:pPr>
        <w:pStyle w:val="FootnoteText"/>
      </w:pPr>
      <w:r>
        <w:rPr>
          <w:rStyle w:val="FootnoteReference"/>
        </w:rPr>
        <w:footnoteRef/>
      </w:r>
      <w:r>
        <w:t xml:space="preserve"> Laugharne Castle, Cadw Available at: </w:t>
      </w:r>
      <w:hyperlink r:id="rId3" w:history="1">
        <w:r w:rsidRPr="007440F8">
          <w:rPr>
            <w:rStyle w:val="Hyperlink"/>
          </w:rPr>
          <w:t>https://cadw.gov.wales/visit/places-to-visit/laugharne-castle</w:t>
        </w:r>
      </w:hyperlink>
    </w:p>
  </w:footnote>
  <w:footnote w:id="16">
    <w:p w14:paraId="7FB1C197" w14:textId="59AAE69D" w:rsidR="003E181E" w:rsidRDefault="003E181E">
      <w:pPr>
        <w:pStyle w:val="FootnoteText"/>
      </w:pPr>
      <w:r>
        <w:rPr>
          <w:rStyle w:val="FootnoteReference"/>
        </w:rPr>
        <w:footnoteRef/>
      </w:r>
      <w:r>
        <w:t xml:space="preserve"> Tin Shed Experience Available at: </w:t>
      </w:r>
      <w:hyperlink r:id="rId4" w:history="1">
        <w:r w:rsidRPr="007440F8">
          <w:rPr>
            <w:rStyle w:val="Hyperlink"/>
          </w:rPr>
          <w:t>https://tinshedexperience.co.uk/</w:t>
        </w:r>
      </w:hyperlink>
    </w:p>
  </w:footnote>
  <w:footnote w:id="17">
    <w:p w14:paraId="53D4965B" w14:textId="666354A1" w:rsidR="003E181E" w:rsidRDefault="003E181E">
      <w:pPr>
        <w:pStyle w:val="FootnoteText"/>
      </w:pPr>
      <w:r>
        <w:rPr>
          <w:rStyle w:val="FootnoteReference"/>
        </w:rPr>
        <w:footnoteRef/>
      </w:r>
      <w:r>
        <w:t xml:space="preserve"> Dylan Thomas Boathouse Available at: </w:t>
      </w:r>
      <w:hyperlink r:id="rId5" w:history="1">
        <w:r w:rsidRPr="00EF4BC1">
          <w:rPr>
            <w:rStyle w:val="Hyperlink"/>
          </w:rPr>
          <w:t>https://www.dylanthomasboathouse.com/</w:t>
        </w:r>
      </w:hyperlink>
    </w:p>
  </w:footnote>
  <w:footnote w:id="18">
    <w:p w14:paraId="17CF723F" w14:textId="31583B82" w:rsidR="003E181E" w:rsidRDefault="003E181E">
      <w:pPr>
        <w:pStyle w:val="FootnoteText"/>
      </w:pPr>
      <w:r>
        <w:rPr>
          <w:rStyle w:val="FootnoteReference"/>
        </w:rPr>
        <w:footnoteRef/>
      </w:r>
      <w:r>
        <w:t xml:space="preserve"> There is currently no website for the Museum of Speed as it has been closed since September 2018 for re-building, it is expected to re-open in 2021 when a new website will go live.</w:t>
      </w:r>
    </w:p>
  </w:footnote>
  <w:footnote w:id="19">
    <w:p w14:paraId="27646751" w14:textId="78ACE864" w:rsidR="003E181E" w:rsidRDefault="003E181E">
      <w:pPr>
        <w:pStyle w:val="FootnoteText"/>
      </w:pPr>
      <w:r>
        <w:rPr>
          <w:rStyle w:val="FootnoteReference"/>
        </w:rPr>
        <w:footnoteRef/>
      </w:r>
      <w:r>
        <w:t xml:space="preserve"> Top Gear, BBC Two Available at: </w:t>
      </w:r>
      <w:hyperlink r:id="rId6" w:history="1">
        <w:r w:rsidRPr="00122A88">
          <w:rPr>
            <w:rStyle w:val="Hyperlink"/>
          </w:rPr>
          <w:t>https://www.bbc.co.uk/programmes/b006mj59</w:t>
        </w:r>
      </w:hyperlink>
    </w:p>
  </w:footnote>
  <w:footnote w:id="20">
    <w:p w14:paraId="1E696959" w14:textId="21CDF867" w:rsidR="003E181E" w:rsidRDefault="003E181E">
      <w:pPr>
        <w:pStyle w:val="FootnoteText"/>
      </w:pPr>
      <w:r>
        <w:rPr>
          <w:rStyle w:val="FootnoteReference"/>
        </w:rPr>
        <w:footnoteRef/>
      </w:r>
      <w:r>
        <w:t xml:space="preserve"> </w:t>
      </w:r>
      <w:proofErr w:type="spellStart"/>
      <w:r>
        <w:t>Parkdean</w:t>
      </w:r>
      <w:proofErr w:type="spellEnd"/>
      <w:r>
        <w:t xml:space="preserve"> Pendine Sands Available at: </w:t>
      </w:r>
      <w:hyperlink r:id="rId7" w:history="1">
        <w:r w:rsidRPr="00122A88">
          <w:rPr>
            <w:rStyle w:val="Hyperlink"/>
          </w:rPr>
          <w:t>https://www.parkdeanresorts.co.uk/location/wales/pendine-sands/</w:t>
        </w:r>
      </w:hyperlink>
    </w:p>
  </w:footnote>
  <w:footnote w:id="21">
    <w:p w14:paraId="15BD2ACB" w14:textId="4EEFFE26" w:rsidR="003E181E" w:rsidRDefault="003E181E">
      <w:pPr>
        <w:pStyle w:val="FootnoteText"/>
      </w:pPr>
      <w:r>
        <w:rPr>
          <w:rStyle w:val="FootnoteReference"/>
        </w:rPr>
        <w:footnoteRef/>
      </w:r>
      <w:r>
        <w:t xml:space="preserve"> Ambrose, T. &amp; Paine, C. (1993) </w:t>
      </w:r>
      <w:r w:rsidRPr="00A2553A">
        <w:rPr>
          <w:i/>
          <w:iCs/>
        </w:rPr>
        <w:t>Museum Basics</w:t>
      </w:r>
      <w:r>
        <w:t>. London: Routledge. p. 3</w:t>
      </w:r>
    </w:p>
  </w:footnote>
  <w:footnote w:id="22">
    <w:p w14:paraId="146F09D9" w14:textId="5EC0029B" w:rsidR="003E181E" w:rsidRDefault="003E181E">
      <w:pPr>
        <w:pStyle w:val="FootnoteText"/>
      </w:pPr>
      <w:r>
        <w:rPr>
          <w:rStyle w:val="FootnoteReference"/>
        </w:rPr>
        <w:footnoteRef/>
      </w:r>
      <w:r>
        <w:t xml:space="preserve"> Ibid.</w:t>
      </w:r>
    </w:p>
  </w:footnote>
  <w:footnote w:id="23">
    <w:p w14:paraId="25BFB8A9" w14:textId="1CD9BEF2" w:rsidR="003E181E" w:rsidRDefault="003E181E">
      <w:pPr>
        <w:pStyle w:val="FootnoteText"/>
      </w:pPr>
      <w:r>
        <w:rPr>
          <w:rStyle w:val="FootnoteReference"/>
        </w:rPr>
        <w:footnoteRef/>
      </w:r>
      <w:r>
        <w:t xml:space="preserve"> Ibid. p. 9</w:t>
      </w:r>
    </w:p>
  </w:footnote>
  <w:footnote w:id="24">
    <w:p w14:paraId="3DAB348F" w14:textId="3B285815" w:rsidR="003E181E" w:rsidRDefault="003E181E">
      <w:pPr>
        <w:pStyle w:val="FootnoteText"/>
      </w:pPr>
      <w:r>
        <w:rPr>
          <w:rStyle w:val="FootnoteReference"/>
        </w:rPr>
        <w:footnoteRef/>
      </w:r>
      <w:r>
        <w:t xml:space="preserve"> 2011 Census</w:t>
      </w:r>
    </w:p>
  </w:footnote>
  <w:footnote w:id="25">
    <w:p w14:paraId="3D5BF04B" w14:textId="3FF7D5F0" w:rsidR="003E181E" w:rsidRDefault="003E181E">
      <w:pPr>
        <w:pStyle w:val="FootnoteText"/>
      </w:pPr>
      <w:r>
        <w:rPr>
          <w:rStyle w:val="FootnoteReference"/>
        </w:rPr>
        <w:footnoteRef/>
      </w:r>
      <w:r>
        <w:t xml:space="preserve"> Keene, S. (2005) </w:t>
      </w:r>
      <w:r w:rsidRPr="003E181E">
        <w:rPr>
          <w:i/>
          <w:iCs/>
        </w:rPr>
        <w:t>Fragments of the World: Uses of Museum Collections</w:t>
      </w:r>
      <w:r>
        <w:t xml:space="preserve">. Oxford: Elsevier Butterworth </w:t>
      </w:r>
      <w:proofErr w:type="spellStart"/>
      <w:r>
        <w:t>Heinman</w:t>
      </w:r>
      <w:proofErr w:type="spellEnd"/>
      <w:r>
        <w:t>. p. 98</w:t>
      </w:r>
    </w:p>
  </w:footnote>
  <w:footnote w:id="26">
    <w:p w14:paraId="372245F3" w14:textId="4AB17D4B" w:rsidR="003E181E" w:rsidRDefault="003E181E">
      <w:pPr>
        <w:pStyle w:val="FootnoteText"/>
      </w:pPr>
      <w:r>
        <w:rPr>
          <w:rStyle w:val="FootnoteReference"/>
        </w:rPr>
        <w:footnoteRef/>
      </w:r>
      <w:r>
        <w:t xml:space="preserve"> Keene, S. (2005) Fragments of the World: Uses of Museum Collections. Oxford: Elsevier Butterworth </w:t>
      </w:r>
      <w:proofErr w:type="spellStart"/>
      <w:r>
        <w:t>Heinman</w:t>
      </w:r>
      <w:proofErr w:type="spellEnd"/>
      <w:r>
        <w:t>. p. 98</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25291"/>
    <w:rsid w:val="00122A88"/>
    <w:rsid w:val="001463EF"/>
    <w:rsid w:val="00187F9C"/>
    <w:rsid w:val="001E4573"/>
    <w:rsid w:val="002503F5"/>
    <w:rsid w:val="002526A5"/>
    <w:rsid w:val="0026099C"/>
    <w:rsid w:val="002755A6"/>
    <w:rsid w:val="002E64B5"/>
    <w:rsid w:val="00347190"/>
    <w:rsid w:val="0038359E"/>
    <w:rsid w:val="0038377B"/>
    <w:rsid w:val="003A3166"/>
    <w:rsid w:val="003B4123"/>
    <w:rsid w:val="003E181E"/>
    <w:rsid w:val="0040596F"/>
    <w:rsid w:val="00466708"/>
    <w:rsid w:val="004A5B32"/>
    <w:rsid w:val="004D0D6B"/>
    <w:rsid w:val="0051394B"/>
    <w:rsid w:val="00560234"/>
    <w:rsid w:val="005F1EE6"/>
    <w:rsid w:val="00620DD9"/>
    <w:rsid w:val="00623B3A"/>
    <w:rsid w:val="00673BAC"/>
    <w:rsid w:val="00716B5E"/>
    <w:rsid w:val="00725291"/>
    <w:rsid w:val="007440F8"/>
    <w:rsid w:val="0074789D"/>
    <w:rsid w:val="00787976"/>
    <w:rsid w:val="00791536"/>
    <w:rsid w:val="008526C5"/>
    <w:rsid w:val="00875B9C"/>
    <w:rsid w:val="008D3934"/>
    <w:rsid w:val="00951002"/>
    <w:rsid w:val="00966B6A"/>
    <w:rsid w:val="00A2553A"/>
    <w:rsid w:val="00A3420E"/>
    <w:rsid w:val="00A424C7"/>
    <w:rsid w:val="00AB6291"/>
    <w:rsid w:val="00AB7208"/>
    <w:rsid w:val="00BC295F"/>
    <w:rsid w:val="00BC6C99"/>
    <w:rsid w:val="00C0281B"/>
    <w:rsid w:val="00C5174B"/>
    <w:rsid w:val="00C54CCA"/>
    <w:rsid w:val="00C937EC"/>
    <w:rsid w:val="00D94331"/>
    <w:rsid w:val="00DB5B7B"/>
    <w:rsid w:val="00DD7B5F"/>
    <w:rsid w:val="00E2000F"/>
    <w:rsid w:val="00E43844"/>
    <w:rsid w:val="00EF4BC1"/>
    <w:rsid w:val="00F77C90"/>
    <w:rsid w:val="00F8624D"/>
    <w:rsid w:val="00FA1A5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FC8C885"/>
  <w15:chartTrackingRefBased/>
  <w15:docId w15:val="{229CEB94-BDF0-4EFD-A528-21FB200B0D7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4A5B32"/>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4A5B32"/>
    <w:rPr>
      <w:sz w:val="20"/>
      <w:szCs w:val="20"/>
    </w:rPr>
  </w:style>
  <w:style w:type="character" w:styleId="FootnoteReference">
    <w:name w:val="footnote reference"/>
    <w:basedOn w:val="DefaultParagraphFont"/>
    <w:uiPriority w:val="99"/>
    <w:semiHidden/>
    <w:unhideWhenUsed/>
    <w:rsid w:val="004A5B32"/>
    <w:rPr>
      <w:vertAlign w:val="superscript"/>
    </w:rPr>
  </w:style>
  <w:style w:type="character" w:styleId="Hyperlink">
    <w:name w:val="Hyperlink"/>
    <w:basedOn w:val="DefaultParagraphFont"/>
    <w:uiPriority w:val="99"/>
    <w:unhideWhenUsed/>
    <w:rsid w:val="008D3934"/>
    <w:rPr>
      <w:color w:val="0563C1" w:themeColor="hyperlink"/>
      <w:u w:val="single"/>
    </w:rPr>
  </w:style>
  <w:style w:type="character" w:styleId="UnresolvedMention">
    <w:name w:val="Unresolved Mention"/>
    <w:basedOn w:val="DefaultParagraphFont"/>
    <w:uiPriority w:val="99"/>
    <w:semiHidden/>
    <w:unhideWhenUsed/>
    <w:rsid w:val="008D3934"/>
    <w:rPr>
      <w:color w:val="605E5C"/>
      <w:shd w:val="clear" w:color="auto" w:fill="E1DFDD"/>
    </w:rPr>
  </w:style>
  <w:style w:type="paragraph" w:styleId="BalloonText">
    <w:name w:val="Balloon Text"/>
    <w:basedOn w:val="Normal"/>
    <w:link w:val="BalloonTextChar"/>
    <w:uiPriority w:val="99"/>
    <w:semiHidden/>
    <w:unhideWhenUsed/>
    <w:rsid w:val="00347190"/>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347190"/>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dylanthomasboathouse.com/" TargetMode="External"/><Relationship Id="rId13" Type="http://schemas.openxmlformats.org/officeDocument/2006/relationships/hyperlink" Target="https://www.bbc.co.uk/programmes/b006mj59" TargetMode="External"/><Relationship Id="rId3" Type="http://schemas.openxmlformats.org/officeDocument/2006/relationships/settings" Target="settings.xml"/><Relationship Id="rId7" Type="http://schemas.openxmlformats.org/officeDocument/2006/relationships/hyperlink" Target="https://museum.wales/bigpit/" TargetMode="External"/><Relationship Id="rId12" Type="http://schemas.openxmlformats.org/officeDocument/2006/relationships/hyperlink" Target="https://tinshedexperience.co.uk/"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parkdeanresorts.co.uk/location/wales/pendine-sands/" TargetMode="Externa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hyperlink" Target="https://cadw.gov.wales/visit/places-to-visit/laugharne-castle" TargetMode="External"/><Relationship Id="rId4" Type="http://schemas.openxmlformats.org/officeDocument/2006/relationships/webSettings" Target="webSettings.xml"/><Relationship Id="rId9" Type="http://schemas.openxmlformats.org/officeDocument/2006/relationships/hyperlink" Target="https://haverfordwest-town-museum.org.uk/" TargetMode="External"/><Relationship Id="rId14" Type="http://schemas.openxmlformats.org/officeDocument/2006/relationships/fontTable" Target="fontTable.xml"/></Relationships>
</file>

<file path=word/_rels/footnotes.xml.rels><?xml version="1.0" encoding="UTF-8" standalone="yes"?>
<Relationships xmlns="http://schemas.openxmlformats.org/package/2006/relationships"><Relationship Id="rId3" Type="http://schemas.openxmlformats.org/officeDocument/2006/relationships/hyperlink" Target="https://cadw.gov.wales/visit/places-to-visit/laugharne-castle" TargetMode="External"/><Relationship Id="rId7" Type="http://schemas.openxmlformats.org/officeDocument/2006/relationships/hyperlink" Target="https://www.parkdeanresorts.co.uk/location/wales/pendine-sands/" TargetMode="External"/><Relationship Id="rId2" Type="http://schemas.openxmlformats.org/officeDocument/2006/relationships/hyperlink" Target="https://haverfordwest-town-museum.org.uk/" TargetMode="External"/><Relationship Id="rId1" Type="http://schemas.openxmlformats.org/officeDocument/2006/relationships/hyperlink" Target="https://museum.wales/bigpit/" TargetMode="External"/><Relationship Id="rId6" Type="http://schemas.openxmlformats.org/officeDocument/2006/relationships/hyperlink" Target="https://www.bbc.co.uk/programmes/b006mj59" TargetMode="External"/><Relationship Id="rId5" Type="http://schemas.openxmlformats.org/officeDocument/2006/relationships/hyperlink" Target="https://www.dylanthomasboathouse.com/" TargetMode="External"/><Relationship Id="rId4" Type="http://schemas.openxmlformats.org/officeDocument/2006/relationships/hyperlink" Target="https://tinshedexperience.co.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545B8D7-6E47-4DEA-BE51-E4B4C1159D2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12591</TotalTime>
  <Pages>6</Pages>
  <Words>2217</Words>
  <Characters>12527</Characters>
  <Application>Microsoft Office Word</Application>
  <DocSecurity>0</DocSecurity>
  <Lines>894</Lines>
  <Paragraphs>220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14524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Alison Moody</dc:creator>
  <cp:keywords/>
  <dc:description/>
  <cp:lastModifiedBy>Alison Moody</cp:lastModifiedBy>
  <cp:revision>11</cp:revision>
  <cp:lastPrinted>2020-05-21T12:31:00Z</cp:lastPrinted>
  <dcterms:created xsi:type="dcterms:W3CDTF">2020-05-13T12:02:00Z</dcterms:created>
  <dcterms:modified xsi:type="dcterms:W3CDTF">2020-05-22T05:55:00Z</dcterms:modified>
</cp:coreProperties>
</file>