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A0AD11" w14:textId="77777777" w:rsidR="00054382" w:rsidRPr="00BD6DDA" w:rsidRDefault="00054382" w:rsidP="00054382">
      <w:pPr>
        <w:pStyle w:val="ListParagraph"/>
        <w:rPr>
          <w:sz w:val="26"/>
          <w:szCs w:val="26"/>
        </w:rPr>
      </w:pPr>
      <w:r>
        <w:rPr>
          <w:rFonts w:asciiTheme="majorBidi" w:hAnsiTheme="majorBidi" w:cstheme="majorBidi"/>
          <w:sz w:val="26"/>
          <w:szCs w:val="26"/>
        </w:rPr>
        <w:t>Criti</w:t>
      </w:r>
      <w:r w:rsidRPr="00BD6DDA">
        <w:rPr>
          <w:sz w:val="26"/>
          <w:szCs w:val="26"/>
        </w:rPr>
        <w:t>cally outline the main themes presented in 1 and 2 Maccabees. In your answer, please also refer to the differences between 1 and 2 Maccabees.</w:t>
      </w:r>
    </w:p>
    <w:p w14:paraId="307890A1" w14:textId="59770929" w:rsidR="00054382" w:rsidRPr="00BD6DDA" w:rsidRDefault="00054382">
      <w:pPr>
        <w:rPr>
          <w:rFonts w:ascii="Times New Roman" w:hAnsi="Times New Roman" w:cs="Times New Roman"/>
        </w:rPr>
      </w:pPr>
    </w:p>
    <w:p w14:paraId="51DEE22D" w14:textId="77777777" w:rsidR="00054382" w:rsidRPr="00BD6DDA" w:rsidRDefault="00054382">
      <w:pPr>
        <w:rPr>
          <w:rFonts w:ascii="Times New Roman" w:hAnsi="Times New Roman" w:cs="Times New Roman"/>
        </w:rPr>
      </w:pPr>
    </w:p>
    <w:p w14:paraId="254726DF" w14:textId="37A9270A" w:rsidR="00054382" w:rsidRPr="00BD6DDA" w:rsidRDefault="00054382" w:rsidP="00BD6DDA">
      <w:pPr>
        <w:spacing w:line="480" w:lineRule="auto"/>
        <w:jc w:val="both"/>
        <w:rPr>
          <w:rFonts w:ascii="Times New Roman" w:hAnsi="Times New Roman" w:cs="Times New Roman"/>
          <w:sz w:val="24"/>
          <w:szCs w:val="24"/>
        </w:rPr>
      </w:pPr>
      <w:r w:rsidRPr="00BD6DDA">
        <w:rPr>
          <w:rFonts w:ascii="Times New Roman" w:hAnsi="Times New Roman" w:cs="Times New Roman"/>
          <w:sz w:val="24"/>
          <w:szCs w:val="24"/>
        </w:rPr>
        <w:t xml:space="preserve">1 and 2 Maccabees </w:t>
      </w:r>
      <w:r w:rsidR="00332BFC" w:rsidRPr="00BD6DDA">
        <w:rPr>
          <w:rFonts w:ascii="Times New Roman" w:hAnsi="Times New Roman" w:cs="Times New Roman"/>
          <w:sz w:val="24"/>
          <w:szCs w:val="24"/>
        </w:rPr>
        <w:t>detail the events</w:t>
      </w:r>
      <w:r w:rsidR="00352D9D" w:rsidRPr="00BD6DDA">
        <w:rPr>
          <w:rFonts w:ascii="Times New Roman" w:hAnsi="Times New Roman" w:cs="Times New Roman"/>
          <w:sz w:val="24"/>
          <w:szCs w:val="24"/>
        </w:rPr>
        <w:t xml:space="preserve"> </w:t>
      </w:r>
      <w:r w:rsidR="00332BFC" w:rsidRPr="00BD6DDA">
        <w:rPr>
          <w:rFonts w:ascii="Times New Roman" w:hAnsi="Times New Roman" w:cs="Times New Roman"/>
          <w:sz w:val="24"/>
          <w:szCs w:val="24"/>
        </w:rPr>
        <w:t xml:space="preserve">which took place during the </w:t>
      </w:r>
      <w:r w:rsidR="00352D9D" w:rsidRPr="00BD6DDA">
        <w:rPr>
          <w:rFonts w:ascii="Times New Roman" w:hAnsi="Times New Roman" w:cs="Times New Roman"/>
          <w:sz w:val="24"/>
          <w:szCs w:val="24"/>
        </w:rPr>
        <w:t xml:space="preserve">reign of the Hellen Seleucid Empire, detailing the oppression imposed by the state, primarily at the direct command of King Antiochus IV Epiphanes, unto the Jewish people. Here, Antiochus tried to suppress Jewish law and traditions. In time, led by Mattathias and his sons, there arose the Maccabean revolt in defiance. </w:t>
      </w:r>
      <w:r w:rsidR="00332BFC" w:rsidRPr="00BD6DDA">
        <w:rPr>
          <w:rFonts w:ascii="Times New Roman" w:hAnsi="Times New Roman" w:cs="Times New Roman"/>
          <w:sz w:val="24"/>
          <w:szCs w:val="24"/>
        </w:rPr>
        <w:t xml:space="preserve">Both texts outlie a narrative presentation of the events, while the former </w:t>
      </w:r>
      <w:r w:rsidR="00187E12" w:rsidRPr="00BD6DDA">
        <w:rPr>
          <w:rFonts w:ascii="Times New Roman" w:hAnsi="Times New Roman" w:cs="Times New Roman"/>
          <w:sz w:val="24"/>
          <w:szCs w:val="24"/>
        </w:rPr>
        <w:t>starts and ends its narrative later, from Mattathias to Johanan, the latter begins and finishes it narrative earlier, ending before Judas Maccabee dies. As well, the former was likely crafted in Palestine, while the latter was of the Hellenised Diaspora, being written in Greek.</w:t>
      </w:r>
      <w:r w:rsidR="00187E12" w:rsidRPr="00BD6DDA">
        <w:rPr>
          <w:rStyle w:val="FootnoteReference"/>
          <w:rFonts w:ascii="Times New Roman" w:hAnsi="Times New Roman" w:cs="Times New Roman"/>
          <w:sz w:val="24"/>
          <w:szCs w:val="24"/>
        </w:rPr>
        <w:footnoteReference w:id="1"/>
      </w:r>
    </w:p>
    <w:p w14:paraId="5698EA7B" w14:textId="436848A6" w:rsidR="00187E12" w:rsidRPr="00BD6DDA" w:rsidRDefault="00187E12">
      <w:pPr>
        <w:rPr>
          <w:rFonts w:ascii="Times New Roman" w:hAnsi="Times New Roman" w:cs="Times New Roman"/>
        </w:rPr>
      </w:pPr>
    </w:p>
    <w:p w14:paraId="12B7EB96" w14:textId="34D5A6D2" w:rsidR="00187E12" w:rsidRPr="00BD6DDA" w:rsidRDefault="00187E12">
      <w:pPr>
        <w:rPr>
          <w:rFonts w:ascii="Times New Roman" w:hAnsi="Times New Roman" w:cs="Times New Roman"/>
        </w:rPr>
      </w:pPr>
    </w:p>
    <w:p w14:paraId="036D8B27" w14:textId="1C8007E0" w:rsidR="00187E12" w:rsidRPr="00BD6DDA" w:rsidRDefault="00187E12">
      <w:pPr>
        <w:rPr>
          <w:rFonts w:ascii="Times New Roman" w:hAnsi="Times New Roman" w:cs="Times New Roman"/>
        </w:rPr>
      </w:pPr>
    </w:p>
    <w:p w14:paraId="76BAD265" w14:textId="78266B78" w:rsidR="00187E12" w:rsidRPr="00BD6DDA" w:rsidRDefault="00187E12">
      <w:pPr>
        <w:rPr>
          <w:rFonts w:ascii="Times New Roman" w:hAnsi="Times New Roman" w:cs="Times New Roman"/>
        </w:rPr>
      </w:pPr>
    </w:p>
    <w:p w14:paraId="74F5C151" w14:textId="130641D4" w:rsidR="00187E12" w:rsidRPr="00BD6DDA" w:rsidRDefault="00187E12">
      <w:pPr>
        <w:rPr>
          <w:rFonts w:ascii="Times New Roman" w:hAnsi="Times New Roman" w:cs="Times New Roman"/>
        </w:rPr>
      </w:pPr>
    </w:p>
    <w:p w14:paraId="7218302A" w14:textId="24FCA668" w:rsidR="00187E12" w:rsidRPr="00BD6DDA" w:rsidRDefault="00187E12">
      <w:pPr>
        <w:rPr>
          <w:rFonts w:ascii="Times New Roman" w:hAnsi="Times New Roman" w:cs="Times New Roman"/>
        </w:rPr>
      </w:pPr>
    </w:p>
    <w:p w14:paraId="0B88B408" w14:textId="166F5EFD" w:rsidR="00187E12" w:rsidRPr="00BD6DDA" w:rsidRDefault="00187E12">
      <w:pPr>
        <w:rPr>
          <w:rFonts w:ascii="Times New Roman" w:hAnsi="Times New Roman" w:cs="Times New Roman"/>
        </w:rPr>
      </w:pPr>
    </w:p>
    <w:p w14:paraId="499BDFB5" w14:textId="7BE20DC0" w:rsidR="00187E12" w:rsidRPr="00BD6DDA" w:rsidRDefault="00187E12">
      <w:pPr>
        <w:rPr>
          <w:rFonts w:ascii="Times New Roman" w:hAnsi="Times New Roman" w:cs="Times New Roman"/>
        </w:rPr>
      </w:pPr>
    </w:p>
    <w:p w14:paraId="2A366747" w14:textId="0424D142" w:rsidR="00187E12" w:rsidRPr="00BD6DDA" w:rsidRDefault="00187E12">
      <w:pPr>
        <w:rPr>
          <w:rFonts w:ascii="Times New Roman" w:hAnsi="Times New Roman" w:cs="Times New Roman"/>
        </w:rPr>
      </w:pPr>
    </w:p>
    <w:p w14:paraId="137C88E0" w14:textId="2B9BC02F" w:rsidR="00187E12" w:rsidRPr="00BD6DDA" w:rsidRDefault="00187E12">
      <w:pPr>
        <w:rPr>
          <w:rFonts w:ascii="Times New Roman" w:hAnsi="Times New Roman" w:cs="Times New Roman"/>
        </w:rPr>
      </w:pPr>
    </w:p>
    <w:p w14:paraId="11289781" w14:textId="5D48EDD4" w:rsidR="00187E12" w:rsidRPr="00BD6DDA" w:rsidRDefault="00187E12">
      <w:pPr>
        <w:rPr>
          <w:rFonts w:ascii="Times New Roman" w:hAnsi="Times New Roman" w:cs="Times New Roman"/>
        </w:rPr>
      </w:pPr>
    </w:p>
    <w:p w14:paraId="51D8C02C" w14:textId="03512FE1" w:rsidR="00187E12" w:rsidRPr="00BD6DDA" w:rsidRDefault="00187E12">
      <w:pPr>
        <w:rPr>
          <w:rFonts w:ascii="Times New Roman" w:hAnsi="Times New Roman" w:cs="Times New Roman"/>
        </w:rPr>
      </w:pPr>
    </w:p>
    <w:p w14:paraId="5CA680AF" w14:textId="7AA3B162" w:rsidR="00187E12" w:rsidRPr="00BD6DDA" w:rsidRDefault="00187E12">
      <w:pPr>
        <w:rPr>
          <w:rFonts w:ascii="Times New Roman" w:hAnsi="Times New Roman" w:cs="Times New Roman"/>
        </w:rPr>
      </w:pPr>
    </w:p>
    <w:p w14:paraId="74D8FE73" w14:textId="43A679BD" w:rsidR="00187E12" w:rsidRPr="00BD6DDA" w:rsidRDefault="00187E12">
      <w:pPr>
        <w:rPr>
          <w:rFonts w:ascii="Times New Roman" w:hAnsi="Times New Roman" w:cs="Times New Roman"/>
        </w:rPr>
      </w:pPr>
    </w:p>
    <w:p w14:paraId="64991A28" w14:textId="608D49D8" w:rsidR="00187E12" w:rsidRPr="00BD6DDA" w:rsidRDefault="00187E12">
      <w:pPr>
        <w:rPr>
          <w:rFonts w:ascii="Times New Roman" w:hAnsi="Times New Roman" w:cs="Times New Roman"/>
        </w:rPr>
      </w:pPr>
    </w:p>
    <w:p w14:paraId="2756D117" w14:textId="48A02F3B" w:rsidR="00187E12" w:rsidRPr="00BD6DDA" w:rsidRDefault="00187E12">
      <w:pPr>
        <w:rPr>
          <w:rFonts w:ascii="Times New Roman" w:hAnsi="Times New Roman" w:cs="Times New Roman"/>
        </w:rPr>
      </w:pPr>
    </w:p>
    <w:p w14:paraId="4440B609" w14:textId="01945BAD" w:rsidR="00187E12" w:rsidRPr="00BD6DDA" w:rsidRDefault="00187E12">
      <w:pPr>
        <w:rPr>
          <w:rFonts w:ascii="Times New Roman" w:hAnsi="Times New Roman" w:cs="Times New Roman"/>
        </w:rPr>
      </w:pPr>
    </w:p>
    <w:p w14:paraId="5CDC0240" w14:textId="7F4F4217" w:rsidR="00187E12" w:rsidRPr="00BD6DDA" w:rsidRDefault="00187E12">
      <w:pPr>
        <w:rPr>
          <w:rFonts w:ascii="Times New Roman" w:hAnsi="Times New Roman" w:cs="Times New Roman"/>
        </w:rPr>
      </w:pPr>
    </w:p>
    <w:p w14:paraId="1EA75B54" w14:textId="41831047" w:rsidR="00187E12" w:rsidRPr="000B5127" w:rsidRDefault="00BD6DDA" w:rsidP="00BD6DDA">
      <w:pPr>
        <w:jc w:val="center"/>
        <w:rPr>
          <w:rFonts w:ascii="Times New Roman" w:hAnsi="Times New Roman" w:cs="Times New Roman"/>
          <w:sz w:val="24"/>
          <w:szCs w:val="24"/>
        </w:rPr>
      </w:pPr>
      <w:r w:rsidRPr="000B5127">
        <w:rPr>
          <w:rFonts w:ascii="Times New Roman" w:hAnsi="Times New Roman" w:cs="Times New Roman"/>
          <w:sz w:val="24"/>
          <w:szCs w:val="24"/>
        </w:rPr>
        <w:t>Bibliography:</w:t>
      </w:r>
    </w:p>
    <w:p w14:paraId="5C14446A" w14:textId="77777777" w:rsidR="00BD6DDA" w:rsidRPr="00BD6DDA" w:rsidRDefault="00BD6DDA" w:rsidP="00BD6DDA">
      <w:pPr>
        <w:jc w:val="both"/>
        <w:rPr>
          <w:rFonts w:ascii="Times New Roman" w:hAnsi="Times New Roman" w:cs="Times New Roman"/>
        </w:rPr>
      </w:pPr>
    </w:p>
    <w:p w14:paraId="4EFF524F" w14:textId="40838BA3" w:rsidR="00BD6DDA" w:rsidRPr="000B5127" w:rsidRDefault="00BD6DDA" w:rsidP="000B5127">
      <w:pPr>
        <w:spacing w:line="480" w:lineRule="auto"/>
        <w:jc w:val="both"/>
        <w:rPr>
          <w:rFonts w:ascii="Times New Roman" w:hAnsi="Times New Roman" w:cs="Times New Roman"/>
          <w:sz w:val="24"/>
          <w:szCs w:val="24"/>
        </w:rPr>
      </w:pPr>
      <w:bookmarkStart w:id="0" w:name="_Hlk42948385"/>
      <w:r w:rsidRPr="000B5127">
        <w:rPr>
          <w:rFonts w:ascii="Times New Roman" w:hAnsi="Times New Roman" w:cs="Times New Roman"/>
          <w:sz w:val="24"/>
          <w:szCs w:val="24"/>
        </w:rPr>
        <w:t>Schwartz,</w:t>
      </w:r>
      <w:r w:rsidR="000B5127">
        <w:rPr>
          <w:rFonts w:ascii="Times New Roman" w:hAnsi="Times New Roman" w:cs="Times New Roman"/>
          <w:sz w:val="24"/>
          <w:szCs w:val="24"/>
        </w:rPr>
        <w:t xml:space="preserve"> Daniel R.,</w:t>
      </w:r>
      <w:r w:rsidRPr="000B5127">
        <w:rPr>
          <w:rFonts w:ascii="Times New Roman" w:hAnsi="Times New Roman" w:cs="Times New Roman"/>
          <w:sz w:val="24"/>
          <w:szCs w:val="24"/>
        </w:rPr>
        <w:t xml:space="preserve"> ‘The Other in 1 and 2 Maccabees’, in </w:t>
      </w:r>
      <w:r w:rsidRPr="000B5127">
        <w:rPr>
          <w:rFonts w:ascii="Times New Roman" w:hAnsi="Times New Roman" w:cs="Times New Roman"/>
          <w:i/>
          <w:iCs/>
          <w:sz w:val="24"/>
          <w:szCs w:val="24"/>
        </w:rPr>
        <w:t>Tolerance and Intolerance in Early Judaism and Christianit,</w:t>
      </w:r>
      <w:r w:rsidRPr="000B5127">
        <w:rPr>
          <w:rFonts w:ascii="Times New Roman" w:hAnsi="Times New Roman" w:cs="Times New Roman"/>
          <w:sz w:val="24"/>
          <w:szCs w:val="24"/>
        </w:rPr>
        <w:t xml:space="preserve"> ed. by Graham N. Stanton and Guy G. Stroumsa (Cambridge: Cambridge University Press, 1998), pp. </w:t>
      </w:r>
      <w:r w:rsidR="000B5127" w:rsidRPr="000B5127">
        <w:rPr>
          <w:rFonts w:ascii="Times New Roman" w:hAnsi="Times New Roman" w:cs="Times New Roman"/>
          <w:sz w:val="24"/>
          <w:szCs w:val="24"/>
        </w:rPr>
        <w:t xml:space="preserve">30-38. </w:t>
      </w:r>
    </w:p>
    <w:bookmarkEnd w:id="0"/>
    <w:p w14:paraId="38DF192C" w14:textId="77777777" w:rsidR="00187E12" w:rsidRDefault="00187E12"/>
    <w:p w14:paraId="2C5D93C0" w14:textId="1CF9EF10" w:rsidR="00054382" w:rsidRDefault="00054382"/>
    <w:p w14:paraId="3B550923" w14:textId="484C52C4" w:rsidR="00054382" w:rsidRDefault="00054382"/>
    <w:p w14:paraId="330FF4E2" w14:textId="77777777" w:rsidR="00054382" w:rsidRDefault="00054382"/>
    <w:sectPr w:rsidR="000543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E90057" w14:textId="77777777" w:rsidR="00767FC1" w:rsidRDefault="00767FC1" w:rsidP="00187E12">
      <w:pPr>
        <w:spacing w:after="0" w:line="240" w:lineRule="auto"/>
      </w:pPr>
      <w:r>
        <w:separator/>
      </w:r>
    </w:p>
  </w:endnote>
  <w:endnote w:type="continuationSeparator" w:id="0">
    <w:p w14:paraId="49262C41" w14:textId="77777777" w:rsidR="00767FC1" w:rsidRDefault="00767FC1" w:rsidP="00187E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15D62E" w14:textId="77777777" w:rsidR="00767FC1" w:rsidRDefault="00767FC1" w:rsidP="00187E12">
      <w:pPr>
        <w:spacing w:after="0" w:line="240" w:lineRule="auto"/>
      </w:pPr>
      <w:r>
        <w:separator/>
      </w:r>
    </w:p>
  </w:footnote>
  <w:footnote w:type="continuationSeparator" w:id="0">
    <w:p w14:paraId="19A4A7F4" w14:textId="77777777" w:rsidR="00767FC1" w:rsidRDefault="00767FC1" w:rsidP="00187E12">
      <w:pPr>
        <w:spacing w:after="0" w:line="240" w:lineRule="auto"/>
      </w:pPr>
      <w:r>
        <w:continuationSeparator/>
      </w:r>
    </w:p>
  </w:footnote>
  <w:footnote w:id="1">
    <w:p w14:paraId="6F4B6EE4" w14:textId="2FD7E317" w:rsidR="00187E12" w:rsidRDefault="00187E12">
      <w:pPr>
        <w:pStyle w:val="FootnoteText"/>
      </w:pPr>
      <w:r>
        <w:rPr>
          <w:rStyle w:val="FootnoteReference"/>
        </w:rPr>
        <w:footnoteRef/>
      </w:r>
      <w:r>
        <w:t xml:space="preserve"> </w:t>
      </w:r>
      <w:r w:rsidR="000B5127" w:rsidRPr="000B5127">
        <w:rPr>
          <w:rFonts w:ascii="Times New Roman" w:hAnsi="Times New Roman" w:cs="Times New Roman"/>
        </w:rPr>
        <w:t xml:space="preserve">Daniel R. Schwartz, ‘The Other in 1 and 2 Maccabees’, in </w:t>
      </w:r>
      <w:r w:rsidR="000B5127" w:rsidRPr="000B5127">
        <w:rPr>
          <w:rFonts w:ascii="Times New Roman" w:hAnsi="Times New Roman" w:cs="Times New Roman"/>
          <w:i/>
          <w:iCs/>
        </w:rPr>
        <w:t>Tolerance and Intolerance in Early Judaism and Christianit</w:t>
      </w:r>
      <w:r w:rsidR="000B5127" w:rsidRPr="000B5127">
        <w:rPr>
          <w:rFonts w:ascii="Times New Roman" w:hAnsi="Times New Roman" w:cs="Times New Roman"/>
          <w:i/>
          <w:iCs/>
        </w:rPr>
        <w:t>y</w:t>
      </w:r>
      <w:r w:rsidR="000B5127" w:rsidRPr="000B5127">
        <w:rPr>
          <w:rFonts w:ascii="Times New Roman" w:hAnsi="Times New Roman" w:cs="Times New Roman"/>
        </w:rPr>
        <w:t>, ed. by Graham N. Stanton and Guy G. Stroumsa (Cambridge: Cambridge University Press, 1998), pp. 30-38. (p. 30).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443C4C"/>
    <w:multiLevelType w:val="hybridMultilevel"/>
    <w:tmpl w:val="69FC7C9E"/>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382"/>
    <w:rsid w:val="00054382"/>
    <w:rsid w:val="000B5127"/>
    <w:rsid w:val="00187E12"/>
    <w:rsid w:val="00332BFC"/>
    <w:rsid w:val="00352D9D"/>
    <w:rsid w:val="004766DB"/>
    <w:rsid w:val="00767FC1"/>
    <w:rsid w:val="00BD6DDA"/>
    <w:rsid w:val="00DC7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8DA39"/>
  <w15:chartTrackingRefBased/>
  <w15:docId w15:val="{F42EA240-A322-4F24-9C9E-B84EC2AE0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4382"/>
    <w:pPr>
      <w:spacing w:after="0" w:line="240" w:lineRule="auto"/>
      <w:ind w:left="720"/>
      <w:contextualSpacing/>
    </w:pPr>
    <w:rPr>
      <w:rFonts w:ascii="Times New Roman" w:eastAsia="Times New Roman" w:hAnsi="Times New Roman" w:cs="Times New Roman"/>
      <w:sz w:val="20"/>
      <w:szCs w:val="20"/>
      <w:lang w:eastAsia="en-GB"/>
    </w:rPr>
  </w:style>
  <w:style w:type="paragraph" w:styleId="FootnoteText">
    <w:name w:val="footnote text"/>
    <w:basedOn w:val="Normal"/>
    <w:link w:val="FootnoteTextChar"/>
    <w:uiPriority w:val="99"/>
    <w:semiHidden/>
    <w:unhideWhenUsed/>
    <w:rsid w:val="00187E1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87E12"/>
    <w:rPr>
      <w:sz w:val="20"/>
      <w:szCs w:val="20"/>
    </w:rPr>
  </w:style>
  <w:style w:type="character" w:styleId="FootnoteReference">
    <w:name w:val="footnote reference"/>
    <w:basedOn w:val="DefaultParagraphFont"/>
    <w:uiPriority w:val="99"/>
    <w:semiHidden/>
    <w:unhideWhenUsed/>
    <w:rsid w:val="00187E1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440766">
      <w:bodyDiv w:val="1"/>
      <w:marLeft w:val="0"/>
      <w:marRight w:val="0"/>
      <w:marTop w:val="0"/>
      <w:marBottom w:val="0"/>
      <w:divBdr>
        <w:top w:val="none" w:sz="0" w:space="0" w:color="auto"/>
        <w:left w:val="none" w:sz="0" w:space="0" w:color="auto"/>
        <w:bottom w:val="none" w:sz="0" w:space="0" w:color="auto"/>
        <w:right w:val="none" w:sz="0" w:space="0" w:color="auto"/>
      </w:divBdr>
    </w:div>
    <w:div w:id="1486699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E84B59-F886-4B36-B1FF-082C8D005F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2</Pages>
  <Words>171</Words>
  <Characters>976</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Darryl Milnes</dc:creator>
  <cp:keywords/>
  <dc:description/>
  <cp:lastModifiedBy>Darryl Milnes</cp:lastModifiedBy>
  <cp:revision>2</cp:revision>
  <dcterms:created xsi:type="dcterms:W3CDTF">2020-06-13T09:58:00Z</dcterms:created>
  <dcterms:modified xsi:type="dcterms:W3CDTF">2020-06-13T12:47:00Z</dcterms:modified>
</cp:coreProperties>
</file>