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95A7A8" w14:textId="77777777" w:rsidR="00B71D34" w:rsidRPr="00C14EF4" w:rsidRDefault="00B71D34" w:rsidP="00B71D34">
      <w:pPr>
        <w:spacing w:line="278" w:lineRule="auto"/>
        <w:rPr>
          <w:color w:val="000000" w:themeColor="text1"/>
        </w:rPr>
      </w:pPr>
      <w:r w:rsidRPr="00C14EF4">
        <w:rPr>
          <w:rFonts w:cs="Arial"/>
          <w:noProof/>
          <w:color w:val="000000" w:themeColor="text1"/>
        </w:rPr>
        <w:drawing>
          <wp:anchor distT="0" distB="0" distL="114300" distR="114300" simplePos="0" relativeHeight="251659264" behindDoc="0" locked="0" layoutInCell="1" allowOverlap="1" wp14:anchorId="7EF88B00" wp14:editId="1FF97E9B">
            <wp:simplePos x="0" y="0"/>
            <wp:positionH relativeFrom="margin">
              <wp:align>center</wp:align>
            </wp:positionH>
            <wp:positionV relativeFrom="paragraph">
              <wp:posOffset>0</wp:posOffset>
            </wp:positionV>
            <wp:extent cx="1809750" cy="723900"/>
            <wp:effectExtent l="0" t="0" r="0" b="0"/>
            <wp:wrapSquare wrapText="bothSides"/>
            <wp:docPr id="1995606523" name="Picture 199560652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54DAC2D" w14:textId="77777777" w:rsidR="00B71D34" w:rsidRPr="00C14EF4" w:rsidRDefault="00B71D34" w:rsidP="00B71D34">
      <w:pPr>
        <w:spacing w:line="278" w:lineRule="auto"/>
        <w:rPr>
          <w:color w:val="000000" w:themeColor="text1"/>
        </w:rPr>
      </w:pPr>
    </w:p>
    <w:p w14:paraId="2FD31383" w14:textId="77777777" w:rsidR="00B71D34" w:rsidRPr="00C14EF4" w:rsidRDefault="00B71D34" w:rsidP="00B71D34">
      <w:pPr>
        <w:spacing w:line="278" w:lineRule="auto"/>
        <w:rPr>
          <w:color w:val="000000" w:themeColor="text1"/>
        </w:rPr>
      </w:pPr>
    </w:p>
    <w:p w14:paraId="4FA06846" w14:textId="77777777" w:rsidR="00B71D34" w:rsidRPr="00C14EF4" w:rsidRDefault="00B71D34" w:rsidP="00B71D34">
      <w:pPr>
        <w:jc w:val="center"/>
        <w:rPr>
          <w:b/>
          <w:bCs/>
          <w:color w:val="000000" w:themeColor="text1"/>
          <w:sz w:val="36"/>
          <w:szCs w:val="36"/>
        </w:rPr>
      </w:pPr>
    </w:p>
    <w:p w14:paraId="57CD1D8B" w14:textId="77777777" w:rsidR="00B71D34" w:rsidRPr="00C14EF4" w:rsidRDefault="00B71D34" w:rsidP="00B71D34">
      <w:pPr>
        <w:rPr>
          <w:b/>
          <w:bCs/>
          <w:color w:val="000000" w:themeColor="text1"/>
          <w:sz w:val="36"/>
          <w:szCs w:val="36"/>
        </w:rPr>
      </w:pPr>
      <w:r>
        <w:rPr>
          <w:b/>
          <w:bCs/>
          <w:color w:val="000000" w:themeColor="text1"/>
          <w:sz w:val="36"/>
          <w:szCs w:val="36"/>
        </w:rPr>
        <w:t>Assignment Title:</w:t>
      </w:r>
    </w:p>
    <w:tbl>
      <w:tblPr>
        <w:tblStyle w:val="TableGrid"/>
        <w:tblW w:w="0" w:type="auto"/>
        <w:tblLook w:val="04A0" w:firstRow="1" w:lastRow="0" w:firstColumn="1" w:lastColumn="0" w:noHBand="0" w:noVBand="1"/>
      </w:tblPr>
      <w:tblGrid>
        <w:gridCol w:w="9016"/>
      </w:tblGrid>
      <w:tr w:rsidR="00B71D34" w14:paraId="7B1F8790" w14:textId="77777777" w:rsidTr="004434E9">
        <w:tc>
          <w:tcPr>
            <w:tcW w:w="9350" w:type="dxa"/>
          </w:tcPr>
          <w:p w14:paraId="72F34EB6" w14:textId="77777777" w:rsidR="00B71D34" w:rsidRDefault="00B71D34" w:rsidP="004434E9">
            <w:pPr>
              <w:jc w:val="center"/>
              <w:rPr>
                <w:b/>
                <w:bCs/>
                <w:color w:val="000000" w:themeColor="text1"/>
                <w:sz w:val="36"/>
                <w:szCs w:val="36"/>
              </w:rPr>
            </w:pPr>
            <w:r w:rsidRPr="00093629">
              <w:rPr>
                <w:b/>
                <w:bCs/>
                <w:color w:val="000000" w:themeColor="text1"/>
                <w:sz w:val="36"/>
                <w:szCs w:val="36"/>
              </w:rPr>
              <w:t>Individual report</w:t>
            </w:r>
            <w:r>
              <w:rPr>
                <w:b/>
                <w:bCs/>
                <w:color w:val="000000" w:themeColor="text1"/>
                <w:sz w:val="36"/>
                <w:szCs w:val="36"/>
              </w:rPr>
              <w:t xml:space="preserve"> </w:t>
            </w:r>
          </w:p>
        </w:tc>
      </w:tr>
    </w:tbl>
    <w:p w14:paraId="03A08B70" w14:textId="77777777" w:rsidR="00B71D34" w:rsidRDefault="00B71D34" w:rsidP="00B71D34">
      <w:pPr>
        <w:rPr>
          <w:b/>
          <w:bCs/>
          <w:color w:val="000000" w:themeColor="text1"/>
          <w:sz w:val="36"/>
          <w:szCs w:val="36"/>
        </w:rPr>
      </w:pPr>
    </w:p>
    <w:tbl>
      <w:tblPr>
        <w:tblStyle w:val="TableGrid"/>
        <w:tblW w:w="9493" w:type="dxa"/>
        <w:tblLook w:val="04A0" w:firstRow="1" w:lastRow="0" w:firstColumn="1" w:lastColumn="0" w:noHBand="0" w:noVBand="1"/>
      </w:tblPr>
      <w:tblGrid>
        <w:gridCol w:w="1980"/>
        <w:gridCol w:w="3456"/>
        <w:gridCol w:w="2497"/>
        <w:gridCol w:w="1560"/>
      </w:tblGrid>
      <w:tr w:rsidR="00B71D34" w:rsidRPr="00CF0E1E" w14:paraId="597F5EA6" w14:textId="77777777" w:rsidTr="004434E9">
        <w:tc>
          <w:tcPr>
            <w:tcW w:w="1980"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4111FF5C" w14:textId="77777777" w:rsidR="00B71D34" w:rsidRPr="00A30A49" w:rsidRDefault="00B71D34" w:rsidP="004434E9">
            <w:pPr>
              <w:spacing w:after="160"/>
              <w:rPr>
                <w:rFonts w:ascii="Arial" w:hAnsi="Arial" w:cs="Arial"/>
                <w:b/>
                <w:bCs/>
                <w:color w:val="000000" w:themeColor="text1"/>
              </w:rPr>
            </w:pPr>
            <w:r w:rsidRPr="00A30A49">
              <w:rPr>
                <w:rFonts w:ascii="Arial" w:hAnsi="Arial" w:cs="Arial"/>
                <w:b/>
                <w:bCs/>
                <w:color w:val="000000" w:themeColor="text1"/>
              </w:rPr>
              <w:t>Student Name:</w:t>
            </w:r>
          </w:p>
        </w:tc>
        <w:tc>
          <w:tcPr>
            <w:tcW w:w="3456" w:type="dxa"/>
            <w:tcBorders>
              <w:top w:val="single" w:sz="4" w:space="0" w:color="auto"/>
              <w:left w:val="single" w:sz="4" w:space="0" w:color="auto"/>
              <w:bottom w:val="single" w:sz="4" w:space="0" w:color="auto"/>
              <w:right w:val="single" w:sz="4" w:space="0" w:color="auto"/>
            </w:tcBorders>
            <w:hideMark/>
          </w:tcPr>
          <w:p w14:paraId="6A7E44AF" w14:textId="77777777" w:rsidR="00B71D34" w:rsidRPr="00A30A49" w:rsidRDefault="00B71D34" w:rsidP="004434E9">
            <w:pPr>
              <w:spacing w:after="160"/>
              <w:rPr>
                <w:rFonts w:ascii="Arial" w:hAnsi="Arial" w:cs="Arial"/>
                <w:b/>
                <w:bCs/>
                <w:color w:val="000000" w:themeColor="text1"/>
              </w:rPr>
            </w:pPr>
            <w:r w:rsidRPr="00A30A49">
              <w:rPr>
                <w:rFonts w:ascii="Arial" w:hAnsi="Arial" w:cs="Arial"/>
                <w:b/>
                <w:bCs/>
                <w:color w:val="000000" w:themeColor="text1"/>
              </w:rPr>
              <w:t xml:space="preserve">Keshu </w:t>
            </w:r>
            <w:proofErr w:type="spellStart"/>
            <w:r w:rsidRPr="00A30A49">
              <w:rPr>
                <w:rFonts w:ascii="Arial" w:hAnsi="Arial" w:cs="Arial"/>
                <w:b/>
                <w:bCs/>
                <w:color w:val="000000" w:themeColor="text1"/>
              </w:rPr>
              <w:t>Jivabhai</w:t>
            </w:r>
            <w:proofErr w:type="spellEnd"/>
            <w:r w:rsidRPr="00A30A49">
              <w:rPr>
                <w:rFonts w:ascii="Arial" w:hAnsi="Arial" w:cs="Arial"/>
                <w:b/>
                <w:bCs/>
                <w:color w:val="000000" w:themeColor="text1"/>
              </w:rPr>
              <w:t xml:space="preserve"> </w:t>
            </w:r>
            <w:proofErr w:type="spellStart"/>
            <w:r w:rsidRPr="00A30A49">
              <w:rPr>
                <w:rFonts w:ascii="Arial" w:hAnsi="Arial" w:cs="Arial"/>
                <w:b/>
                <w:bCs/>
                <w:color w:val="000000" w:themeColor="text1"/>
              </w:rPr>
              <w:t>Karavadra</w:t>
            </w:r>
            <w:proofErr w:type="spellEnd"/>
          </w:p>
        </w:tc>
        <w:tc>
          <w:tcPr>
            <w:tcW w:w="2497"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091DECBB" w14:textId="77777777" w:rsidR="00B71D34" w:rsidRPr="00A30A49" w:rsidRDefault="00B71D34" w:rsidP="004434E9">
            <w:pPr>
              <w:spacing w:after="160"/>
              <w:rPr>
                <w:rFonts w:ascii="Arial" w:hAnsi="Arial" w:cs="Arial"/>
                <w:b/>
                <w:bCs/>
                <w:color w:val="000000" w:themeColor="text1"/>
              </w:rPr>
            </w:pPr>
            <w:r w:rsidRPr="00A30A49">
              <w:rPr>
                <w:rFonts w:ascii="Arial" w:hAnsi="Arial" w:cs="Arial"/>
                <w:b/>
                <w:bCs/>
                <w:color w:val="000000" w:themeColor="text1"/>
              </w:rPr>
              <w:t>Student ID No.:</w:t>
            </w:r>
          </w:p>
        </w:tc>
        <w:tc>
          <w:tcPr>
            <w:tcW w:w="1560" w:type="dxa"/>
            <w:tcBorders>
              <w:top w:val="single" w:sz="4" w:space="0" w:color="auto"/>
              <w:left w:val="single" w:sz="4" w:space="0" w:color="auto"/>
              <w:bottom w:val="single" w:sz="4" w:space="0" w:color="auto"/>
              <w:right w:val="single" w:sz="4" w:space="0" w:color="auto"/>
            </w:tcBorders>
            <w:hideMark/>
          </w:tcPr>
          <w:p w14:paraId="5C0F7EC6" w14:textId="77777777" w:rsidR="00B71D34" w:rsidRPr="00A30A49" w:rsidRDefault="00B71D34" w:rsidP="004434E9">
            <w:pPr>
              <w:spacing w:after="160"/>
              <w:rPr>
                <w:rFonts w:ascii="Arial" w:hAnsi="Arial" w:cs="Arial"/>
                <w:b/>
                <w:bCs/>
                <w:color w:val="000000" w:themeColor="text1"/>
              </w:rPr>
            </w:pPr>
            <w:r w:rsidRPr="00A30A49">
              <w:rPr>
                <w:rFonts w:ascii="Arial" w:hAnsi="Arial" w:cs="Arial"/>
                <w:b/>
                <w:bCs/>
                <w:color w:val="000000" w:themeColor="text1"/>
              </w:rPr>
              <w:t>2439531</w:t>
            </w:r>
          </w:p>
        </w:tc>
      </w:tr>
      <w:tr w:rsidR="00B71D34" w:rsidRPr="00CF0E1E" w14:paraId="7759918B" w14:textId="77777777" w:rsidTr="004434E9">
        <w:tc>
          <w:tcPr>
            <w:tcW w:w="1980"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065EF5A7" w14:textId="77777777" w:rsidR="00B71D34" w:rsidRPr="00A30A49" w:rsidRDefault="00B71D34" w:rsidP="004434E9">
            <w:pPr>
              <w:spacing w:after="160"/>
              <w:rPr>
                <w:rFonts w:ascii="Arial" w:hAnsi="Arial" w:cs="Arial"/>
                <w:b/>
                <w:bCs/>
                <w:color w:val="000000" w:themeColor="text1"/>
              </w:rPr>
            </w:pPr>
            <w:r w:rsidRPr="00A30A49">
              <w:rPr>
                <w:rFonts w:ascii="Arial" w:hAnsi="Arial" w:cs="Arial"/>
                <w:b/>
                <w:bCs/>
                <w:color w:val="000000" w:themeColor="text1"/>
              </w:rPr>
              <w:t>Programme:</w:t>
            </w:r>
          </w:p>
        </w:tc>
        <w:tc>
          <w:tcPr>
            <w:tcW w:w="7513" w:type="dxa"/>
            <w:gridSpan w:val="3"/>
            <w:tcBorders>
              <w:top w:val="single" w:sz="4" w:space="0" w:color="auto"/>
              <w:left w:val="single" w:sz="4" w:space="0" w:color="auto"/>
              <w:bottom w:val="single" w:sz="4" w:space="0" w:color="auto"/>
              <w:right w:val="single" w:sz="4" w:space="0" w:color="auto"/>
            </w:tcBorders>
            <w:hideMark/>
          </w:tcPr>
          <w:p w14:paraId="0402B800" w14:textId="77777777" w:rsidR="00B71D34" w:rsidRPr="00A30A49" w:rsidRDefault="00B71D34" w:rsidP="004434E9">
            <w:pPr>
              <w:spacing w:after="160"/>
              <w:rPr>
                <w:rFonts w:ascii="Arial" w:hAnsi="Arial" w:cs="Arial"/>
                <w:b/>
                <w:bCs/>
                <w:color w:val="000000" w:themeColor="text1"/>
              </w:rPr>
            </w:pPr>
            <w:r w:rsidRPr="00A30A49">
              <w:rPr>
                <w:rFonts w:ascii="Arial" w:hAnsi="Arial" w:cs="Arial"/>
                <w:b/>
                <w:bCs/>
                <w:color w:val="000000" w:themeColor="text1"/>
              </w:rPr>
              <w:t>Master of Business Administration – International Business</w:t>
            </w:r>
          </w:p>
        </w:tc>
      </w:tr>
      <w:tr w:rsidR="00B71D34" w:rsidRPr="00CF0E1E" w14:paraId="5048E851" w14:textId="77777777" w:rsidTr="004434E9">
        <w:tc>
          <w:tcPr>
            <w:tcW w:w="1980"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42316E84" w14:textId="77777777" w:rsidR="00B71D34" w:rsidRPr="00A30A49" w:rsidRDefault="00B71D34" w:rsidP="004434E9">
            <w:pPr>
              <w:spacing w:after="160"/>
              <w:rPr>
                <w:rFonts w:ascii="Arial" w:hAnsi="Arial" w:cs="Arial"/>
                <w:b/>
                <w:bCs/>
                <w:color w:val="000000" w:themeColor="text1"/>
              </w:rPr>
            </w:pPr>
            <w:r w:rsidRPr="00A30A49">
              <w:rPr>
                <w:rFonts w:ascii="Arial" w:hAnsi="Arial" w:cs="Arial"/>
                <w:b/>
                <w:bCs/>
                <w:color w:val="000000" w:themeColor="text1"/>
              </w:rPr>
              <w:t>Module:</w:t>
            </w:r>
          </w:p>
        </w:tc>
        <w:tc>
          <w:tcPr>
            <w:tcW w:w="3456" w:type="dxa"/>
            <w:tcBorders>
              <w:top w:val="single" w:sz="4" w:space="0" w:color="auto"/>
              <w:left w:val="single" w:sz="4" w:space="0" w:color="auto"/>
              <w:bottom w:val="single" w:sz="4" w:space="0" w:color="auto"/>
              <w:right w:val="single" w:sz="4" w:space="0" w:color="auto"/>
            </w:tcBorders>
            <w:hideMark/>
          </w:tcPr>
          <w:p w14:paraId="7D69A2E1" w14:textId="7B6C29A4" w:rsidR="00B71D34" w:rsidRPr="00A30A49" w:rsidRDefault="00B71D34" w:rsidP="004434E9">
            <w:pPr>
              <w:spacing w:after="160"/>
              <w:rPr>
                <w:rFonts w:ascii="Arial" w:hAnsi="Arial" w:cs="Arial"/>
                <w:b/>
                <w:bCs/>
                <w:color w:val="000000" w:themeColor="text1"/>
              </w:rPr>
            </w:pPr>
            <w:r>
              <w:rPr>
                <w:rFonts w:ascii="Arial" w:hAnsi="Arial" w:cs="Arial"/>
                <w:b/>
                <w:bCs/>
                <w:color w:val="000000" w:themeColor="text1"/>
              </w:rPr>
              <w:t xml:space="preserve">Strategic Management  </w:t>
            </w:r>
          </w:p>
        </w:tc>
        <w:tc>
          <w:tcPr>
            <w:tcW w:w="2497"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589A8547" w14:textId="77777777" w:rsidR="00B71D34" w:rsidRPr="00A30A49" w:rsidRDefault="00B71D34" w:rsidP="004434E9">
            <w:pPr>
              <w:spacing w:after="160"/>
              <w:rPr>
                <w:rFonts w:ascii="Arial" w:hAnsi="Arial" w:cs="Arial"/>
                <w:b/>
                <w:bCs/>
                <w:color w:val="000000" w:themeColor="text1"/>
              </w:rPr>
            </w:pPr>
            <w:r w:rsidRPr="00A30A49">
              <w:rPr>
                <w:rFonts w:ascii="Arial" w:hAnsi="Arial" w:cs="Arial"/>
                <w:b/>
                <w:bCs/>
                <w:color w:val="000000" w:themeColor="text1"/>
              </w:rPr>
              <w:t>Module Code:</w:t>
            </w:r>
          </w:p>
        </w:tc>
        <w:tc>
          <w:tcPr>
            <w:tcW w:w="1560" w:type="dxa"/>
            <w:tcBorders>
              <w:top w:val="single" w:sz="4" w:space="0" w:color="auto"/>
              <w:left w:val="single" w:sz="4" w:space="0" w:color="auto"/>
              <w:bottom w:val="single" w:sz="4" w:space="0" w:color="auto"/>
              <w:right w:val="single" w:sz="4" w:space="0" w:color="auto"/>
            </w:tcBorders>
            <w:hideMark/>
          </w:tcPr>
          <w:p w14:paraId="3AF7D23B" w14:textId="0B7CB3E9" w:rsidR="00B71D34" w:rsidRPr="00A30A49" w:rsidRDefault="00B71D34" w:rsidP="004434E9">
            <w:pPr>
              <w:spacing w:after="160"/>
              <w:rPr>
                <w:rFonts w:ascii="Arial" w:hAnsi="Arial" w:cs="Arial"/>
                <w:b/>
                <w:bCs/>
                <w:color w:val="000000" w:themeColor="text1"/>
              </w:rPr>
            </w:pPr>
            <w:r w:rsidRPr="00A30A49">
              <w:rPr>
                <w:rFonts w:ascii="Arial" w:hAnsi="Arial" w:cs="Arial"/>
                <w:b/>
                <w:bCs/>
                <w:color w:val="000000" w:themeColor="text1"/>
              </w:rPr>
              <w:t>LCMB70</w:t>
            </w:r>
            <w:r>
              <w:rPr>
                <w:rFonts w:ascii="Arial" w:hAnsi="Arial" w:cs="Arial"/>
                <w:b/>
                <w:bCs/>
                <w:color w:val="000000" w:themeColor="text1"/>
              </w:rPr>
              <w:t>03</w:t>
            </w:r>
          </w:p>
        </w:tc>
      </w:tr>
      <w:tr w:rsidR="00B71D34" w:rsidRPr="00CF0E1E" w14:paraId="4BF7DD7B" w14:textId="77777777" w:rsidTr="004434E9">
        <w:tc>
          <w:tcPr>
            <w:tcW w:w="1980"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18053ED3" w14:textId="77777777" w:rsidR="00B71D34" w:rsidRPr="00A30A49" w:rsidRDefault="00B71D34" w:rsidP="004434E9">
            <w:pPr>
              <w:spacing w:after="160"/>
              <w:rPr>
                <w:rFonts w:ascii="Arial" w:hAnsi="Arial" w:cs="Arial"/>
                <w:b/>
                <w:bCs/>
                <w:color w:val="000000" w:themeColor="text1"/>
              </w:rPr>
            </w:pPr>
            <w:r w:rsidRPr="00A30A49">
              <w:rPr>
                <w:rFonts w:ascii="Arial" w:hAnsi="Arial" w:cs="Arial"/>
                <w:b/>
                <w:bCs/>
                <w:color w:val="000000" w:themeColor="text1"/>
              </w:rPr>
              <w:t>Lecturer:</w:t>
            </w:r>
          </w:p>
        </w:tc>
        <w:tc>
          <w:tcPr>
            <w:tcW w:w="3456" w:type="dxa"/>
            <w:tcBorders>
              <w:top w:val="single" w:sz="4" w:space="0" w:color="auto"/>
              <w:left w:val="single" w:sz="4" w:space="0" w:color="auto"/>
              <w:bottom w:val="single" w:sz="4" w:space="0" w:color="auto"/>
              <w:right w:val="single" w:sz="4" w:space="0" w:color="auto"/>
            </w:tcBorders>
            <w:hideMark/>
          </w:tcPr>
          <w:p w14:paraId="1C47DE80" w14:textId="58741A8A" w:rsidR="00B71D34" w:rsidRPr="00597955" w:rsidRDefault="00B71D34" w:rsidP="004434E9">
            <w:pPr>
              <w:spacing w:after="160"/>
              <w:rPr>
                <w:rFonts w:ascii="Arial" w:hAnsi="Arial" w:cs="Arial"/>
                <w:b/>
                <w:bCs/>
                <w:color w:val="000000" w:themeColor="text1"/>
              </w:rPr>
            </w:pPr>
            <w:proofErr w:type="spellStart"/>
            <w:r>
              <w:rPr>
                <w:rFonts w:ascii="Arial" w:eastAsia="Arial" w:hAnsi="Arial" w:cs="Arial"/>
                <w:b/>
              </w:rPr>
              <w:t>Zulf</w:t>
            </w:r>
            <w:proofErr w:type="spellEnd"/>
            <w:r>
              <w:rPr>
                <w:rFonts w:ascii="Arial" w:eastAsia="Arial" w:hAnsi="Arial" w:cs="Arial"/>
                <w:b/>
              </w:rPr>
              <w:t xml:space="preserve"> Khan</w:t>
            </w:r>
            <w:r w:rsidRPr="00597955">
              <w:rPr>
                <w:rFonts w:ascii="Arial" w:eastAsia="Arial" w:hAnsi="Arial" w:cs="Arial"/>
                <w:b/>
              </w:rPr>
              <w:t xml:space="preserve"> </w:t>
            </w:r>
            <w:r w:rsidRPr="00597955">
              <w:rPr>
                <w:rFonts w:ascii="Arial" w:hAnsi="Arial" w:cs="Arial"/>
                <w:b/>
                <w:bCs/>
                <w:color w:val="000000" w:themeColor="text1"/>
              </w:rPr>
              <w:t>(Birmingham)</w:t>
            </w:r>
          </w:p>
        </w:tc>
        <w:tc>
          <w:tcPr>
            <w:tcW w:w="2497"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0C2F90AC" w14:textId="77777777" w:rsidR="00B71D34" w:rsidRPr="00A30A49" w:rsidRDefault="00B71D34" w:rsidP="004434E9">
            <w:pPr>
              <w:spacing w:after="160"/>
              <w:rPr>
                <w:rFonts w:ascii="Arial" w:hAnsi="Arial" w:cs="Arial"/>
                <w:b/>
                <w:bCs/>
                <w:color w:val="000000" w:themeColor="text1"/>
              </w:rPr>
            </w:pPr>
            <w:r w:rsidRPr="00A30A49">
              <w:rPr>
                <w:rFonts w:ascii="Arial" w:hAnsi="Arial" w:cs="Arial"/>
                <w:b/>
                <w:bCs/>
                <w:color w:val="000000" w:themeColor="text1"/>
              </w:rPr>
              <w:t>Submission Date:</w:t>
            </w:r>
          </w:p>
        </w:tc>
        <w:tc>
          <w:tcPr>
            <w:tcW w:w="1560"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17CDC47E" w14:textId="47CB7671" w:rsidR="00B71D34" w:rsidRPr="00A30A49" w:rsidRDefault="00B71D34" w:rsidP="004434E9">
            <w:pPr>
              <w:spacing w:after="160"/>
              <w:rPr>
                <w:rFonts w:ascii="Arial" w:hAnsi="Arial" w:cs="Arial"/>
                <w:b/>
                <w:bCs/>
                <w:color w:val="000000" w:themeColor="text1"/>
              </w:rPr>
            </w:pPr>
            <w:r>
              <w:rPr>
                <w:rFonts w:ascii="Arial" w:hAnsi="Arial" w:cs="Arial"/>
                <w:b/>
                <w:bCs/>
                <w:color w:val="000000" w:themeColor="text1"/>
              </w:rPr>
              <w:t>01</w:t>
            </w:r>
            <w:r w:rsidRPr="00A30A49">
              <w:rPr>
                <w:rFonts w:ascii="Arial" w:hAnsi="Arial" w:cs="Arial"/>
                <w:b/>
                <w:bCs/>
                <w:color w:val="000000" w:themeColor="text1"/>
              </w:rPr>
              <w:t>/0</w:t>
            </w:r>
            <w:r>
              <w:rPr>
                <w:rFonts w:ascii="Arial" w:hAnsi="Arial" w:cs="Arial"/>
                <w:b/>
                <w:bCs/>
                <w:color w:val="000000" w:themeColor="text1"/>
              </w:rPr>
              <w:t>4</w:t>
            </w:r>
            <w:r w:rsidRPr="00A30A49">
              <w:rPr>
                <w:rFonts w:ascii="Arial" w:hAnsi="Arial" w:cs="Arial"/>
                <w:b/>
                <w:bCs/>
                <w:color w:val="000000" w:themeColor="text1"/>
              </w:rPr>
              <w:t>/2026</w:t>
            </w:r>
          </w:p>
        </w:tc>
      </w:tr>
    </w:tbl>
    <w:p w14:paraId="415BAA2D" w14:textId="77777777" w:rsidR="00AA48EB" w:rsidRPr="00D32803" w:rsidRDefault="00AA48EB" w:rsidP="00AA48EB">
      <w:pPr>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br w:type="page"/>
      </w:r>
    </w:p>
    <w:p w14:paraId="749C4E32" w14:textId="77777777" w:rsidR="00AA48EB" w:rsidRPr="00D32803" w:rsidRDefault="00AA48EB" w:rsidP="00AA48EB">
      <w:pPr>
        <w:jc w:val="center"/>
        <w:rPr>
          <w:rFonts w:ascii="Arial" w:eastAsia="Aptos" w:hAnsi="Arial" w:cs="Arial"/>
          <w:b/>
          <w:bCs/>
          <w:kern w:val="0"/>
          <w:sz w:val="28"/>
          <w:szCs w:val="28"/>
          <w:lang w:val="en-US" w:bidi="bn-BD"/>
        </w:rPr>
      </w:pPr>
      <w:r w:rsidRPr="00D32803">
        <w:rPr>
          <w:rFonts w:ascii="Arial" w:eastAsia="Aptos" w:hAnsi="Arial" w:cs="Arial"/>
          <w:b/>
          <w:bCs/>
          <w:kern w:val="0"/>
          <w:sz w:val="28"/>
          <w:szCs w:val="28"/>
          <w:lang w:val="en-US" w:bidi="bn-BD"/>
        </w:rPr>
        <w:lastRenderedPageBreak/>
        <w:t>Table of Contents</w:t>
      </w:r>
    </w:p>
    <w:p w14:paraId="2B70C9CE" w14:textId="77777777" w:rsidR="00AA48EB" w:rsidRPr="00D32803" w:rsidRDefault="00AA48EB" w:rsidP="00AA48EB">
      <w:pPr>
        <w:jc w:val="center"/>
        <w:rPr>
          <w:rFonts w:ascii="Arial" w:eastAsia="Aptos" w:hAnsi="Arial" w:cs="Arial"/>
          <w:b/>
          <w:bCs/>
          <w:kern w:val="0"/>
          <w:sz w:val="28"/>
          <w:szCs w:val="28"/>
          <w:lang w:val="en-US" w:bidi="bn-BD"/>
        </w:rPr>
      </w:pPr>
    </w:p>
    <w:p w14:paraId="20FA9E35" w14:textId="77777777" w:rsidR="00AA48EB" w:rsidRPr="00D32803" w:rsidRDefault="00AA48EB" w:rsidP="00AA48EB">
      <w:pPr>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SECTION 1: STRATEGIC ANALYSIS</w:t>
      </w:r>
    </w:p>
    <w:p w14:paraId="49941DD6" w14:textId="77777777" w:rsidR="00AA48EB" w:rsidRPr="00D32803" w:rsidRDefault="00AA48EB" w:rsidP="00AA48EB">
      <w:pPr>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 xml:space="preserve">1.0 </w:t>
      </w:r>
      <w:proofErr w:type="spellStart"/>
      <w:r w:rsidRPr="00D32803">
        <w:rPr>
          <w:rFonts w:ascii="Arial" w:eastAsia="Aptos" w:hAnsi="Arial" w:cs="Arial"/>
          <w:kern w:val="0"/>
          <w:sz w:val="24"/>
          <w:szCs w:val="24"/>
          <w:lang w:val="en-US" w:bidi="bn-BD"/>
        </w:rPr>
        <w:t>Organisational</w:t>
      </w:r>
      <w:proofErr w:type="spellEnd"/>
      <w:r w:rsidRPr="00D32803">
        <w:rPr>
          <w:rFonts w:ascii="Arial" w:eastAsia="Aptos" w:hAnsi="Arial" w:cs="Arial"/>
          <w:kern w:val="0"/>
          <w:sz w:val="24"/>
          <w:szCs w:val="24"/>
          <w:lang w:val="en-US" w:bidi="bn-BD"/>
        </w:rPr>
        <w:t xml:space="preserve"> Context </w:t>
      </w:r>
      <w:r>
        <w:rPr>
          <w:rFonts w:ascii="Arial" w:eastAsia="Aptos" w:hAnsi="Arial" w:cs="Arial"/>
          <w:kern w:val="0"/>
          <w:sz w:val="24"/>
          <w:szCs w:val="24"/>
          <w:lang w:val="en-US" w:bidi="bn-BD"/>
        </w:rPr>
        <w:t>and Overview………………………………………. 3-5</w:t>
      </w:r>
      <w:r w:rsidRPr="00D32803">
        <w:rPr>
          <w:rFonts w:ascii="Arial" w:eastAsia="Aptos" w:hAnsi="Arial" w:cs="Arial"/>
          <w:kern w:val="0"/>
          <w:sz w:val="24"/>
          <w:szCs w:val="24"/>
          <w:lang w:val="en-US" w:bidi="bn-BD"/>
        </w:rPr>
        <w:br/>
      </w:r>
    </w:p>
    <w:p w14:paraId="524978A0" w14:textId="77777777" w:rsidR="00AA48EB" w:rsidRPr="00D32803" w:rsidRDefault="00AA48EB" w:rsidP="00AA48EB">
      <w:pPr>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2.0 External and Internal Env</w:t>
      </w:r>
      <w:r>
        <w:rPr>
          <w:rFonts w:ascii="Arial" w:eastAsia="Aptos" w:hAnsi="Arial" w:cs="Arial"/>
          <w:kern w:val="0"/>
          <w:sz w:val="24"/>
          <w:szCs w:val="24"/>
          <w:lang w:val="en-US" w:bidi="bn-BD"/>
        </w:rPr>
        <w:t>ironment Analysis………………………………. 5</w:t>
      </w:r>
      <w:r w:rsidRPr="00D32803">
        <w:rPr>
          <w:rFonts w:ascii="Arial" w:eastAsia="Aptos" w:hAnsi="Arial" w:cs="Arial"/>
          <w:kern w:val="0"/>
          <w:sz w:val="24"/>
          <w:szCs w:val="24"/>
          <w:lang w:val="en-US" w:bidi="bn-BD"/>
        </w:rPr>
        <w:t>-11</w:t>
      </w:r>
      <w:r w:rsidRPr="00D32803">
        <w:rPr>
          <w:rFonts w:ascii="Arial" w:eastAsia="Aptos" w:hAnsi="Arial" w:cs="Arial"/>
          <w:kern w:val="0"/>
          <w:sz w:val="24"/>
          <w:szCs w:val="24"/>
          <w:lang w:val="en-US" w:bidi="bn-BD"/>
        </w:rPr>
        <w:br/>
      </w:r>
    </w:p>
    <w:p w14:paraId="67A582D1" w14:textId="77777777" w:rsidR="00AA48EB" w:rsidRPr="00D32803" w:rsidRDefault="00AA48EB" w:rsidP="00AA48EB">
      <w:pPr>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3.0 Corporate Social Responsibility an</w:t>
      </w:r>
      <w:r>
        <w:rPr>
          <w:rFonts w:ascii="Arial" w:eastAsia="Aptos" w:hAnsi="Arial" w:cs="Arial"/>
          <w:kern w:val="0"/>
          <w:sz w:val="24"/>
          <w:szCs w:val="24"/>
          <w:lang w:val="en-US" w:bidi="bn-BD"/>
        </w:rPr>
        <w:t>d Sustainability Goals…………………</w:t>
      </w:r>
      <w:r w:rsidRPr="00D32803">
        <w:rPr>
          <w:rFonts w:ascii="Arial" w:eastAsia="Aptos" w:hAnsi="Arial" w:cs="Arial"/>
          <w:kern w:val="0"/>
          <w:sz w:val="24"/>
          <w:szCs w:val="24"/>
          <w:lang w:val="en-US" w:bidi="bn-BD"/>
        </w:rPr>
        <w:t>12</w:t>
      </w:r>
      <w:r w:rsidRPr="00D32803">
        <w:rPr>
          <w:rFonts w:ascii="Arial" w:eastAsia="Aptos" w:hAnsi="Arial" w:cs="Arial"/>
          <w:kern w:val="0"/>
          <w:sz w:val="24"/>
          <w:szCs w:val="24"/>
          <w:lang w:val="en-US" w:bidi="bn-BD"/>
        </w:rPr>
        <w:br/>
      </w:r>
    </w:p>
    <w:p w14:paraId="53986CF5" w14:textId="77777777" w:rsidR="00AA48EB" w:rsidRPr="00D32803" w:rsidRDefault="00AA48EB" w:rsidP="00AA48EB">
      <w:pPr>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4.0 Overall and Holistic Perspective: Balanced Scorecard An</w:t>
      </w:r>
      <w:r>
        <w:rPr>
          <w:rFonts w:ascii="Arial" w:eastAsia="Aptos" w:hAnsi="Arial" w:cs="Arial"/>
          <w:kern w:val="0"/>
          <w:sz w:val="24"/>
          <w:szCs w:val="24"/>
          <w:lang w:val="en-US" w:bidi="bn-BD"/>
        </w:rPr>
        <w:t>alysis………….13-16</w:t>
      </w:r>
      <w:r w:rsidRPr="00D32803">
        <w:rPr>
          <w:rFonts w:ascii="Arial" w:eastAsia="Aptos" w:hAnsi="Arial" w:cs="Arial"/>
          <w:kern w:val="0"/>
          <w:sz w:val="24"/>
          <w:szCs w:val="24"/>
          <w:lang w:val="en-US" w:bidi="bn-BD"/>
        </w:rPr>
        <w:br/>
      </w:r>
    </w:p>
    <w:p w14:paraId="1998D576" w14:textId="77777777" w:rsidR="00AA48EB" w:rsidRPr="00D32803" w:rsidRDefault="00AA48EB" w:rsidP="00AA48EB">
      <w:pPr>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5.0 Strategic Decisions and</w:t>
      </w:r>
      <w:r>
        <w:rPr>
          <w:rFonts w:ascii="Arial" w:eastAsia="Aptos" w:hAnsi="Arial" w:cs="Arial"/>
          <w:kern w:val="0"/>
          <w:sz w:val="24"/>
          <w:szCs w:val="24"/>
          <w:lang w:val="en-US" w:bidi="bn-BD"/>
        </w:rPr>
        <w:t xml:space="preserve"> Implementation…………………………………….16</w:t>
      </w:r>
      <w:r w:rsidRPr="00D32803">
        <w:rPr>
          <w:rFonts w:ascii="Arial" w:eastAsia="Aptos" w:hAnsi="Arial" w:cs="Arial"/>
          <w:kern w:val="0"/>
          <w:sz w:val="24"/>
          <w:szCs w:val="24"/>
          <w:lang w:val="en-US" w:bidi="bn-BD"/>
        </w:rPr>
        <w:t>-17</w:t>
      </w:r>
      <w:r w:rsidRPr="00D32803">
        <w:rPr>
          <w:rFonts w:ascii="Arial" w:eastAsia="Aptos" w:hAnsi="Arial" w:cs="Arial"/>
          <w:kern w:val="0"/>
          <w:sz w:val="24"/>
          <w:szCs w:val="24"/>
          <w:lang w:val="en-US" w:bidi="bn-BD"/>
        </w:rPr>
        <w:br/>
      </w:r>
    </w:p>
    <w:p w14:paraId="1741DD45" w14:textId="77777777" w:rsidR="00AA48EB" w:rsidRPr="00D32803" w:rsidRDefault="00AA48EB" w:rsidP="00AA48EB">
      <w:pPr>
        <w:rPr>
          <w:rFonts w:ascii="Arial" w:eastAsia="Aptos" w:hAnsi="Arial" w:cs="Arial"/>
          <w:b/>
          <w:bCs/>
          <w:kern w:val="0"/>
          <w:sz w:val="24"/>
          <w:szCs w:val="24"/>
          <w:lang w:val="en-US" w:bidi="bn-BD"/>
        </w:rPr>
      </w:pPr>
      <w:r w:rsidRPr="00D32803">
        <w:rPr>
          <w:rFonts w:ascii="Arial" w:eastAsia="Aptos" w:hAnsi="Arial" w:cs="Arial"/>
          <w:kern w:val="0"/>
          <w:sz w:val="24"/>
          <w:szCs w:val="24"/>
          <w:lang w:val="en-US" w:bidi="bn-BD"/>
        </w:rPr>
        <w:t>6.0 Strategic Evaluation and</w:t>
      </w:r>
      <w:r>
        <w:rPr>
          <w:rFonts w:ascii="Arial" w:eastAsia="Aptos" w:hAnsi="Arial" w:cs="Arial"/>
          <w:kern w:val="0"/>
          <w:sz w:val="24"/>
          <w:szCs w:val="24"/>
          <w:lang w:val="en-US" w:bidi="bn-BD"/>
        </w:rPr>
        <w:t xml:space="preserve"> Recommendations………………………………. 18-21</w:t>
      </w:r>
      <w:r w:rsidRPr="00D32803">
        <w:rPr>
          <w:rFonts w:ascii="Arial" w:eastAsia="Aptos" w:hAnsi="Arial" w:cs="Arial"/>
          <w:b/>
          <w:bCs/>
          <w:kern w:val="0"/>
          <w:sz w:val="24"/>
          <w:szCs w:val="24"/>
          <w:lang w:val="en-US" w:bidi="bn-BD"/>
        </w:rPr>
        <w:br/>
      </w:r>
    </w:p>
    <w:p w14:paraId="54D26BE5" w14:textId="77777777" w:rsidR="00AA48EB" w:rsidRPr="00D32803" w:rsidRDefault="00AA48EB" w:rsidP="00AA48EB">
      <w:pPr>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SECTION 2: REFLECTIVE ACCOUNT</w:t>
      </w:r>
    </w:p>
    <w:p w14:paraId="27820324" w14:textId="77777777" w:rsidR="00AA48EB" w:rsidRPr="00D32803" w:rsidRDefault="00AA48EB" w:rsidP="00AA48EB">
      <w:pPr>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 xml:space="preserve">Gibbs Reflective </w:t>
      </w:r>
      <w:r>
        <w:rPr>
          <w:rFonts w:ascii="Arial" w:eastAsia="Aptos" w:hAnsi="Arial" w:cs="Arial"/>
          <w:kern w:val="0"/>
          <w:sz w:val="24"/>
          <w:szCs w:val="24"/>
          <w:lang w:val="en-US" w:bidi="bn-BD"/>
        </w:rPr>
        <w:t>Cycle……………………………………………………………. 21</w:t>
      </w:r>
      <w:r w:rsidRPr="00D32803">
        <w:rPr>
          <w:rFonts w:ascii="Arial" w:eastAsia="Aptos" w:hAnsi="Arial" w:cs="Arial"/>
          <w:kern w:val="0"/>
          <w:sz w:val="24"/>
          <w:szCs w:val="24"/>
          <w:lang w:val="en-US" w:bidi="bn-BD"/>
        </w:rPr>
        <w:t>-23</w:t>
      </w:r>
    </w:p>
    <w:p w14:paraId="41BF327A" w14:textId="77777777" w:rsidR="00AA48EB" w:rsidRPr="00D32803" w:rsidRDefault="00AA48EB" w:rsidP="00AA48EB">
      <w:pPr>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REFERENCES…………………………………………</w:t>
      </w:r>
      <w:r>
        <w:rPr>
          <w:rFonts w:ascii="Arial" w:eastAsia="Aptos" w:hAnsi="Arial" w:cs="Arial"/>
          <w:kern w:val="0"/>
          <w:sz w:val="24"/>
          <w:szCs w:val="24"/>
          <w:lang w:val="en-US" w:bidi="bn-BD"/>
        </w:rPr>
        <w:t>…………………………. 24</w:t>
      </w:r>
      <w:r w:rsidRPr="00D32803">
        <w:rPr>
          <w:rFonts w:ascii="Arial" w:eastAsia="Aptos" w:hAnsi="Arial" w:cs="Arial"/>
          <w:kern w:val="0"/>
          <w:sz w:val="24"/>
          <w:szCs w:val="24"/>
          <w:lang w:val="en-US" w:bidi="bn-BD"/>
        </w:rPr>
        <w:t>-28</w:t>
      </w:r>
    </w:p>
    <w:p w14:paraId="5F004736" w14:textId="77777777" w:rsidR="00AA48EB" w:rsidRPr="00D32803" w:rsidRDefault="00AA48EB" w:rsidP="00AA48EB">
      <w:pPr>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br w:type="page"/>
      </w:r>
    </w:p>
    <w:p w14:paraId="28B8DB1B"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lastRenderedPageBreak/>
        <w:t>SECTION 1: STRATEGIC ANALYSIS</w:t>
      </w:r>
    </w:p>
    <w:p w14:paraId="56BA5148"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 xml:space="preserve">1.0 </w:t>
      </w:r>
      <w:proofErr w:type="spellStart"/>
      <w:r>
        <w:rPr>
          <w:rFonts w:ascii="Arial" w:eastAsia="Aptos" w:hAnsi="Arial" w:cs="Arial"/>
          <w:b/>
          <w:bCs/>
          <w:kern w:val="0"/>
          <w:sz w:val="24"/>
          <w:szCs w:val="24"/>
          <w:lang w:val="en-US" w:bidi="bn-BD"/>
        </w:rPr>
        <w:t>Organisational</w:t>
      </w:r>
      <w:proofErr w:type="spellEnd"/>
      <w:r w:rsidRPr="00D32803">
        <w:rPr>
          <w:rFonts w:ascii="Arial" w:eastAsia="Aptos" w:hAnsi="Arial" w:cs="Arial"/>
          <w:b/>
          <w:bCs/>
          <w:kern w:val="0"/>
          <w:sz w:val="24"/>
          <w:szCs w:val="24"/>
          <w:lang w:val="en-US" w:bidi="bn-BD"/>
        </w:rPr>
        <w:t xml:space="preserve"> Context and Overview.</w:t>
      </w:r>
    </w:p>
    <w:p w14:paraId="44CD1305"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1.1 Company overview and historical review.</w:t>
      </w:r>
    </w:p>
    <w:p w14:paraId="0A5F74D2"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Unilever PLC is a British transnational consumer goods company, one of the largest fast-moving consumer goods (FMCG) companies in the world. It was established in 1929 as a result of the merger of a British soap manufacturer</w:t>
      </w:r>
      <w:r>
        <w:rPr>
          <w:rFonts w:ascii="Arial" w:eastAsia="Aptos" w:hAnsi="Arial" w:cs="Arial"/>
          <w:bCs/>
          <w:kern w:val="0"/>
          <w:sz w:val="24"/>
          <w:szCs w:val="24"/>
          <w:lang w:val="en-US" w:bidi="bn-BD"/>
        </w:rPr>
        <w:t>,</w:t>
      </w:r>
      <w:r w:rsidRPr="00D32803">
        <w:rPr>
          <w:rFonts w:ascii="Arial" w:eastAsia="Aptos" w:hAnsi="Arial" w:cs="Arial"/>
          <w:bCs/>
          <w:kern w:val="0"/>
          <w:sz w:val="24"/>
          <w:szCs w:val="24"/>
          <w:lang w:val="en-US" w:bidi="bn-BD"/>
        </w:rPr>
        <w:t xml:space="preserve"> Lever Brothers</w:t>
      </w:r>
      <w:r>
        <w:rPr>
          <w:rFonts w:ascii="Arial" w:eastAsia="Aptos" w:hAnsi="Arial" w:cs="Arial"/>
          <w:bCs/>
          <w:kern w:val="0"/>
          <w:sz w:val="24"/>
          <w:szCs w:val="24"/>
          <w:lang w:val="en-US" w:bidi="bn-BD"/>
        </w:rPr>
        <w:t>,</w:t>
      </w:r>
      <w:r w:rsidRPr="00D32803">
        <w:rPr>
          <w:rFonts w:ascii="Arial" w:eastAsia="Aptos" w:hAnsi="Arial" w:cs="Arial"/>
          <w:bCs/>
          <w:kern w:val="0"/>
          <w:sz w:val="24"/>
          <w:szCs w:val="24"/>
          <w:lang w:val="en-US" w:bidi="bn-BD"/>
        </w:rPr>
        <w:t xml:space="preserve"> with a Dutch margarine producer, Margarine </w:t>
      </w:r>
      <w:proofErr w:type="spellStart"/>
      <w:r w:rsidRPr="00D32803">
        <w:rPr>
          <w:rFonts w:ascii="Arial" w:eastAsia="Aptos" w:hAnsi="Arial" w:cs="Arial"/>
          <w:bCs/>
          <w:kern w:val="0"/>
          <w:sz w:val="24"/>
          <w:szCs w:val="24"/>
          <w:lang w:val="en-US" w:bidi="bn-BD"/>
        </w:rPr>
        <w:t>Unie</w:t>
      </w:r>
      <w:proofErr w:type="spellEnd"/>
      <w:r w:rsidRPr="00D32803">
        <w:rPr>
          <w:rFonts w:ascii="Arial" w:eastAsia="Aptos" w:hAnsi="Arial" w:cs="Arial"/>
          <w:bCs/>
          <w:kern w:val="0"/>
          <w:sz w:val="24"/>
          <w:szCs w:val="24"/>
          <w:lang w:val="en-US" w:bidi="bn-BD"/>
        </w:rPr>
        <w:t xml:space="preserve">, which formed a dual-listed company structure, which remained in use until unification under a single, London-based </w:t>
      </w:r>
      <w:proofErr w:type="spellStart"/>
      <w:r w:rsidRPr="00D32803">
        <w:rPr>
          <w:rFonts w:ascii="Arial" w:eastAsia="Aptos" w:hAnsi="Arial" w:cs="Arial"/>
          <w:bCs/>
          <w:kern w:val="0"/>
          <w:sz w:val="24"/>
          <w:szCs w:val="24"/>
          <w:lang w:val="en-US" w:bidi="bn-BD"/>
        </w:rPr>
        <w:t>organisation</w:t>
      </w:r>
      <w:proofErr w:type="spellEnd"/>
      <w:r w:rsidRPr="00D32803">
        <w:rPr>
          <w:rFonts w:ascii="Arial" w:eastAsia="Aptos" w:hAnsi="Arial" w:cs="Arial"/>
          <w:bCs/>
          <w:kern w:val="0"/>
          <w:sz w:val="24"/>
          <w:szCs w:val="24"/>
          <w:lang w:val="en-US" w:bidi="bn-BD"/>
        </w:rPr>
        <w:t xml:space="preserve"> in 2020 (Jones, 2005). Unilever has its headquarters in London, the United Kingdom, and operates in around 190 countries and employs more than 127,000 people worldwide (Unilever, 2023a).</w:t>
      </w:r>
    </w:p>
    <w:p w14:paraId="0B115324" w14:textId="517FC9D0"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The mission statement of Unilever focuses on its goal: it strives to make a sustainable life a standard practice (Unilever, 2023b). The vision of the company explains the goals to become the global leader in sustainable business and prove that purpose-oriented business models would achieve the highest performance. Such vision indicates what Collins and Porras (1996) define as a core ideology which encompasses a combination of core values and the vision of what one wishes to be in future.</w:t>
      </w:r>
    </w:p>
    <w:p w14:paraId="32AF3E0E" w14:textId="53951EFD"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The business model of Unilever functions under three main segments: Beauty and Wellbeing, Personal Care and Home Care</w:t>
      </w:r>
      <w:r>
        <w:rPr>
          <w:rFonts w:ascii="Arial" w:eastAsia="Aptos" w:hAnsi="Arial" w:cs="Arial"/>
          <w:bCs/>
          <w:kern w:val="0"/>
          <w:sz w:val="24"/>
          <w:szCs w:val="24"/>
          <w:lang w:val="en-US" w:bidi="bn-BD"/>
        </w:rPr>
        <w:t>,</w:t>
      </w:r>
      <w:r w:rsidRPr="00D32803">
        <w:rPr>
          <w:rFonts w:ascii="Arial" w:eastAsia="Aptos" w:hAnsi="Arial" w:cs="Arial"/>
          <w:bCs/>
          <w:kern w:val="0"/>
          <w:sz w:val="24"/>
          <w:szCs w:val="24"/>
          <w:lang w:val="en-US" w:bidi="bn-BD"/>
        </w:rPr>
        <w:t xml:space="preserve"> with a minor Foods and Refreshment division that was introduced recently as a result of portfolio restructuring (Unilever Annual Report, 2023). The brand-centric approach that the company has adopted is to control more than 400 brands yet invest in only about 30 power brands such as Dove, Hellmann's, Knorr, Axe/Lynx, and Sunsilk. This portfolio strategy can be seen as a reflection of what Prahalad and Hamel (1990) described as the use of core competencies in numerous applications in the market.</w:t>
      </w:r>
    </w:p>
    <w:p w14:paraId="07EC7ED9"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1.2 Industry Analysis, Market Position.</w:t>
      </w:r>
    </w:p>
    <w:p w14:paraId="16CB038E" w14:textId="77777777" w:rsidR="00AA48EB" w:rsidRPr="005E7AB5" w:rsidRDefault="00AA48EB" w:rsidP="00AA48EB">
      <w:pPr>
        <w:spacing w:line="360" w:lineRule="auto"/>
        <w:rPr>
          <w:rFonts w:ascii="Arial" w:eastAsia="Aptos" w:hAnsi="Arial" w:cs="Arial"/>
          <w:bCs/>
          <w:kern w:val="0"/>
          <w:sz w:val="24"/>
          <w:szCs w:val="24"/>
          <w:lang w:val="en-US" w:bidi="bn-BD"/>
        </w:rPr>
      </w:pPr>
    </w:p>
    <w:tbl>
      <w:tblPr>
        <w:tblStyle w:val="TableGrid1"/>
        <w:tblW w:w="10687" w:type="dxa"/>
        <w:tblInd w:w="-832" w:type="dxa"/>
        <w:tblLook w:val="04A0" w:firstRow="1" w:lastRow="0" w:firstColumn="1" w:lastColumn="0" w:noHBand="0" w:noVBand="1"/>
      </w:tblPr>
      <w:tblGrid>
        <w:gridCol w:w="1310"/>
        <w:gridCol w:w="1697"/>
        <w:gridCol w:w="2452"/>
        <w:gridCol w:w="5228"/>
      </w:tblGrid>
      <w:tr w:rsidR="00AA48EB" w:rsidRPr="005E7AB5" w14:paraId="3EB3B398" w14:textId="77777777" w:rsidTr="004434E9">
        <w:trPr>
          <w:trHeight w:val="979"/>
        </w:trPr>
        <w:tc>
          <w:tcPr>
            <w:tcW w:w="0" w:type="auto"/>
            <w:noWrap/>
            <w:hideMark/>
          </w:tcPr>
          <w:p w14:paraId="05542552" w14:textId="77777777" w:rsidR="00AA48EB" w:rsidRPr="005E7AB5" w:rsidRDefault="00AA48EB" w:rsidP="004434E9">
            <w:pPr>
              <w:spacing w:after="160" w:line="360" w:lineRule="auto"/>
              <w:rPr>
                <w:rFonts w:ascii="Arial" w:eastAsia="Aptos" w:hAnsi="Arial" w:cs="Arial"/>
                <w:b/>
                <w:bCs/>
                <w:sz w:val="24"/>
                <w:szCs w:val="24"/>
              </w:rPr>
            </w:pPr>
            <w:r w:rsidRPr="005E7AB5">
              <w:rPr>
                <w:rFonts w:ascii="Arial" w:eastAsia="Aptos" w:hAnsi="Arial" w:cs="Arial"/>
                <w:b/>
                <w:bCs/>
                <w:sz w:val="24"/>
                <w:szCs w:val="24"/>
              </w:rPr>
              <w:lastRenderedPageBreak/>
              <w:t>Company</w:t>
            </w:r>
          </w:p>
        </w:tc>
        <w:tc>
          <w:tcPr>
            <w:tcW w:w="1697" w:type="dxa"/>
            <w:noWrap/>
            <w:hideMark/>
          </w:tcPr>
          <w:p w14:paraId="08288040" w14:textId="77777777" w:rsidR="00AA48EB" w:rsidRPr="005E7AB5" w:rsidRDefault="00AA48EB" w:rsidP="004434E9">
            <w:pPr>
              <w:spacing w:after="160" w:line="360" w:lineRule="auto"/>
              <w:rPr>
                <w:rFonts w:ascii="Arial" w:eastAsia="Aptos" w:hAnsi="Arial" w:cs="Arial"/>
                <w:b/>
                <w:bCs/>
                <w:sz w:val="24"/>
                <w:szCs w:val="24"/>
              </w:rPr>
            </w:pPr>
            <w:r w:rsidRPr="005E7AB5">
              <w:rPr>
                <w:rFonts w:ascii="Arial" w:eastAsia="Aptos" w:hAnsi="Arial" w:cs="Arial"/>
                <w:b/>
                <w:bCs/>
                <w:sz w:val="24"/>
                <w:szCs w:val="24"/>
              </w:rPr>
              <w:t>Main Areas of Competition</w:t>
            </w:r>
          </w:p>
        </w:tc>
        <w:tc>
          <w:tcPr>
            <w:tcW w:w="2452" w:type="dxa"/>
            <w:noWrap/>
            <w:hideMark/>
          </w:tcPr>
          <w:p w14:paraId="14CCD957" w14:textId="77777777" w:rsidR="00AA48EB" w:rsidRPr="005E7AB5" w:rsidRDefault="00AA48EB" w:rsidP="004434E9">
            <w:pPr>
              <w:spacing w:after="160" w:line="360" w:lineRule="auto"/>
              <w:rPr>
                <w:rFonts w:ascii="Arial" w:eastAsia="Aptos" w:hAnsi="Arial" w:cs="Arial"/>
                <w:b/>
                <w:bCs/>
                <w:sz w:val="24"/>
                <w:szCs w:val="24"/>
              </w:rPr>
            </w:pPr>
            <w:r w:rsidRPr="005E7AB5">
              <w:rPr>
                <w:rFonts w:ascii="Arial" w:eastAsia="Aptos" w:hAnsi="Arial" w:cs="Arial"/>
                <w:b/>
                <w:bCs/>
                <w:sz w:val="24"/>
                <w:szCs w:val="24"/>
              </w:rPr>
              <w:t>Approximate Global Position/Share*</w:t>
            </w:r>
          </w:p>
        </w:tc>
        <w:tc>
          <w:tcPr>
            <w:tcW w:w="5228" w:type="dxa"/>
            <w:noWrap/>
            <w:hideMark/>
          </w:tcPr>
          <w:p w14:paraId="11BA9A07" w14:textId="77777777" w:rsidR="00AA48EB" w:rsidRPr="005E7AB5" w:rsidRDefault="00AA48EB" w:rsidP="004434E9">
            <w:pPr>
              <w:spacing w:after="160" w:line="360" w:lineRule="auto"/>
              <w:rPr>
                <w:rFonts w:ascii="Arial" w:eastAsia="Aptos" w:hAnsi="Arial" w:cs="Arial"/>
                <w:b/>
                <w:bCs/>
                <w:sz w:val="24"/>
                <w:szCs w:val="24"/>
              </w:rPr>
            </w:pPr>
            <w:r w:rsidRPr="005E7AB5">
              <w:rPr>
                <w:rFonts w:ascii="Arial" w:eastAsia="Aptos" w:hAnsi="Arial" w:cs="Arial"/>
                <w:b/>
                <w:bCs/>
                <w:sz w:val="24"/>
                <w:szCs w:val="24"/>
              </w:rPr>
              <w:t>How They Compete with Unilever</w:t>
            </w:r>
          </w:p>
        </w:tc>
      </w:tr>
      <w:tr w:rsidR="00AA48EB" w:rsidRPr="005E7AB5" w14:paraId="153CECAC" w14:textId="77777777" w:rsidTr="004434E9">
        <w:trPr>
          <w:trHeight w:val="2612"/>
        </w:trPr>
        <w:tc>
          <w:tcPr>
            <w:tcW w:w="0" w:type="auto"/>
            <w:hideMark/>
          </w:tcPr>
          <w:p w14:paraId="0EFD98C7" w14:textId="77777777" w:rsidR="00AA48EB" w:rsidRPr="005E7AB5" w:rsidRDefault="00AA48EB" w:rsidP="004434E9">
            <w:pPr>
              <w:spacing w:after="160" w:line="360" w:lineRule="auto"/>
              <w:rPr>
                <w:rFonts w:ascii="Arial" w:eastAsia="Aptos" w:hAnsi="Arial" w:cs="Arial"/>
                <w:bCs/>
                <w:sz w:val="24"/>
                <w:szCs w:val="24"/>
              </w:rPr>
            </w:pPr>
            <w:r w:rsidRPr="005E7AB5">
              <w:rPr>
                <w:rFonts w:ascii="Arial" w:eastAsia="Aptos" w:hAnsi="Arial" w:cs="Arial"/>
                <w:bCs/>
                <w:sz w:val="24"/>
                <w:szCs w:val="24"/>
              </w:rPr>
              <w:t>Unilever</w:t>
            </w:r>
          </w:p>
        </w:tc>
        <w:tc>
          <w:tcPr>
            <w:tcW w:w="1697" w:type="dxa"/>
            <w:hideMark/>
          </w:tcPr>
          <w:p w14:paraId="31DAB381" w14:textId="77777777" w:rsidR="00AA48EB" w:rsidRPr="005E7AB5" w:rsidRDefault="00AA48EB" w:rsidP="004434E9">
            <w:pPr>
              <w:spacing w:after="160" w:line="360" w:lineRule="auto"/>
              <w:rPr>
                <w:rFonts w:ascii="Arial" w:eastAsia="Aptos" w:hAnsi="Arial" w:cs="Arial"/>
                <w:bCs/>
                <w:sz w:val="24"/>
                <w:szCs w:val="24"/>
              </w:rPr>
            </w:pPr>
            <w:r w:rsidRPr="005E7AB5">
              <w:rPr>
                <w:rFonts w:ascii="Arial" w:eastAsia="Aptos" w:hAnsi="Arial" w:cs="Arial"/>
                <w:bCs/>
                <w:sz w:val="24"/>
                <w:szCs w:val="24"/>
              </w:rPr>
              <w:t>Beauty and Wellbeing, Personal Care, Home Care, Foods, Ice Cream</w:t>
            </w:r>
          </w:p>
        </w:tc>
        <w:tc>
          <w:tcPr>
            <w:tcW w:w="2452" w:type="dxa"/>
            <w:hideMark/>
          </w:tcPr>
          <w:p w14:paraId="2E2531F5" w14:textId="77777777" w:rsidR="00AA48EB" w:rsidRPr="005E7AB5" w:rsidRDefault="00AA48EB" w:rsidP="004434E9">
            <w:pPr>
              <w:spacing w:after="160" w:line="360" w:lineRule="auto"/>
              <w:rPr>
                <w:rFonts w:ascii="Arial" w:eastAsia="Aptos" w:hAnsi="Arial" w:cs="Arial"/>
                <w:bCs/>
                <w:sz w:val="24"/>
                <w:szCs w:val="24"/>
              </w:rPr>
            </w:pPr>
            <w:r w:rsidRPr="005E7AB5">
              <w:rPr>
                <w:rFonts w:ascii="Arial" w:eastAsia="Aptos" w:hAnsi="Arial" w:cs="Arial"/>
                <w:bCs/>
                <w:sz w:val="24"/>
                <w:szCs w:val="24"/>
              </w:rPr>
              <w:t>Approx. 4.3% global FMCG market share (Statista, 2024)</w:t>
            </w:r>
          </w:p>
        </w:tc>
        <w:tc>
          <w:tcPr>
            <w:tcW w:w="5228" w:type="dxa"/>
            <w:hideMark/>
          </w:tcPr>
          <w:p w14:paraId="63FA5287" w14:textId="77777777" w:rsidR="00AA48EB" w:rsidRPr="005E7AB5" w:rsidRDefault="00AA48EB" w:rsidP="004434E9">
            <w:pPr>
              <w:spacing w:after="160" w:line="360" w:lineRule="auto"/>
              <w:rPr>
                <w:rFonts w:ascii="Arial" w:eastAsia="Aptos" w:hAnsi="Arial" w:cs="Arial"/>
                <w:bCs/>
                <w:sz w:val="24"/>
                <w:szCs w:val="24"/>
              </w:rPr>
            </w:pPr>
            <w:r w:rsidRPr="005E7AB5">
              <w:rPr>
                <w:rFonts w:ascii="Arial" w:eastAsia="Aptos" w:hAnsi="Arial" w:cs="Arial"/>
                <w:bCs/>
                <w:sz w:val="24"/>
                <w:szCs w:val="24"/>
              </w:rPr>
              <w:t>Competes through brand equity, sustainability positioning, global distribution and emerging market strength</w:t>
            </w:r>
          </w:p>
        </w:tc>
      </w:tr>
      <w:tr w:rsidR="00AA48EB" w:rsidRPr="005E7AB5" w14:paraId="23805B18" w14:textId="77777777" w:rsidTr="004434E9">
        <w:trPr>
          <w:trHeight w:val="2622"/>
        </w:trPr>
        <w:tc>
          <w:tcPr>
            <w:tcW w:w="0" w:type="auto"/>
            <w:hideMark/>
          </w:tcPr>
          <w:p w14:paraId="5D503DFA" w14:textId="77777777" w:rsidR="00AA48EB" w:rsidRPr="005E7AB5" w:rsidRDefault="00AA48EB" w:rsidP="004434E9">
            <w:pPr>
              <w:spacing w:after="160" w:line="360" w:lineRule="auto"/>
              <w:rPr>
                <w:rFonts w:ascii="Arial" w:eastAsia="Aptos" w:hAnsi="Arial" w:cs="Arial"/>
                <w:bCs/>
                <w:sz w:val="24"/>
                <w:szCs w:val="24"/>
              </w:rPr>
            </w:pPr>
            <w:r w:rsidRPr="005E7AB5">
              <w:rPr>
                <w:rFonts w:ascii="Arial" w:eastAsia="Aptos" w:hAnsi="Arial" w:cs="Arial"/>
                <w:bCs/>
                <w:sz w:val="24"/>
                <w:szCs w:val="24"/>
              </w:rPr>
              <w:t>Procter &amp; Gamble</w:t>
            </w:r>
          </w:p>
        </w:tc>
        <w:tc>
          <w:tcPr>
            <w:tcW w:w="1697" w:type="dxa"/>
            <w:hideMark/>
          </w:tcPr>
          <w:p w14:paraId="6A668233" w14:textId="77777777" w:rsidR="00AA48EB" w:rsidRPr="005E7AB5" w:rsidRDefault="00AA48EB" w:rsidP="004434E9">
            <w:pPr>
              <w:spacing w:after="160" w:line="360" w:lineRule="auto"/>
              <w:rPr>
                <w:rFonts w:ascii="Arial" w:eastAsia="Aptos" w:hAnsi="Arial" w:cs="Arial"/>
                <w:bCs/>
                <w:sz w:val="24"/>
                <w:szCs w:val="24"/>
              </w:rPr>
            </w:pPr>
            <w:r w:rsidRPr="005E7AB5">
              <w:rPr>
                <w:rFonts w:ascii="Arial" w:eastAsia="Aptos" w:hAnsi="Arial" w:cs="Arial"/>
                <w:bCs/>
                <w:sz w:val="24"/>
                <w:szCs w:val="24"/>
              </w:rPr>
              <w:t>Personal Care, Fabric Care, Home Care, Grooming, Baby Care</w:t>
            </w:r>
          </w:p>
        </w:tc>
        <w:tc>
          <w:tcPr>
            <w:tcW w:w="2452" w:type="dxa"/>
            <w:hideMark/>
          </w:tcPr>
          <w:p w14:paraId="799DCB52" w14:textId="77777777" w:rsidR="00AA48EB" w:rsidRPr="005E7AB5" w:rsidRDefault="00AA48EB" w:rsidP="004434E9">
            <w:pPr>
              <w:spacing w:after="160" w:line="360" w:lineRule="auto"/>
              <w:rPr>
                <w:rFonts w:ascii="Arial" w:eastAsia="Aptos" w:hAnsi="Arial" w:cs="Arial"/>
                <w:bCs/>
                <w:sz w:val="24"/>
                <w:szCs w:val="24"/>
              </w:rPr>
            </w:pPr>
            <w:r w:rsidRPr="005E7AB5">
              <w:rPr>
                <w:rFonts w:ascii="Arial" w:eastAsia="Aptos" w:hAnsi="Arial" w:cs="Arial"/>
                <w:bCs/>
                <w:sz w:val="24"/>
                <w:szCs w:val="24"/>
              </w:rPr>
              <w:t>One of the top global FMCG firms, ahead of Unilever in several household and personal care categories (Statista, 2024)</w:t>
            </w:r>
          </w:p>
        </w:tc>
        <w:tc>
          <w:tcPr>
            <w:tcW w:w="5228" w:type="dxa"/>
            <w:hideMark/>
          </w:tcPr>
          <w:p w14:paraId="358DFF1A" w14:textId="77777777" w:rsidR="00AA48EB" w:rsidRPr="005E7AB5" w:rsidRDefault="00AA48EB" w:rsidP="004434E9">
            <w:pPr>
              <w:spacing w:after="160" w:line="360" w:lineRule="auto"/>
              <w:rPr>
                <w:rFonts w:ascii="Arial" w:eastAsia="Aptos" w:hAnsi="Arial" w:cs="Arial"/>
                <w:bCs/>
                <w:sz w:val="24"/>
                <w:szCs w:val="24"/>
              </w:rPr>
            </w:pPr>
            <w:r w:rsidRPr="005E7AB5">
              <w:rPr>
                <w:rFonts w:ascii="Arial" w:eastAsia="Aptos" w:hAnsi="Arial" w:cs="Arial"/>
                <w:bCs/>
                <w:sz w:val="24"/>
                <w:szCs w:val="24"/>
              </w:rPr>
              <w:t>Competes through superior marketing execution, innovation, premium product performance and category focus</w:t>
            </w:r>
          </w:p>
        </w:tc>
      </w:tr>
      <w:tr w:rsidR="00AA48EB" w:rsidRPr="005E7AB5" w14:paraId="33A97792" w14:textId="77777777" w:rsidTr="004434E9">
        <w:trPr>
          <w:trHeight w:val="2206"/>
        </w:trPr>
        <w:tc>
          <w:tcPr>
            <w:tcW w:w="0" w:type="auto"/>
            <w:hideMark/>
          </w:tcPr>
          <w:p w14:paraId="0E33689C" w14:textId="77777777" w:rsidR="00AA48EB" w:rsidRPr="005E7AB5" w:rsidRDefault="00AA48EB" w:rsidP="004434E9">
            <w:pPr>
              <w:spacing w:after="160" w:line="360" w:lineRule="auto"/>
              <w:rPr>
                <w:rFonts w:ascii="Arial" w:eastAsia="Aptos" w:hAnsi="Arial" w:cs="Arial"/>
                <w:bCs/>
                <w:sz w:val="24"/>
                <w:szCs w:val="24"/>
              </w:rPr>
            </w:pPr>
            <w:r w:rsidRPr="005E7AB5">
              <w:rPr>
                <w:rFonts w:ascii="Arial" w:eastAsia="Aptos" w:hAnsi="Arial" w:cs="Arial"/>
                <w:bCs/>
                <w:sz w:val="24"/>
                <w:szCs w:val="24"/>
              </w:rPr>
              <w:t>Nestlé</w:t>
            </w:r>
          </w:p>
        </w:tc>
        <w:tc>
          <w:tcPr>
            <w:tcW w:w="1697" w:type="dxa"/>
            <w:hideMark/>
          </w:tcPr>
          <w:p w14:paraId="6540E7AF" w14:textId="77777777" w:rsidR="00AA48EB" w:rsidRPr="005E7AB5" w:rsidRDefault="00AA48EB" w:rsidP="004434E9">
            <w:pPr>
              <w:spacing w:after="160" w:line="360" w:lineRule="auto"/>
              <w:rPr>
                <w:rFonts w:ascii="Arial" w:eastAsia="Aptos" w:hAnsi="Arial" w:cs="Arial"/>
                <w:bCs/>
                <w:sz w:val="24"/>
                <w:szCs w:val="24"/>
              </w:rPr>
            </w:pPr>
            <w:r w:rsidRPr="005E7AB5">
              <w:rPr>
                <w:rFonts w:ascii="Arial" w:eastAsia="Aptos" w:hAnsi="Arial" w:cs="Arial"/>
                <w:bCs/>
                <w:sz w:val="24"/>
                <w:szCs w:val="24"/>
              </w:rPr>
              <w:t>Food, Beverages, Nutrition, Health Science, Confectionery</w:t>
            </w:r>
          </w:p>
        </w:tc>
        <w:tc>
          <w:tcPr>
            <w:tcW w:w="2452" w:type="dxa"/>
            <w:hideMark/>
          </w:tcPr>
          <w:p w14:paraId="06051B90" w14:textId="77777777" w:rsidR="00AA48EB" w:rsidRPr="005E7AB5" w:rsidRDefault="00AA48EB" w:rsidP="004434E9">
            <w:pPr>
              <w:spacing w:after="160" w:line="360" w:lineRule="auto"/>
              <w:rPr>
                <w:rFonts w:ascii="Arial" w:eastAsia="Aptos" w:hAnsi="Arial" w:cs="Arial"/>
                <w:bCs/>
                <w:sz w:val="24"/>
                <w:szCs w:val="24"/>
              </w:rPr>
            </w:pPr>
            <w:r w:rsidRPr="005E7AB5">
              <w:rPr>
                <w:rFonts w:ascii="Arial" w:eastAsia="Aptos" w:hAnsi="Arial" w:cs="Arial"/>
                <w:bCs/>
                <w:sz w:val="24"/>
                <w:szCs w:val="24"/>
              </w:rPr>
              <w:t>Largest global FMCG player by market scale (Statista, 2024)</w:t>
            </w:r>
          </w:p>
        </w:tc>
        <w:tc>
          <w:tcPr>
            <w:tcW w:w="5228" w:type="dxa"/>
            <w:hideMark/>
          </w:tcPr>
          <w:p w14:paraId="0CFF27E0" w14:textId="77777777" w:rsidR="00AA48EB" w:rsidRPr="005E7AB5" w:rsidRDefault="00AA48EB" w:rsidP="004434E9">
            <w:pPr>
              <w:spacing w:after="160" w:line="360" w:lineRule="auto"/>
              <w:rPr>
                <w:rFonts w:ascii="Arial" w:eastAsia="Aptos" w:hAnsi="Arial" w:cs="Arial"/>
                <w:bCs/>
                <w:sz w:val="24"/>
                <w:szCs w:val="24"/>
              </w:rPr>
            </w:pPr>
            <w:r w:rsidRPr="005E7AB5">
              <w:rPr>
                <w:rFonts w:ascii="Arial" w:eastAsia="Aptos" w:hAnsi="Arial" w:cs="Arial"/>
                <w:bCs/>
                <w:sz w:val="24"/>
                <w:szCs w:val="24"/>
              </w:rPr>
              <w:t>Competes through food category leadership, R&amp;D scale, nutrition positioning and global distribution</w:t>
            </w:r>
          </w:p>
        </w:tc>
      </w:tr>
      <w:tr w:rsidR="00AA48EB" w:rsidRPr="005E7AB5" w14:paraId="20AD8557" w14:textId="77777777" w:rsidTr="004434E9">
        <w:trPr>
          <w:trHeight w:val="1791"/>
        </w:trPr>
        <w:tc>
          <w:tcPr>
            <w:tcW w:w="0" w:type="auto"/>
            <w:hideMark/>
          </w:tcPr>
          <w:p w14:paraId="075CE28D" w14:textId="77777777" w:rsidR="00AA48EB" w:rsidRPr="005E7AB5" w:rsidRDefault="00AA48EB" w:rsidP="004434E9">
            <w:pPr>
              <w:spacing w:after="160" w:line="360" w:lineRule="auto"/>
              <w:rPr>
                <w:rFonts w:ascii="Arial" w:eastAsia="Aptos" w:hAnsi="Arial" w:cs="Arial"/>
                <w:bCs/>
                <w:sz w:val="24"/>
                <w:szCs w:val="24"/>
              </w:rPr>
            </w:pPr>
            <w:r w:rsidRPr="005E7AB5">
              <w:rPr>
                <w:rFonts w:ascii="Arial" w:eastAsia="Aptos" w:hAnsi="Arial" w:cs="Arial"/>
                <w:bCs/>
                <w:sz w:val="24"/>
                <w:szCs w:val="24"/>
              </w:rPr>
              <w:t>Reckitt</w:t>
            </w:r>
          </w:p>
        </w:tc>
        <w:tc>
          <w:tcPr>
            <w:tcW w:w="1697" w:type="dxa"/>
            <w:hideMark/>
          </w:tcPr>
          <w:p w14:paraId="116BEBC8" w14:textId="77777777" w:rsidR="00AA48EB" w:rsidRPr="005E7AB5" w:rsidRDefault="00AA48EB" w:rsidP="004434E9">
            <w:pPr>
              <w:spacing w:after="160" w:line="360" w:lineRule="auto"/>
              <w:rPr>
                <w:rFonts w:ascii="Arial" w:eastAsia="Aptos" w:hAnsi="Arial" w:cs="Arial"/>
                <w:bCs/>
                <w:sz w:val="24"/>
                <w:szCs w:val="24"/>
              </w:rPr>
            </w:pPr>
            <w:r w:rsidRPr="005E7AB5">
              <w:rPr>
                <w:rFonts w:ascii="Arial" w:eastAsia="Aptos" w:hAnsi="Arial" w:cs="Arial"/>
                <w:bCs/>
                <w:sz w:val="24"/>
                <w:szCs w:val="24"/>
              </w:rPr>
              <w:t>Health, Hygiene, Nutrition, Home Care</w:t>
            </w:r>
          </w:p>
        </w:tc>
        <w:tc>
          <w:tcPr>
            <w:tcW w:w="2452" w:type="dxa"/>
            <w:hideMark/>
          </w:tcPr>
          <w:p w14:paraId="7440FFBD" w14:textId="77777777" w:rsidR="00AA48EB" w:rsidRPr="005E7AB5" w:rsidRDefault="00AA48EB" w:rsidP="004434E9">
            <w:pPr>
              <w:spacing w:after="160" w:line="360" w:lineRule="auto"/>
              <w:rPr>
                <w:rFonts w:ascii="Arial" w:eastAsia="Aptos" w:hAnsi="Arial" w:cs="Arial"/>
                <w:bCs/>
                <w:sz w:val="24"/>
                <w:szCs w:val="24"/>
              </w:rPr>
            </w:pPr>
            <w:r w:rsidRPr="005E7AB5">
              <w:rPr>
                <w:rFonts w:ascii="Arial" w:eastAsia="Aptos" w:hAnsi="Arial" w:cs="Arial"/>
                <w:bCs/>
                <w:sz w:val="24"/>
                <w:szCs w:val="24"/>
              </w:rPr>
              <w:t>Smaller overall scale than Unilever but strong in selected categories (Euromonitor, 2024)</w:t>
            </w:r>
          </w:p>
        </w:tc>
        <w:tc>
          <w:tcPr>
            <w:tcW w:w="5228" w:type="dxa"/>
            <w:hideMark/>
          </w:tcPr>
          <w:p w14:paraId="7C9FFCAD" w14:textId="77777777" w:rsidR="00AA48EB" w:rsidRPr="005E7AB5" w:rsidRDefault="00AA48EB" w:rsidP="004434E9">
            <w:pPr>
              <w:spacing w:after="160" w:line="360" w:lineRule="auto"/>
              <w:rPr>
                <w:rFonts w:ascii="Arial" w:eastAsia="Aptos" w:hAnsi="Arial" w:cs="Arial"/>
                <w:bCs/>
                <w:sz w:val="24"/>
                <w:szCs w:val="24"/>
              </w:rPr>
            </w:pPr>
            <w:r w:rsidRPr="005E7AB5">
              <w:rPr>
                <w:rFonts w:ascii="Arial" w:eastAsia="Aptos" w:hAnsi="Arial" w:cs="Arial"/>
                <w:bCs/>
                <w:sz w:val="24"/>
                <w:szCs w:val="24"/>
              </w:rPr>
              <w:t>Competes through focused category leadership, product efficacy claims and faster decision-making in narrower segments</w:t>
            </w:r>
          </w:p>
        </w:tc>
      </w:tr>
    </w:tbl>
    <w:p w14:paraId="3BE12443" w14:textId="77777777" w:rsidR="00AA48EB" w:rsidRPr="00AA48EB" w:rsidRDefault="00AA48EB" w:rsidP="00AA48EB">
      <w:pPr>
        <w:spacing w:line="360" w:lineRule="auto"/>
        <w:jc w:val="center"/>
        <w:rPr>
          <w:rFonts w:ascii="Arial" w:eastAsia="Aptos" w:hAnsi="Arial" w:cs="Arial"/>
          <w:bCs/>
          <w:i/>
          <w:iCs/>
          <w:kern w:val="0"/>
          <w:u w:val="single"/>
          <w:lang w:val="en-US" w:bidi="bn-BD"/>
        </w:rPr>
      </w:pPr>
      <w:r w:rsidRPr="00AA48EB">
        <w:rPr>
          <w:rFonts w:ascii="Arial" w:eastAsia="Aptos" w:hAnsi="Arial" w:cs="Arial"/>
          <w:b/>
          <w:bCs/>
          <w:i/>
          <w:iCs/>
          <w:kern w:val="0"/>
          <w:u w:val="single"/>
          <w:lang w:val="en-US" w:bidi="bn-BD"/>
        </w:rPr>
        <w:t>Table 1: Comparison of Unilever and Major FMCG Competitors</w:t>
      </w:r>
    </w:p>
    <w:p w14:paraId="4738E705" w14:textId="58382AEA" w:rsidR="00AA48EB" w:rsidRPr="005667B5" w:rsidRDefault="00AA48EB" w:rsidP="00750398">
      <w:pPr>
        <w:spacing w:line="360" w:lineRule="auto"/>
        <w:jc w:val="both"/>
        <w:rPr>
          <w:rFonts w:ascii="Arial" w:eastAsia="Aptos" w:hAnsi="Arial" w:cs="Arial"/>
          <w:bCs/>
          <w:kern w:val="0"/>
          <w:sz w:val="24"/>
          <w:szCs w:val="24"/>
          <w:lang w:val="en-US" w:bidi="bn-BD"/>
        </w:rPr>
      </w:pPr>
      <w:r w:rsidRPr="005667B5">
        <w:rPr>
          <w:rFonts w:ascii="Arial" w:eastAsia="Aptos" w:hAnsi="Arial" w:cs="Arial"/>
          <w:bCs/>
          <w:kern w:val="0"/>
          <w:sz w:val="24"/>
          <w:szCs w:val="24"/>
          <w:lang w:val="en-US" w:bidi="bn-BD"/>
        </w:rPr>
        <w:t>Unilever is a competitive global FMCG company whose success is determined by the strength of the brand, innovation, efficiency in distribution and pricing power. It has two major competitors</w:t>
      </w:r>
      <w:r>
        <w:rPr>
          <w:rFonts w:ascii="Arial" w:eastAsia="Aptos" w:hAnsi="Arial" w:cs="Arial"/>
          <w:bCs/>
          <w:kern w:val="0"/>
          <w:sz w:val="24"/>
          <w:szCs w:val="24"/>
          <w:lang w:val="en-US" w:bidi="bn-BD"/>
        </w:rPr>
        <w:t>,</w:t>
      </w:r>
      <w:r w:rsidRPr="005667B5">
        <w:rPr>
          <w:rFonts w:ascii="Arial" w:eastAsia="Aptos" w:hAnsi="Arial" w:cs="Arial"/>
          <w:bCs/>
          <w:kern w:val="0"/>
          <w:sz w:val="24"/>
          <w:szCs w:val="24"/>
          <w:lang w:val="en-US" w:bidi="bn-BD"/>
        </w:rPr>
        <w:t xml:space="preserve"> such as Procter and Gamble, Nestle and Reckitt that compete </w:t>
      </w:r>
      <w:r w:rsidRPr="005667B5">
        <w:rPr>
          <w:rFonts w:ascii="Arial" w:eastAsia="Aptos" w:hAnsi="Arial" w:cs="Arial"/>
          <w:bCs/>
          <w:kern w:val="0"/>
          <w:sz w:val="24"/>
          <w:szCs w:val="24"/>
          <w:lang w:val="en-US" w:bidi="bn-BD"/>
        </w:rPr>
        <w:lastRenderedPageBreak/>
        <w:t xml:space="preserve">within the same consumer category but with different strategic focus. The nearest competitor is Procter and Gamble, especially in the areas of beauty, personal and home care and tends to be more profitable in the areas of speed of innovation and margin discipline as it has a more focused portfolio. Nestle is more of </w:t>
      </w:r>
      <w:r>
        <w:rPr>
          <w:rFonts w:ascii="Arial" w:eastAsia="Aptos" w:hAnsi="Arial" w:cs="Arial"/>
          <w:bCs/>
          <w:kern w:val="0"/>
          <w:sz w:val="24"/>
          <w:szCs w:val="24"/>
          <w:lang w:val="en-US" w:bidi="bn-BD"/>
        </w:rPr>
        <w:t xml:space="preserve">a </w:t>
      </w:r>
      <w:r w:rsidRPr="005667B5">
        <w:rPr>
          <w:rFonts w:ascii="Arial" w:eastAsia="Aptos" w:hAnsi="Arial" w:cs="Arial"/>
          <w:bCs/>
          <w:kern w:val="0"/>
          <w:sz w:val="24"/>
          <w:szCs w:val="24"/>
          <w:lang w:val="en-US" w:bidi="bn-BD"/>
        </w:rPr>
        <w:t xml:space="preserve">food and </w:t>
      </w:r>
      <w:r>
        <w:rPr>
          <w:rFonts w:ascii="Arial" w:eastAsia="Aptos" w:hAnsi="Arial" w:cs="Arial"/>
          <w:bCs/>
          <w:kern w:val="0"/>
          <w:sz w:val="24"/>
          <w:szCs w:val="24"/>
          <w:lang w:val="en-US" w:bidi="bn-BD"/>
        </w:rPr>
        <w:t>beverage company</w:t>
      </w:r>
      <w:r w:rsidRPr="005667B5">
        <w:rPr>
          <w:rFonts w:ascii="Arial" w:eastAsia="Aptos" w:hAnsi="Arial" w:cs="Arial"/>
          <w:bCs/>
          <w:kern w:val="0"/>
          <w:sz w:val="24"/>
          <w:szCs w:val="24"/>
          <w:lang w:val="en-US" w:bidi="bn-BD"/>
        </w:rPr>
        <w:t>, which has high category concentration, whereas Reckitt concentrates on hygiene, health and household products. In general, the key problem facing Unilever cannot be scaled but rather greater strategic coherence and performance than equally large and competitive players in the global FMCG market.</w:t>
      </w:r>
    </w:p>
    <w:p w14:paraId="6D038BFF" w14:textId="77777777" w:rsidR="00AA48EB" w:rsidRPr="00D32803" w:rsidRDefault="00AA48EB" w:rsidP="00750398">
      <w:pPr>
        <w:spacing w:line="360" w:lineRule="auto"/>
        <w:jc w:val="both"/>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2.0 External and internal environment Analysis.</w:t>
      </w:r>
    </w:p>
    <w:p w14:paraId="3C1EA608" w14:textId="77777777" w:rsidR="00AA48EB" w:rsidRPr="0013748A" w:rsidRDefault="00AA48EB" w:rsidP="00750398">
      <w:pPr>
        <w:spacing w:line="360" w:lineRule="auto"/>
        <w:jc w:val="both"/>
        <w:rPr>
          <w:rFonts w:ascii="Arial" w:eastAsia="Aptos" w:hAnsi="Arial" w:cs="Arial"/>
          <w:b/>
          <w:bCs/>
          <w:kern w:val="0"/>
          <w:sz w:val="24"/>
          <w:szCs w:val="24"/>
          <w:lang w:val="en-US" w:bidi="bn-BD"/>
        </w:rPr>
      </w:pPr>
      <w:r w:rsidRPr="0013748A">
        <w:rPr>
          <w:rFonts w:ascii="Arial" w:eastAsia="Aptos" w:hAnsi="Arial" w:cs="Arial"/>
          <w:b/>
          <w:bCs/>
          <w:kern w:val="0"/>
          <w:sz w:val="24"/>
          <w:szCs w:val="24"/>
          <w:lang w:val="en-US" w:bidi="bn-BD"/>
        </w:rPr>
        <w:t>2.1 Externa</w:t>
      </w:r>
      <w:r>
        <w:rPr>
          <w:rFonts w:ascii="Arial" w:eastAsia="Aptos" w:hAnsi="Arial" w:cs="Arial"/>
          <w:b/>
          <w:bCs/>
          <w:kern w:val="0"/>
          <w:sz w:val="24"/>
          <w:szCs w:val="24"/>
          <w:lang w:val="en-US" w:bidi="bn-BD"/>
        </w:rPr>
        <w:t>l Environment: PESTEL Analysis.</w:t>
      </w:r>
    </w:p>
    <w:p w14:paraId="7ED44610" w14:textId="17D8AD21" w:rsidR="00AA48EB" w:rsidRPr="005E7AB5" w:rsidRDefault="00AA48EB" w:rsidP="00750398">
      <w:pPr>
        <w:spacing w:line="360" w:lineRule="auto"/>
        <w:jc w:val="both"/>
        <w:rPr>
          <w:rFonts w:ascii="Arial" w:eastAsia="Aptos" w:hAnsi="Arial" w:cs="Arial"/>
          <w:bCs/>
          <w:kern w:val="0"/>
          <w:sz w:val="24"/>
          <w:szCs w:val="24"/>
          <w:lang w:val="en-US" w:bidi="bn-BD"/>
        </w:rPr>
      </w:pPr>
      <w:r w:rsidRPr="005E7AB5">
        <w:rPr>
          <w:rFonts w:ascii="Arial" w:eastAsia="Aptos" w:hAnsi="Arial" w:cs="Arial"/>
          <w:bCs/>
          <w:kern w:val="0"/>
          <w:sz w:val="24"/>
          <w:szCs w:val="24"/>
          <w:lang w:val="en-US" w:bidi="bn-BD"/>
        </w:rPr>
        <w:t xml:space="preserve">PESTEL analysis is a strategic concept that is employed to evaluate macro environmental forces that affect the performance and strategic decision-making of </w:t>
      </w:r>
      <w:proofErr w:type="spellStart"/>
      <w:r w:rsidRPr="005E7AB5">
        <w:rPr>
          <w:rFonts w:ascii="Arial" w:eastAsia="Aptos" w:hAnsi="Arial" w:cs="Arial"/>
          <w:bCs/>
          <w:kern w:val="0"/>
          <w:sz w:val="24"/>
          <w:szCs w:val="24"/>
          <w:lang w:val="en-US" w:bidi="bn-BD"/>
        </w:rPr>
        <w:t>organisations</w:t>
      </w:r>
      <w:proofErr w:type="spellEnd"/>
      <w:r w:rsidRPr="005E7AB5">
        <w:rPr>
          <w:rFonts w:ascii="Arial" w:eastAsia="Aptos" w:hAnsi="Arial" w:cs="Arial"/>
          <w:bCs/>
          <w:kern w:val="0"/>
          <w:sz w:val="24"/>
          <w:szCs w:val="24"/>
          <w:lang w:val="en-US" w:bidi="bn-BD"/>
        </w:rPr>
        <w:t xml:space="preserve">. According to Johnson, Scholes and Whittington (2017), it allows the companies to </w:t>
      </w:r>
      <w:proofErr w:type="spellStart"/>
      <w:r>
        <w:rPr>
          <w:rFonts w:ascii="Arial" w:eastAsia="Aptos" w:hAnsi="Arial" w:cs="Arial"/>
          <w:bCs/>
          <w:kern w:val="0"/>
          <w:sz w:val="24"/>
          <w:szCs w:val="24"/>
          <w:lang w:val="en-US" w:bidi="bn-BD"/>
        </w:rPr>
        <w:t>recognise</w:t>
      </w:r>
      <w:proofErr w:type="spellEnd"/>
      <w:r w:rsidRPr="005E7AB5">
        <w:rPr>
          <w:rFonts w:ascii="Arial" w:eastAsia="Aptos" w:hAnsi="Arial" w:cs="Arial"/>
          <w:bCs/>
          <w:kern w:val="0"/>
          <w:sz w:val="24"/>
          <w:szCs w:val="24"/>
          <w:lang w:val="en-US" w:bidi="bn-BD"/>
        </w:rPr>
        <w:t xml:space="preserve"> any external opportunities, threats and constraints that influence long-term competitiveness. In the case of Unilever, a company with operations in almost 190 countries, PESTEL is very applicable since its growth, profitability, supply chain strength and brand image are intensely influenced by political, economic, social, technological, environmental and legal fluctuations. The framework is used to assess the external pressures that are aligned to the strategic focus of Unilever, such as the growth, portfolio </w:t>
      </w:r>
      <w:proofErr w:type="spellStart"/>
      <w:r w:rsidRPr="005E7AB5">
        <w:rPr>
          <w:rFonts w:ascii="Arial" w:eastAsia="Aptos" w:hAnsi="Arial" w:cs="Arial"/>
          <w:bCs/>
          <w:kern w:val="0"/>
          <w:sz w:val="24"/>
          <w:szCs w:val="24"/>
          <w:lang w:val="en-US" w:bidi="bn-BD"/>
        </w:rPr>
        <w:t>optimisation</w:t>
      </w:r>
      <w:proofErr w:type="spellEnd"/>
      <w:r w:rsidRPr="005E7AB5">
        <w:rPr>
          <w:rFonts w:ascii="Arial" w:eastAsia="Aptos" w:hAnsi="Arial" w:cs="Arial"/>
          <w:bCs/>
          <w:kern w:val="0"/>
          <w:sz w:val="24"/>
          <w:szCs w:val="24"/>
          <w:lang w:val="en-US" w:bidi="bn-BD"/>
        </w:rPr>
        <w:t xml:space="preserve">, digital transformation </w:t>
      </w:r>
      <w:r>
        <w:rPr>
          <w:rFonts w:ascii="Arial" w:eastAsia="Aptos" w:hAnsi="Arial" w:cs="Arial"/>
          <w:bCs/>
          <w:kern w:val="0"/>
          <w:sz w:val="24"/>
          <w:szCs w:val="24"/>
          <w:lang w:val="en-US" w:bidi="bn-BD"/>
        </w:rPr>
        <w:t>and sustainability integration.</w:t>
      </w:r>
    </w:p>
    <w:p w14:paraId="3090C6C1" w14:textId="77777777" w:rsidR="00AA48EB" w:rsidRPr="0013748A" w:rsidRDefault="00AA48EB" w:rsidP="00750398">
      <w:pPr>
        <w:spacing w:line="360" w:lineRule="auto"/>
        <w:jc w:val="both"/>
        <w:rPr>
          <w:rFonts w:ascii="Arial" w:eastAsia="Aptos" w:hAnsi="Arial" w:cs="Arial"/>
          <w:b/>
          <w:bCs/>
          <w:kern w:val="0"/>
          <w:sz w:val="24"/>
          <w:szCs w:val="24"/>
          <w:lang w:val="en-US" w:bidi="bn-BD"/>
        </w:rPr>
      </w:pPr>
      <w:r>
        <w:rPr>
          <w:rFonts w:ascii="Arial" w:eastAsia="Aptos" w:hAnsi="Arial" w:cs="Arial"/>
          <w:b/>
          <w:bCs/>
          <w:kern w:val="0"/>
          <w:sz w:val="24"/>
          <w:szCs w:val="24"/>
          <w:lang w:val="en-US" w:bidi="bn-BD"/>
        </w:rPr>
        <w:t>2.1.1 Political Factors</w:t>
      </w:r>
    </w:p>
    <w:p w14:paraId="3D25A62A" w14:textId="1BECFADC" w:rsidR="00AA48EB" w:rsidRPr="005E7AB5" w:rsidRDefault="00AA48EB" w:rsidP="00750398">
      <w:pPr>
        <w:spacing w:line="360" w:lineRule="auto"/>
        <w:jc w:val="both"/>
        <w:rPr>
          <w:rFonts w:ascii="Arial" w:eastAsia="Aptos" w:hAnsi="Arial" w:cs="Arial"/>
          <w:bCs/>
          <w:kern w:val="0"/>
          <w:sz w:val="24"/>
          <w:szCs w:val="24"/>
          <w:lang w:val="en-US" w:bidi="bn-BD"/>
        </w:rPr>
      </w:pPr>
      <w:r w:rsidRPr="005E7AB5">
        <w:rPr>
          <w:rFonts w:ascii="Arial" w:eastAsia="Aptos" w:hAnsi="Arial" w:cs="Arial"/>
          <w:bCs/>
          <w:kern w:val="0"/>
          <w:sz w:val="24"/>
          <w:szCs w:val="24"/>
          <w:lang w:val="en-US" w:bidi="bn-BD"/>
        </w:rPr>
        <w:t>Unilever is affected politically by trade policies, geopolitical instability and intervention by the state. Unilever</w:t>
      </w:r>
      <w:r>
        <w:rPr>
          <w:rFonts w:ascii="Arial" w:eastAsia="Aptos" w:hAnsi="Arial" w:cs="Arial"/>
          <w:bCs/>
          <w:kern w:val="0"/>
          <w:sz w:val="24"/>
          <w:szCs w:val="24"/>
          <w:lang w:val="en-US" w:bidi="bn-BD"/>
        </w:rPr>
        <w:t>,</w:t>
      </w:r>
      <w:r w:rsidRPr="005E7AB5">
        <w:rPr>
          <w:rFonts w:ascii="Arial" w:eastAsia="Aptos" w:hAnsi="Arial" w:cs="Arial"/>
          <w:bCs/>
          <w:kern w:val="0"/>
          <w:sz w:val="24"/>
          <w:szCs w:val="24"/>
          <w:lang w:val="en-US" w:bidi="bn-BD"/>
        </w:rPr>
        <w:t xml:space="preserve"> being a multinational FMCG company</w:t>
      </w:r>
      <w:r>
        <w:rPr>
          <w:rFonts w:ascii="Arial" w:eastAsia="Aptos" w:hAnsi="Arial" w:cs="Arial"/>
          <w:bCs/>
          <w:kern w:val="0"/>
          <w:sz w:val="24"/>
          <w:szCs w:val="24"/>
          <w:lang w:val="en-US" w:bidi="bn-BD"/>
        </w:rPr>
        <w:t>,</w:t>
      </w:r>
      <w:r w:rsidRPr="005E7AB5">
        <w:rPr>
          <w:rFonts w:ascii="Arial" w:eastAsia="Aptos" w:hAnsi="Arial" w:cs="Arial"/>
          <w:bCs/>
          <w:kern w:val="0"/>
          <w:sz w:val="24"/>
          <w:szCs w:val="24"/>
          <w:lang w:val="en-US" w:bidi="bn-BD"/>
        </w:rPr>
        <w:t xml:space="preserve"> relies on global sourcing and distribution</w:t>
      </w:r>
      <w:r>
        <w:rPr>
          <w:rFonts w:ascii="Arial" w:eastAsia="Aptos" w:hAnsi="Arial" w:cs="Arial"/>
          <w:bCs/>
          <w:kern w:val="0"/>
          <w:sz w:val="24"/>
          <w:szCs w:val="24"/>
          <w:lang w:val="en-US" w:bidi="bn-BD"/>
        </w:rPr>
        <w:t>;</w:t>
      </w:r>
      <w:r w:rsidRPr="005E7AB5">
        <w:rPr>
          <w:rFonts w:ascii="Arial" w:eastAsia="Aptos" w:hAnsi="Arial" w:cs="Arial"/>
          <w:bCs/>
          <w:kern w:val="0"/>
          <w:sz w:val="24"/>
          <w:szCs w:val="24"/>
          <w:lang w:val="en-US" w:bidi="bn-BD"/>
        </w:rPr>
        <w:t xml:space="preserve"> therefore</w:t>
      </w:r>
      <w:r>
        <w:rPr>
          <w:rFonts w:ascii="Arial" w:eastAsia="Aptos" w:hAnsi="Arial" w:cs="Arial"/>
          <w:bCs/>
          <w:kern w:val="0"/>
          <w:sz w:val="24"/>
          <w:szCs w:val="24"/>
          <w:lang w:val="en-US" w:bidi="bn-BD"/>
        </w:rPr>
        <w:t>,</w:t>
      </w:r>
      <w:r w:rsidRPr="005E7AB5">
        <w:rPr>
          <w:rFonts w:ascii="Arial" w:eastAsia="Aptos" w:hAnsi="Arial" w:cs="Arial"/>
          <w:bCs/>
          <w:kern w:val="0"/>
          <w:sz w:val="24"/>
          <w:szCs w:val="24"/>
          <w:lang w:val="en-US" w:bidi="bn-BD"/>
        </w:rPr>
        <w:t xml:space="preserve"> it is susceptible to trade barriers and tariffs. The regulatory divergence between the UK and </w:t>
      </w:r>
      <w:r>
        <w:rPr>
          <w:rFonts w:ascii="Arial" w:eastAsia="Aptos" w:hAnsi="Arial" w:cs="Arial"/>
          <w:bCs/>
          <w:kern w:val="0"/>
          <w:sz w:val="24"/>
          <w:szCs w:val="24"/>
          <w:lang w:val="en-US" w:bidi="bn-BD"/>
        </w:rPr>
        <w:t xml:space="preserve">the </w:t>
      </w:r>
      <w:r w:rsidRPr="005E7AB5">
        <w:rPr>
          <w:rFonts w:ascii="Arial" w:eastAsia="Aptos" w:hAnsi="Arial" w:cs="Arial"/>
          <w:bCs/>
          <w:kern w:val="0"/>
          <w:sz w:val="24"/>
          <w:szCs w:val="24"/>
          <w:lang w:val="en-US" w:bidi="bn-BD"/>
        </w:rPr>
        <w:t>EU that has followed the UK departing the EU has enhanced complexity and cost in administration (House of Commons Library, 2023). Also, operational and reputational risks to companies in the impacted locations have been caused by geopolitical conflicts</w:t>
      </w:r>
      <w:r>
        <w:rPr>
          <w:rFonts w:ascii="Arial" w:eastAsia="Aptos" w:hAnsi="Arial" w:cs="Arial"/>
          <w:bCs/>
          <w:kern w:val="0"/>
          <w:sz w:val="24"/>
          <w:szCs w:val="24"/>
          <w:lang w:val="en-US" w:bidi="bn-BD"/>
        </w:rPr>
        <w:t>,</w:t>
      </w:r>
      <w:r w:rsidRPr="005E7AB5">
        <w:rPr>
          <w:rFonts w:ascii="Arial" w:eastAsia="Aptos" w:hAnsi="Arial" w:cs="Arial"/>
          <w:bCs/>
          <w:kern w:val="0"/>
          <w:sz w:val="24"/>
          <w:szCs w:val="24"/>
          <w:lang w:val="en-US" w:bidi="bn-BD"/>
        </w:rPr>
        <w:t xml:space="preserve"> including the Russia-Ukr</w:t>
      </w:r>
      <w:r>
        <w:rPr>
          <w:rFonts w:ascii="Arial" w:eastAsia="Aptos" w:hAnsi="Arial" w:cs="Arial"/>
          <w:bCs/>
          <w:kern w:val="0"/>
          <w:sz w:val="24"/>
          <w:szCs w:val="24"/>
          <w:lang w:val="en-US" w:bidi="bn-BD"/>
        </w:rPr>
        <w:t>aine war (Reuters, 2023a).</w:t>
      </w:r>
    </w:p>
    <w:p w14:paraId="6864811B" w14:textId="6BA69137" w:rsidR="00AA48EB" w:rsidRPr="005E7AB5" w:rsidRDefault="00AA48EB" w:rsidP="00750398">
      <w:pPr>
        <w:spacing w:line="360" w:lineRule="auto"/>
        <w:jc w:val="both"/>
        <w:rPr>
          <w:rFonts w:ascii="Arial" w:eastAsia="Aptos" w:hAnsi="Arial" w:cs="Arial"/>
          <w:bCs/>
          <w:kern w:val="0"/>
          <w:sz w:val="24"/>
          <w:szCs w:val="24"/>
          <w:lang w:val="en-US" w:bidi="bn-BD"/>
        </w:rPr>
      </w:pPr>
      <w:r w:rsidRPr="005E7AB5">
        <w:rPr>
          <w:rFonts w:ascii="Arial" w:eastAsia="Aptos" w:hAnsi="Arial" w:cs="Arial"/>
          <w:bCs/>
          <w:kern w:val="0"/>
          <w:sz w:val="24"/>
          <w:szCs w:val="24"/>
          <w:lang w:val="en-US" w:bidi="bn-BD"/>
        </w:rPr>
        <w:lastRenderedPageBreak/>
        <w:t xml:space="preserve">Sustainability regulations are also on the increase through government intervention. The Corporate Sustainability Reporting Directive (CSRD) of the European Union mandates that more information should be disclosed about the environmental and social performance (European Commission, 2023). Such policies increase </w:t>
      </w:r>
      <w:r>
        <w:rPr>
          <w:rFonts w:ascii="Arial" w:eastAsia="Aptos" w:hAnsi="Arial" w:cs="Arial"/>
          <w:bCs/>
          <w:kern w:val="0"/>
          <w:sz w:val="24"/>
          <w:szCs w:val="24"/>
          <w:lang w:val="en-US" w:bidi="bn-BD"/>
        </w:rPr>
        <w:t xml:space="preserve">the </w:t>
      </w:r>
      <w:r w:rsidRPr="005E7AB5">
        <w:rPr>
          <w:rFonts w:ascii="Arial" w:eastAsia="Aptos" w:hAnsi="Arial" w:cs="Arial"/>
          <w:bCs/>
          <w:kern w:val="0"/>
          <w:sz w:val="24"/>
          <w:szCs w:val="24"/>
          <w:lang w:val="en-US" w:bidi="bn-BD"/>
        </w:rPr>
        <w:t xml:space="preserve">costs of compliance and </w:t>
      </w:r>
      <w:proofErr w:type="spellStart"/>
      <w:r>
        <w:rPr>
          <w:rFonts w:ascii="Arial" w:eastAsia="Aptos" w:hAnsi="Arial" w:cs="Arial"/>
          <w:bCs/>
          <w:kern w:val="0"/>
          <w:sz w:val="24"/>
          <w:szCs w:val="24"/>
          <w:lang w:val="en-US" w:bidi="bn-BD"/>
        </w:rPr>
        <w:t>generalise</w:t>
      </w:r>
      <w:proofErr w:type="spellEnd"/>
      <w:r w:rsidRPr="005E7AB5">
        <w:rPr>
          <w:rFonts w:ascii="Arial" w:eastAsia="Aptos" w:hAnsi="Arial" w:cs="Arial"/>
          <w:bCs/>
          <w:kern w:val="0"/>
          <w:sz w:val="24"/>
          <w:szCs w:val="24"/>
          <w:lang w:val="en-US" w:bidi="bn-BD"/>
        </w:rPr>
        <w:t xml:space="preserve"> the expectations of the stakeholders. Unilever will be required, therefore, to cope with political risks at an early stage in different institutional settings to ensure</w:t>
      </w:r>
      <w:r>
        <w:rPr>
          <w:rFonts w:ascii="Arial" w:eastAsia="Aptos" w:hAnsi="Arial" w:cs="Arial"/>
          <w:bCs/>
          <w:kern w:val="0"/>
          <w:sz w:val="24"/>
          <w:szCs w:val="24"/>
          <w:lang w:val="en-US" w:bidi="bn-BD"/>
        </w:rPr>
        <w:t xml:space="preserve"> stability and competitiveness.</w:t>
      </w:r>
    </w:p>
    <w:p w14:paraId="72B9DF91" w14:textId="77777777" w:rsidR="00AA48EB" w:rsidRPr="0013748A" w:rsidRDefault="00AA48EB" w:rsidP="00750398">
      <w:pPr>
        <w:spacing w:line="360" w:lineRule="auto"/>
        <w:jc w:val="both"/>
        <w:rPr>
          <w:rFonts w:ascii="Arial" w:eastAsia="Aptos" w:hAnsi="Arial" w:cs="Arial"/>
          <w:b/>
          <w:bCs/>
          <w:kern w:val="0"/>
          <w:sz w:val="24"/>
          <w:szCs w:val="24"/>
          <w:lang w:val="en-US" w:bidi="bn-BD"/>
        </w:rPr>
      </w:pPr>
      <w:r>
        <w:rPr>
          <w:rFonts w:ascii="Arial" w:eastAsia="Aptos" w:hAnsi="Arial" w:cs="Arial"/>
          <w:b/>
          <w:bCs/>
          <w:kern w:val="0"/>
          <w:sz w:val="24"/>
          <w:szCs w:val="24"/>
          <w:lang w:val="en-US" w:bidi="bn-BD"/>
        </w:rPr>
        <w:t>2.1.2 Economic Factors</w:t>
      </w:r>
    </w:p>
    <w:p w14:paraId="5FC2BA0E" w14:textId="1A666AE0" w:rsidR="00AA48EB" w:rsidRPr="005E7AB5" w:rsidRDefault="00AA48EB" w:rsidP="00750398">
      <w:pPr>
        <w:spacing w:line="360" w:lineRule="auto"/>
        <w:jc w:val="both"/>
        <w:rPr>
          <w:rFonts w:ascii="Arial" w:eastAsia="Aptos" w:hAnsi="Arial" w:cs="Arial"/>
          <w:bCs/>
          <w:kern w:val="0"/>
          <w:sz w:val="24"/>
          <w:szCs w:val="24"/>
          <w:lang w:val="en-US" w:bidi="bn-BD"/>
        </w:rPr>
      </w:pPr>
      <w:r w:rsidRPr="005E7AB5">
        <w:rPr>
          <w:rFonts w:ascii="Arial" w:eastAsia="Aptos" w:hAnsi="Arial" w:cs="Arial"/>
          <w:bCs/>
          <w:kern w:val="0"/>
          <w:sz w:val="24"/>
          <w:szCs w:val="24"/>
          <w:lang w:val="en-US" w:bidi="bn-BD"/>
        </w:rPr>
        <w:t xml:space="preserve">Consumer demand, costs and profitability in </w:t>
      </w:r>
      <w:r>
        <w:rPr>
          <w:rFonts w:ascii="Arial" w:eastAsia="Aptos" w:hAnsi="Arial" w:cs="Arial"/>
          <w:bCs/>
          <w:kern w:val="0"/>
          <w:sz w:val="24"/>
          <w:szCs w:val="24"/>
          <w:lang w:val="en-US" w:bidi="bn-BD"/>
        </w:rPr>
        <w:t xml:space="preserve">the </w:t>
      </w:r>
      <w:r w:rsidRPr="005E7AB5">
        <w:rPr>
          <w:rFonts w:ascii="Arial" w:eastAsia="Aptos" w:hAnsi="Arial" w:cs="Arial"/>
          <w:bCs/>
          <w:kern w:val="0"/>
          <w:sz w:val="24"/>
          <w:szCs w:val="24"/>
          <w:lang w:val="en-US" w:bidi="bn-BD"/>
        </w:rPr>
        <w:t>FMCG sector are directly related to economic conditions. In 2022-2023, the costs of raw materials, packaging, transport and energy became particularly high due to inflation (OECD, 2023). Unilever reacted by raising prices because it needed to safeguard profits, yet this decreased demand because consumers grew price-sensitive (Unilever, 2024a). This brings the dilemma of profit</w:t>
      </w:r>
      <w:r>
        <w:rPr>
          <w:rFonts w:ascii="Arial" w:eastAsia="Aptos" w:hAnsi="Arial" w:cs="Arial"/>
          <w:bCs/>
          <w:kern w:val="0"/>
          <w:sz w:val="24"/>
          <w:szCs w:val="24"/>
          <w:lang w:val="en-US" w:bidi="bn-BD"/>
        </w:rPr>
        <w:t>ability and affordability.</w:t>
      </w:r>
    </w:p>
    <w:p w14:paraId="4C689901" w14:textId="369AC794" w:rsidR="00AA48EB" w:rsidRPr="005E7AB5" w:rsidRDefault="00AA48EB" w:rsidP="00750398">
      <w:pPr>
        <w:spacing w:line="360" w:lineRule="auto"/>
        <w:jc w:val="both"/>
        <w:rPr>
          <w:rFonts w:ascii="Arial" w:eastAsia="Aptos" w:hAnsi="Arial" w:cs="Arial"/>
          <w:bCs/>
          <w:kern w:val="0"/>
          <w:sz w:val="24"/>
          <w:szCs w:val="24"/>
          <w:lang w:val="en-US" w:bidi="bn-BD"/>
        </w:rPr>
      </w:pPr>
      <w:r w:rsidRPr="005E7AB5">
        <w:rPr>
          <w:rFonts w:ascii="Arial" w:eastAsia="Aptos" w:hAnsi="Arial" w:cs="Arial"/>
          <w:bCs/>
          <w:kern w:val="0"/>
          <w:sz w:val="24"/>
          <w:szCs w:val="24"/>
          <w:lang w:val="en-US" w:bidi="bn-BD"/>
        </w:rPr>
        <w:t xml:space="preserve">The chance of growth varies in regions. Saturated markets are those developed and emerging markets </w:t>
      </w:r>
      <w:r>
        <w:rPr>
          <w:rFonts w:ascii="Arial" w:eastAsia="Aptos" w:hAnsi="Arial" w:cs="Arial"/>
          <w:bCs/>
          <w:kern w:val="0"/>
          <w:sz w:val="24"/>
          <w:szCs w:val="24"/>
          <w:lang w:val="en-US" w:bidi="bn-BD"/>
        </w:rPr>
        <w:t xml:space="preserve">that </w:t>
      </w:r>
      <w:r w:rsidRPr="005E7AB5">
        <w:rPr>
          <w:rFonts w:ascii="Arial" w:eastAsia="Aptos" w:hAnsi="Arial" w:cs="Arial"/>
          <w:bCs/>
          <w:kern w:val="0"/>
          <w:sz w:val="24"/>
          <w:szCs w:val="24"/>
          <w:lang w:val="en-US" w:bidi="bn-BD"/>
        </w:rPr>
        <w:t xml:space="preserve">provide development with </w:t>
      </w:r>
      <w:r>
        <w:rPr>
          <w:rFonts w:ascii="Arial" w:eastAsia="Aptos" w:hAnsi="Arial" w:cs="Arial"/>
          <w:bCs/>
          <w:kern w:val="0"/>
          <w:sz w:val="24"/>
          <w:szCs w:val="24"/>
          <w:lang w:val="en-US" w:bidi="bn-BD"/>
        </w:rPr>
        <w:t xml:space="preserve">an </w:t>
      </w:r>
      <w:r w:rsidRPr="005E7AB5">
        <w:rPr>
          <w:rFonts w:ascii="Arial" w:eastAsia="Aptos" w:hAnsi="Arial" w:cs="Arial"/>
          <w:bCs/>
          <w:kern w:val="0"/>
          <w:sz w:val="24"/>
          <w:szCs w:val="24"/>
          <w:lang w:val="en-US" w:bidi="bn-BD"/>
        </w:rPr>
        <w:t xml:space="preserve">increase in incomes and </w:t>
      </w:r>
      <w:proofErr w:type="spellStart"/>
      <w:r w:rsidRPr="005E7AB5">
        <w:rPr>
          <w:rFonts w:ascii="Arial" w:eastAsia="Aptos" w:hAnsi="Arial" w:cs="Arial"/>
          <w:bCs/>
          <w:kern w:val="0"/>
          <w:sz w:val="24"/>
          <w:szCs w:val="24"/>
          <w:lang w:val="en-US" w:bidi="bn-BD"/>
        </w:rPr>
        <w:t>urbanisation</w:t>
      </w:r>
      <w:proofErr w:type="spellEnd"/>
      <w:r w:rsidRPr="005E7AB5">
        <w:rPr>
          <w:rFonts w:ascii="Arial" w:eastAsia="Aptos" w:hAnsi="Arial" w:cs="Arial"/>
          <w:bCs/>
          <w:kern w:val="0"/>
          <w:sz w:val="24"/>
          <w:szCs w:val="24"/>
          <w:lang w:val="en-US" w:bidi="bn-BD"/>
        </w:rPr>
        <w:t xml:space="preserve"> (World Bank, 2024). These are</w:t>
      </w:r>
      <w:r>
        <w:rPr>
          <w:rFonts w:ascii="Arial" w:eastAsia="Aptos" w:hAnsi="Arial" w:cs="Arial"/>
          <w:bCs/>
          <w:kern w:val="0"/>
          <w:sz w:val="24"/>
          <w:szCs w:val="24"/>
          <w:lang w:val="en-US" w:bidi="bn-BD"/>
        </w:rPr>
        <w:t>,</w:t>
      </w:r>
      <w:r w:rsidRPr="005E7AB5">
        <w:rPr>
          <w:rFonts w:ascii="Arial" w:eastAsia="Aptos" w:hAnsi="Arial" w:cs="Arial"/>
          <w:bCs/>
          <w:kern w:val="0"/>
          <w:sz w:val="24"/>
          <w:szCs w:val="24"/>
          <w:lang w:val="en-US" w:bidi="bn-BD"/>
        </w:rPr>
        <w:t xml:space="preserve"> however</w:t>
      </w:r>
      <w:r>
        <w:rPr>
          <w:rFonts w:ascii="Arial" w:eastAsia="Aptos" w:hAnsi="Arial" w:cs="Arial"/>
          <w:bCs/>
          <w:kern w:val="0"/>
          <w:sz w:val="24"/>
          <w:szCs w:val="24"/>
          <w:lang w:val="en-US" w:bidi="bn-BD"/>
        </w:rPr>
        <w:t>,</w:t>
      </w:r>
      <w:r w:rsidRPr="005E7AB5">
        <w:rPr>
          <w:rFonts w:ascii="Arial" w:eastAsia="Aptos" w:hAnsi="Arial" w:cs="Arial"/>
          <w:bCs/>
          <w:kern w:val="0"/>
          <w:sz w:val="24"/>
          <w:szCs w:val="24"/>
          <w:lang w:val="en-US" w:bidi="bn-BD"/>
        </w:rPr>
        <w:t xml:space="preserve"> markets that have higher risks and volatility </w:t>
      </w:r>
      <w:r>
        <w:rPr>
          <w:rFonts w:ascii="Arial" w:eastAsia="Aptos" w:hAnsi="Arial" w:cs="Arial"/>
          <w:bCs/>
          <w:kern w:val="0"/>
          <w:sz w:val="24"/>
          <w:szCs w:val="24"/>
          <w:lang w:val="en-US" w:bidi="bn-BD"/>
        </w:rPr>
        <w:t>in</w:t>
      </w:r>
      <w:r w:rsidRPr="005E7AB5">
        <w:rPr>
          <w:rFonts w:ascii="Arial" w:eastAsia="Aptos" w:hAnsi="Arial" w:cs="Arial"/>
          <w:bCs/>
          <w:kern w:val="0"/>
          <w:sz w:val="24"/>
          <w:szCs w:val="24"/>
          <w:lang w:val="en-US" w:bidi="bn-BD"/>
        </w:rPr>
        <w:t xml:space="preserve"> currency. The economic pressure has also facilitated the development of the growth of private-label</w:t>
      </w:r>
      <w:r>
        <w:rPr>
          <w:rFonts w:ascii="Arial" w:eastAsia="Aptos" w:hAnsi="Arial" w:cs="Arial"/>
          <w:bCs/>
          <w:kern w:val="0"/>
          <w:sz w:val="24"/>
          <w:szCs w:val="24"/>
          <w:lang w:val="en-US" w:bidi="bn-BD"/>
        </w:rPr>
        <w:t xml:space="preserve"> products</w:t>
      </w:r>
      <w:r w:rsidRPr="005E7AB5">
        <w:rPr>
          <w:rFonts w:ascii="Arial" w:eastAsia="Aptos" w:hAnsi="Arial" w:cs="Arial"/>
          <w:bCs/>
          <w:kern w:val="0"/>
          <w:sz w:val="24"/>
          <w:szCs w:val="24"/>
          <w:lang w:val="en-US" w:bidi="bn-BD"/>
        </w:rPr>
        <w:t>, especially in Europe</w:t>
      </w:r>
      <w:r>
        <w:rPr>
          <w:rFonts w:ascii="Arial" w:eastAsia="Aptos" w:hAnsi="Arial" w:cs="Arial"/>
          <w:bCs/>
          <w:kern w:val="0"/>
          <w:sz w:val="24"/>
          <w:szCs w:val="24"/>
          <w:lang w:val="en-US" w:bidi="bn-BD"/>
        </w:rPr>
        <w:t>,</w:t>
      </w:r>
      <w:r w:rsidRPr="005E7AB5">
        <w:rPr>
          <w:rFonts w:ascii="Arial" w:eastAsia="Aptos" w:hAnsi="Arial" w:cs="Arial"/>
          <w:bCs/>
          <w:kern w:val="0"/>
          <w:sz w:val="24"/>
          <w:szCs w:val="24"/>
          <w:lang w:val="en-US" w:bidi="bn-BD"/>
        </w:rPr>
        <w:t xml:space="preserve"> where consumers are interested in alternatives that are cheaper (McKinsey &amp; Company, 2024). This undermines brand loyalty and stiffens competition</w:t>
      </w:r>
      <w:r>
        <w:rPr>
          <w:rFonts w:ascii="Arial" w:eastAsia="Aptos" w:hAnsi="Arial" w:cs="Arial"/>
          <w:bCs/>
          <w:kern w:val="0"/>
          <w:sz w:val="24"/>
          <w:szCs w:val="24"/>
          <w:lang w:val="en-US" w:bidi="bn-BD"/>
        </w:rPr>
        <w:t>,</w:t>
      </w:r>
      <w:r w:rsidRPr="005E7AB5">
        <w:rPr>
          <w:rFonts w:ascii="Arial" w:eastAsia="Aptos" w:hAnsi="Arial" w:cs="Arial"/>
          <w:bCs/>
          <w:kern w:val="0"/>
          <w:sz w:val="24"/>
          <w:szCs w:val="24"/>
          <w:lang w:val="en-US" w:bidi="bn-BD"/>
        </w:rPr>
        <w:t xml:space="preserve"> and Unilever needs to st</w:t>
      </w:r>
      <w:r>
        <w:rPr>
          <w:rFonts w:ascii="Arial" w:eastAsia="Aptos" w:hAnsi="Arial" w:cs="Arial"/>
          <w:bCs/>
          <w:kern w:val="0"/>
          <w:sz w:val="24"/>
          <w:szCs w:val="24"/>
          <w:lang w:val="en-US" w:bidi="bn-BD"/>
        </w:rPr>
        <w:t>rengthen value differentiation.</w:t>
      </w:r>
    </w:p>
    <w:p w14:paraId="63C2A71C" w14:textId="77777777" w:rsidR="00AA48EB" w:rsidRPr="0013748A" w:rsidRDefault="00AA48EB" w:rsidP="00750398">
      <w:pPr>
        <w:spacing w:line="360" w:lineRule="auto"/>
        <w:jc w:val="both"/>
        <w:rPr>
          <w:rFonts w:ascii="Arial" w:eastAsia="Aptos" w:hAnsi="Arial" w:cs="Arial"/>
          <w:b/>
          <w:bCs/>
          <w:kern w:val="0"/>
          <w:sz w:val="24"/>
          <w:szCs w:val="24"/>
          <w:lang w:val="en-US" w:bidi="bn-BD"/>
        </w:rPr>
      </w:pPr>
      <w:r>
        <w:rPr>
          <w:rFonts w:ascii="Arial" w:eastAsia="Aptos" w:hAnsi="Arial" w:cs="Arial"/>
          <w:b/>
          <w:bCs/>
          <w:kern w:val="0"/>
          <w:sz w:val="24"/>
          <w:szCs w:val="24"/>
          <w:lang w:val="en-US" w:bidi="bn-BD"/>
        </w:rPr>
        <w:t>2.1.3 Social Factors</w:t>
      </w:r>
    </w:p>
    <w:p w14:paraId="3D91BEA7" w14:textId="53CB199E" w:rsidR="00AA48EB" w:rsidRPr="005E7AB5" w:rsidRDefault="00AA48EB" w:rsidP="00750398">
      <w:pPr>
        <w:spacing w:line="360" w:lineRule="auto"/>
        <w:jc w:val="both"/>
        <w:rPr>
          <w:rFonts w:ascii="Arial" w:eastAsia="Aptos" w:hAnsi="Arial" w:cs="Arial"/>
          <w:bCs/>
          <w:kern w:val="0"/>
          <w:sz w:val="24"/>
          <w:szCs w:val="24"/>
          <w:lang w:val="en-US" w:bidi="bn-BD"/>
        </w:rPr>
      </w:pPr>
      <w:r>
        <w:rPr>
          <w:rFonts w:ascii="Arial" w:eastAsia="Aptos" w:hAnsi="Arial" w:cs="Arial"/>
          <w:bCs/>
          <w:kern w:val="0"/>
          <w:sz w:val="24"/>
          <w:szCs w:val="24"/>
          <w:lang w:val="en-US" w:bidi="bn-BD"/>
        </w:rPr>
        <w:t>Consumer</w:t>
      </w:r>
      <w:r w:rsidRPr="005E7AB5">
        <w:rPr>
          <w:rFonts w:ascii="Arial" w:eastAsia="Aptos" w:hAnsi="Arial" w:cs="Arial"/>
          <w:bCs/>
          <w:kern w:val="0"/>
          <w:sz w:val="24"/>
          <w:szCs w:val="24"/>
          <w:lang w:val="en-US" w:bidi="bn-BD"/>
        </w:rPr>
        <w:t xml:space="preserve"> </w:t>
      </w:r>
      <w:proofErr w:type="spellStart"/>
      <w:r w:rsidRPr="005E7AB5">
        <w:rPr>
          <w:rFonts w:ascii="Arial" w:eastAsia="Aptos" w:hAnsi="Arial" w:cs="Arial"/>
          <w:bCs/>
          <w:kern w:val="0"/>
          <w:sz w:val="24"/>
          <w:szCs w:val="24"/>
          <w:lang w:val="en-US" w:bidi="bn-BD"/>
        </w:rPr>
        <w:t>behaviour</w:t>
      </w:r>
      <w:proofErr w:type="spellEnd"/>
      <w:r w:rsidRPr="005E7AB5">
        <w:rPr>
          <w:rFonts w:ascii="Arial" w:eastAsia="Aptos" w:hAnsi="Arial" w:cs="Arial"/>
          <w:bCs/>
          <w:kern w:val="0"/>
          <w:sz w:val="24"/>
          <w:szCs w:val="24"/>
          <w:lang w:val="en-US" w:bidi="bn-BD"/>
        </w:rPr>
        <w:t xml:space="preserve"> and expectations are changing due to social trends. The need to have healthier, natural, and ethically sourced products rises (</w:t>
      </w:r>
      <w:proofErr w:type="spellStart"/>
      <w:r w:rsidRPr="005E7AB5">
        <w:rPr>
          <w:rFonts w:ascii="Arial" w:eastAsia="Aptos" w:hAnsi="Arial" w:cs="Arial"/>
          <w:bCs/>
          <w:kern w:val="0"/>
          <w:sz w:val="24"/>
          <w:szCs w:val="24"/>
          <w:lang w:val="en-US" w:bidi="bn-BD"/>
        </w:rPr>
        <w:t>NielsenIQ</w:t>
      </w:r>
      <w:proofErr w:type="spellEnd"/>
      <w:r w:rsidRPr="005E7AB5">
        <w:rPr>
          <w:rFonts w:ascii="Arial" w:eastAsia="Aptos" w:hAnsi="Arial" w:cs="Arial"/>
          <w:bCs/>
          <w:kern w:val="0"/>
          <w:sz w:val="24"/>
          <w:szCs w:val="24"/>
          <w:lang w:val="en-US" w:bidi="bn-BD"/>
        </w:rPr>
        <w:t xml:space="preserve">, 2023). Transparency in sourcing, ingredients and corporate values is also expected by the consumers. This is very important to Unilever, as brands like Dove and </w:t>
      </w:r>
      <w:r>
        <w:rPr>
          <w:rFonts w:ascii="Arial" w:eastAsia="Aptos" w:hAnsi="Arial" w:cs="Arial"/>
          <w:bCs/>
          <w:kern w:val="0"/>
          <w:sz w:val="24"/>
          <w:szCs w:val="24"/>
          <w:lang w:val="en-US" w:bidi="bn-BD"/>
        </w:rPr>
        <w:t>Hellmann's</w:t>
      </w:r>
      <w:r w:rsidRPr="005E7AB5">
        <w:rPr>
          <w:rFonts w:ascii="Arial" w:eastAsia="Aptos" w:hAnsi="Arial" w:cs="Arial"/>
          <w:bCs/>
          <w:kern w:val="0"/>
          <w:sz w:val="24"/>
          <w:szCs w:val="24"/>
          <w:lang w:val="en-US" w:bidi="bn-BD"/>
        </w:rPr>
        <w:t xml:space="preserve"> are dependent on the trust </w:t>
      </w:r>
      <w:r>
        <w:rPr>
          <w:rFonts w:ascii="Arial" w:eastAsia="Aptos" w:hAnsi="Arial" w:cs="Arial"/>
          <w:bCs/>
          <w:kern w:val="0"/>
          <w:sz w:val="24"/>
          <w:szCs w:val="24"/>
          <w:lang w:val="en-US" w:bidi="bn-BD"/>
        </w:rPr>
        <w:t>and purpose-driven positioning.</w:t>
      </w:r>
    </w:p>
    <w:p w14:paraId="1B4BF293" w14:textId="7B8F83A9" w:rsidR="00AA48EB" w:rsidRPr="005E7AB5" w:rsidRDefault="00AA48EB" w:rsidP="00750398">
      <w:pPr>
        <w:spacing w:line="360" w:lineRule="auto"/>
        <w:jc w:val="both"/>
        <w:rPr>
          <w:rFonts w:ascii="Arial" w:eastAsia="Aptos" w:hAnsi="Arial" w:cs="Arial"/>
          <w:bCs/>
          <w:kern w:val="0"/>
          <w:sz w:val="24"/>
          <w:szCs w:val="24"/>
          <w:lang w:val="en-US" w:bidi="bn-BD"/>
        </w:rPr>
      </w:pPr>
      <w:r w:rsidRPr="005E7AB5">
        <w:rPr>
          <w:rFonts w:ascii="Arial" w:eastAsia="Aptos" w:hAnsi="Arial" w:cs="Arial"/>
          <w:bCs/>
          <w:kern w:val="0"/>
          <w:sz w:val="24"/>
          <w:szCs w:val="24"/>
          <w:lang w:val="en-US" w:bidi="bn-BD"/>
        </w:rPr>
        <w:t xml:space="preserve">Markets are also affected by changes in demographics. The ageing majorities within the developed economies promote the demand of high-end and health-oriented products, and the younger populations in the emerging markets foster the </w:t>
      </w:r>
      <w:r w:rsidRPr="005E7AB5">
        <w:rPr>
          <w:rFonts w:ascii="Arial" w:eastAsia="Aptos" w:hAnsi="Arial" w:cs="Arial"/>
          <w:bCs/>
          <w:kern w:val="0"/>
          <w:sz w:val="24"/>
          <w:szCs w:val="24"/>
          <w:lang w:val="en-US" w:bidi="bn-BD"/>
        </w:rPr>
        <w:lastRenderedPageBreak/>
        <w:t xml:space="preserve">development through digital communication and experimentation (Euromonitor, 2024). </w:t>
      </w:r>
      <w:r>
        <w:rPr>
          <w:rFonts w:ascii="Arial" w:eastAsia="Aptos" w:hAnsi="Arial" w:cs="Arial"/>
          <w:bCs/>
          <w:kern w:val="0"/>
          <w:sz w:val="24"/>
          <w:szCs w:val="24"/>
          <w:lang w:val="en-US" w:bidi="bn-BD"/>
        </w:rPr>
        <w:t>Social</w:t>
      </w:r>
      <w:r w:rsidRPr="005E7AB5">
        <w:rPr>
          <w:rFonts w:ascii="Arial" w:eastAsia="Aptos" w:hAnsi="Arial" w:cs="Arial"/>
          <w:bCs/>
          <w:kern w:val="0"/>
          <w:sz w:val="24"/>
          <w:szCs w:val="24"/>
          <w:lang w:val="en-US" w:bidi="bn-BD"/>
        </w:rPr>
        <w:t xml:space="preserve"> media increases chances and threats alike as a brand message or criticism becomes viral. In the case of Unilever, high brand reputation and social legitimacy is henc</w:t>
      </w:r>
      <w:r>
        <w:rPr>
          <w:rFonts w:ascii="Arial" w:eastAsia="Aptos" w:hAnsi="Arial" w:cs="Arial"/>
          <w:bCs/>
          <w:kern w:val="0"/>
          <w:sz w:val="24"/>
          <w:szCs w:val="24"/>
          <w:lang w:val="en-US" w:bidi="bn-BD"/>
        </w:rPr>
        <w:t>e the key to continued success.</w:t>
      </w:r>
    </w:p>
    <w:p w14:paraId="4BA5A614" w14:textId="77777777" w:rsidR="00AA48EB" w:rsidRPr="0013748A" w:rsidRDefault="00AA48EB" w:rsidP="00750398">
      <w:pPr>
        <w:spacing w:line="360" w:lineRule="auto"/>
        <w:jc w:val="both"/>
        <w:rPr>
          <w:rFonts w:ascii="Arial" w:eastAsia="Aptos" w:hAnsi="Arial" w:cs="Arial"/>
          <w:b/>
          <w:bCs/>
          <w:kern w:val="0"/>
          <w:sz w:val="24"/>
          <w:szCs w:val="24"/>
          <w:lang w:val="en-US" w:bidi="bn-BD"/>
        </w:rPr>
      </w:pPr>
      <w:r>
        <w:rPr>
          <w:rFonts w:ascii="Arial" w:eastAsia="Aptos" w:hAnsi="Arial" w:cs="Arial"/>
          <w:b/>
          <w:bCs/>
          <w:kern w:val="0"/>
          <w:sz w:val="24"/>
          <w:szCs w:val="24"/>
          <w:lang w:val="en-US" w:bidi="bn-BD"/>
        </w:rPr>
        <w:t>2.1.4 Technological Factors</w:t>
      </w:r>
    </w:p>
    <w:p w14:paraId="2CE11B58" w14:textId="77777777" w:rsidR="00AA48EB" w:rsidRPr="005E7AB5" w:rsidRDefault="00AA48EB" w:rsidP="00750398">
      <w:pPr>
        <w:spacing w:line="360" w:lineRule="auto"/>
        <w:jc w:val="both"/>
        <w:rPr>
          <w:rFonts w:ascii="Arial" w:eastAsia="Aptos" w:hAnsi="Arial" w:cs="Arial"/>
          <w:bCs/>
          <w:kern w:val="0"/>
          <w:sz w:val="24"/>
          <w:szCs w:val="24"/>
          <w:lang w:val="en-US" w:bidi="bn-BD"/>
        </w:rPr>
      </w:pPr>
      <w:r w:rsidRPr="005E7AB5">
        <w:rPr>
          <w:rFonts w:ascii="Arial" w:eastAsia="Aptos" w:hAnsi="Arial" w:cs="Arial"/>
          <w:bCs/>
          <w:kern w:val="0"/>
          <w:sz w:val="24"/>
          <w:szCs w:val="24"/>
          <w:lang w:val="en-US" w:bidi="bn-BD"/>
        </w:rPr>
        <w:t>The FMCG competition is changing due to technological developments. E-commerce, digital marketing, artificial intelligence and data analytics are necessary to enhance customer interactions and efficiency. Unilever has increased online capabilities in order to facilitate omnichannel and improve responsiveness (Unilever, 2024a). Data analytics enhances the forecasting, promo</w:t>
      </w:r>
      <w:r>
        <w:rPr>
          <w:rFonts w:ascii="Arial" w:eastAsia="Aptos" w:hAnsi="Arial" w:cs="Arial"/>
          <w:bCs/>
          <w:kern w:val="0"/>
          <w:sz w:val="24"/>
          <w:szCs w:val="24"/>
          <w:lang w:val="en-US" w:bidi="bn-BD"/>
        </w:rPr>
        <w:t>tions and inventory management.</w:t>
      </w:r>
    </w:p>
    <w:p w14:paraId="52E2BCC9" w14:textId="123F3D56" w:rsidR="00AA48EB" w:rsidRPr="005E7AB5" w:rsidRDefault="00AA48EB" w:rsidP="00750398">
      <w:pPr>
        <w:spacing w:line="360" w:lineRule="auto"/>
        <w:jc w:val="both"/>
        <w:rPr>
          <w:rFonts w:ascii="Arial" w:eastAsia="Aptos" w:hAnsi="Arial" w:cs="Arial"/>
          <w:bCs/>
          <w:kern w:val="0"/>
          <w:sz w:val="24"/>
          <w:szCs w:val="24"/>
          <w:lang w:val="en-US" w:bidi="bn-BD"/>
        </w:rPr>
      </w:pPr>
      <w:r w:rsidRPr="005E7AB5">
        <w:rPr>
          <w:rFonts w:ascii="Arial" w:eastAsia="Aptos" w:hAnsi="Arial" w:cs="Arial"/>
          <w:bCs/>
          <w:kern w:val="0"/>
          <w:sz w:val="24"/>
          <w:szCs w:val="24"/>
          <w:lang w:val="en-US" w:bidi="bn-BD"/>
        </w:rPr>
        <w:t xml:space="preserve">But technology reduces barriers to entry, which means that digitally native brands can use direct-to-consumer and social media to compete </w:t>
      </w:r>
      <w:proofErr w:type="spellStart"/>
      <w:r>
        <w:rPr>
          <w:rFonts w:ascii="Arial" w:eastAsia="Aptos" w:hAnsi="Arial" w:cs="Arial"/>
          <w:bCs/>
          <w:kern w:val="0"/>
          <w:sz w:val="24"/>
          <w:szCs w:val="24"/>
          <w:lang w:val="en-US" w:bidi="bn-BD"/>
        </w:rPr>
        <w:t>favourably</w:t>
      </w:r>
      <w:proofErr w:type="spellEnd"/>
      <w:r w:rsidRPr="005E7AB5">
        <w:rPr>
          <w:rFonts w:ascii="Arial" w:eastAsia="Aptos" w:hAnsi="Arial" w:cs="Arial"/>
          <w:bCs/>
          <w:kern w:val="0"/>
          <w:sz w:val="24"/>
          <w:szCs w:val="24"/>
          <w:lang w:val="en-US" w:bidi="bn-BD"/>
        </w:rPr>
        <w:t xml:space="preserve"> (McKinsey &amp; Company, 2024). This decreases the economies of scale and escalates competition. Unilever needs to integrate scale and agility, innovation and data-driven decisions. There should be constant investment </w:t>
      </w:r>
      <w:r>
        <w:rPr>
          <w:rFonts w:ascii="Arial" w:eastAsia="Aptos" w:hAnsi="Arial" w:cs="Arial"/>
          <w:bCs/>
          <w:kern w:val="0"/>
          <w:sz w:val="24"/>
          <w:szCs w:val="24"/>
          <w:lang w:val="en-US" w:bidi="bn-BD"/>
        </w:rPr>
        <w:t>in</w:t>
      </w:r>
      <w:r w:rsidRPr="005E7AB5">
        <w:rPr>
          <w:rFonts w:ascii="Arial" w:eastAsia="Aptos" w:hAnsi="Arial" w:cs="Arial"/>
          <w:bCs/>
          <w:kern w:val="0"/>
          <w:sz w:val="24"/>
          <w:szCs w:val="24"/>
          <w:lang w:val="en-US" w:bidi="bn-BD"/>
        </w:rPr>
        <w:t xml:space="preserve"> technology in order to remain competitive and keep pace with the m</w:t>
      </w:r>
      <w:r>
        <w:rPr>
          <w:rFonts w:ascii="Arial" w:eastAsia="Aptos" w:hAnsi="Arial" w:cs="Arial"/>
          <w:bCs/>
          <w:kern w:val="0"/>
          <w:sz w:val="24"/>
          <w:szCs w:val="24"/>
          <w:lang w:val="en-US" w:bidi="bn-BD"/>
        </w:rPr>
        <w:t>arket.</w:t>
      </w:r>
    </w:p>
    <w:p w14:paraId="5F713F3D" w14:textId="77777777" w:rsidR="00AA48EB" w:rsidRPr="0013748A" w:rsidRDefault="00AA48EB" w:rsidP="00750398">
      <w:pPr>
        <w:spacing w:line="360" w:lineRule="auto"/>
        <w:jc w:val="both"/>
        <w:rPr>
          <w:rFonts w:ascii="Arial" w:eastAsia="Aptos" w:hAnsi="Arial" w:cs="Arial"/>
          <w:b/>
          <w:bCs/>
          <w:kern w:val="0"/>
          <w:sz w:val="24"/>
          <w:szCs w:val="24"/>
          <w:lang w:val="en-US" w:bidi="bn-BD"/>
        </w:rPr>
      </w:pPr>
      <w:r>
        <w:rPr>
          <w:rFonts w:ascii="Arial" w:eastAsia="Aptos" w:hAnsi="Arial" w:cs="Arial"/>
          <w:b/>
          <w:bCs/>
          <w:kern w:val="0"/>
          <w:sz w:val="24"/>
          <w:szCs w:val="24"/>
          <w:lang w:val="en-US" w:bidi="bn-BD"/>
        </w:rPr>
        <w:t>2.1.5 Environmental Factors</w:t>
      </w:r>
    </w:p>
    <w:p w14:paraId="1693E74C" w14:textId="3BF8E9C3" w:rsidR="00AA48EB" w:rsidRPr="005E7AB5" w:rsidRDefault="00AA48EB" w:rsidP="00750398">
      <w:pPr>
        <w:spacing w:line="360" w:lineRule="auto"/>
        <w:jc w:val="both"/>
        <w:rPr>
          <w:rFonts w:ascii="Arial" w:eastAsia="Aptos" w:hAnsi="Arial" w:cs="Arial"/>
          <w:bCs/>
          <w:kern w:val="0"/>
          <w:sz w:val="24"/>
          <w:szCs w:val="24"/>
          <w:lang w:val="en-US" w:bidi="bn-BD"/>
        </w:rPr>
      </w:pPr>
      <w:r w:rsidRPr="005E7AB5">
        <w:rPr>
          <w:rFonts w:ascii="Arial" w:eastAsia="Aptos" w:hAnsi="Arial" w:cs="Arial"/>
          <w:bCs/>
          <w:kern w:val="0"/>
          <w:sz w:val="24"/>
          <w:szCs w:val="24"/>
          <w:lang w:val="en-US" w:bidi="bn-BD"/>
        </w:rPr>
        <w:t xml:space="preserve">Problems of the environment </w:t>
      </w:r>
      <w:r>
        <w:rPr>
          <w:rFonts w:ascii="Arial" w:eastAsia="Aptos" w:hAnsi="Arial" w:cs="Arial"/>
          <w:bCs/>
          <w:kern w:val="0"/>
          <w:sz w:val="24"/>
          <w:szCs w:val="24"/>
          <w:lang w:val="en-US" w:bidi="bn-BD"/>
        </w:rPr>
        <w:t xml:space="preserve">have </w:t>
      </w:r>
      <w:r w:rsidRPr="005E7AB5">
        <w:rPr>
          <w:rFonts w:ascii="Arial" w:eastAsia="Aptos" w:hAnsi="Arial" w:cs="Arial"/>
          <w:bCs/>
          <w:kern w:val="0"/>
          <w:sz w:val="24"/>
          <w:szCs w:val="24"/>
          <w:lang w:val="en-US" w:bidi="bn-BD"/>
        </w:rPr>
        <w:t>become a more important part of the strategy of Unilever. The climate change impacts agricultural inputs like palm oil, tea, cocoa and dairy that lead to disruptions in supply and cost volatility (IPCC, 2023). Consumer preferences are also affected by environmental issues, especially the sustainability factor, plastic waste and carbon emissions.</w:t>
      </w:r>
    </w:p>
    <w:p w14:paraId="431D03CF" w14:textId="77777777" w:rsidR="00AA48EB" w:rsidRPr="005E7AB5" w:rsidRDefault="00AA48EB" w:rsidP="00750398">
      <w:pPr>
        <w:spacing w:line="360" w:lineRule="auto"/>
        <w:jc w:val="both"/>
        <w:rPr>
          <w:rFonts w:ascii="Arial" w:eastAsia="Aptos" w:hAnsi="Arial" w:cs="Arial"/>
          <w:bCs/>
          <w:kern w:val="0"/>
          <w:sz w:val="24"/>
          <w:szCs w:val="24"/>
          <w:lang w:val="en-US" w:bidi="bn-BD"/>
        </w:rPr>
      </w:pPr>
      <w:r w:rsidRPr="005E7AB5">
        <w:rPr>
          <w:rFonts w:ascii="Arial" w:eastAsia="Aptos" w:hAnsi="Arial" w:cs="Arial"/>
          <w:bCs/>
          <w:kern w:val="0"/>
          <w:sz w:val="24"/>
          <w:szCs w:val="24"/>
          <w:lang w:val="en-US" w:bidi="bn-BD"/>
        </w:rPr>
        <w:t xml:space="preserve">The regulatory pressure is on the increase due to policies like the UK Plastic Packaging Tax that drives the reduction of plastic consumption and high recycling rates (HM Revenue &amp; Customs, 2024). Unilever has also as a goal achieved sustainability through circular packaging, yet it is still an expensive and complicated task. Operational resilience, investor expectations and brand differentiation have become closely connected with environmental performance and sustainability is becoming a strategic requirement </w:t>
      </w:r>
      <w:r>
        <w:rPr>
          <w:rFonts w:ascii="Arial" w:eastAsia="Aptos" w:hAnsi="Arial" w:cs="Arial"/>
          <w:bCs/>
          <w:kern w:val="0"/>
          <w:sz w:val="24"/>
          <w:szCs w:val="24"/>
          <w:lang w:val="en-US" w:bidi="bn-BD"/>
        </w:rPr>
        <w:t>and not an optional initiative.</w:t>
      </w:r>
    </w:p>
    <w:p w14:paraId="4B27F4B0" w14:textId="77777777" w:rsidR="00AA48EB" w:rsidRPr="0013748A" w:rsidRDefault="00AA48EB" w:rsidP="00750398">
      <w:pPr>
        <w:spacing w:line="360" w:lineRule="auto"/>
        <w:jc w:val="both"/>
        <w:rPr>
          <w:rFonts w:ascii="Arial" w:eastAsia="Aptos" w:hAnsi="Arial" w:cs="Arial"/>
          <w:b/>
          <w:bCs/>
          <w:kern w:val="0"/>
          <w:sz w:val="24"/>
          <w:szCs w:val="24"/>
          <w:lang w:val="en-US" w:bidi="bn-BD"/>
        </w:rPr>
      </w:pPr>
      <w:r>
        <w:rPr>
          <w:rFonts w:ascii="Arial" w:eastAsia="Aptos" w:hAnsi="Arial" w:cs="Arial"/>
          <w:b/>
          <w:bCs/>
          <w:kern w:val="0"/>
          <w:sz w:val="24"/>
          <w:szCs w:val="24"/>
          <w:lang w:val="en-US" w:bidi="bn-BD"/>
        </w:rPr>
        <w:t>2.1.6 Legal Factors</w:t>
      </w:r>
    </w:p>
    <w:p w14:paraId="56E2F1A2" w14:textId="06CBC23B" w:rsidR="00AA48EB" w:rsidRPr="005E7AB5" w:rsidRDefault="00AA48EB" w:rsidP="00750398">
      <w:pPr>
        <w:spacing w:line="360" w:lineRule="auto"/>
        <w:jc w:val="both"/>
        <w:rPr>
          <w:rFonts w:ascii="Arial" w:eastAsia="Aptos" w:hAnsi="Arial" w:cs="Arial"/>
          <w:bCs/>
          <w:kern w:val="0"/>
          <w:sz w:val="24"/>
          <w:szCs w:val="24"/>
          <w:lang w:val="en-US" w:bidi="bn-BD"/>
        </w:rPr>
      </w:pPr>
      <w:r w:rsidRPr="005E7AB5">
        <w:rPr>
          <w:rFonts w:ascii="Arial" w:eastAsia="Aptos" w:hAnsi="Arial" w:cs="Arial"/>
          <w:bCs/>
          <w:kern w:val="0"/>
          <w:sz w:val="24"/>
          <w:szCs w:val="24"/>
          <w:lang w:val="en-US" w:bidi="bn-BD"/>
        </w:rPr>
        <w:lastRenderedPageBreak/>
        <w:t xml:space="preserve">Unilever is greatly affected by legal factors because of its international operations. The company should follow the laws regarding product safety, labelling, competition, </w:t>
      </w:r>
      <w:proofErr w:type="spellStart"/>
      <w:r w:rsidRPr="005E7AB5">
        <w:rPr>
          <w:rFonts w:ascii="Arial" w:eastAsia="Aptos" w:hAnsi="Arial" w:cs="Arial"/>
          <w:bCs/>
          <w:kern w:val="0"/>
          <w:sz w:val="24"/>
          <w:szCs w:val="24"/>
          <w:lang w:val="en-US" w:bidi="bn-BD"/>
        </w:rPr>
        <w:t>labour</w:t>
      </w:r>
      <w:proofErr w:type="spellEnd"/>
      <w:r w:rsidRPr="005E7AB5">
        <w:rPr>
          <w:rFonts w:ascii="Arial" w:eastAsia="Aptos" w:hAnsi="Arial" w:cs="Arial"/>
          <w:bCs/>
          <w:kern w:val="0"/>
          <w:sz w:val="24"/>
          <w:szCs w:val="24"/>
          <w:lang w:val="en-US" w:bidi="bn-BD"/>
        </w:rPr>
        <w:t xml:space="preserve"> regulation and environmental reporting. The brand trust can be destroyed easily in the markets of non-compliance because of the high consumption levels of the products in the FMCG markets. Most recent laws (ESG disclosure policies and modern slavery) have heightened the compliance costs (UK Government, 2024; European Commission, 2023).</w:t>
      </w:r>
    </w:p>
    <w:p w14:paraId="5B5CAAB1" w14:textId="0CEBEAE4" w:rsidR="00AA48EB" w:rsidRPr="005E7AB5" w:rsidRDefault="00AA48EB" w:rsidP="00750398">
      <w:pPr>
        <w:spacing w:line="360" w:lineRule="auto"/>
        <w:jc w:val="both"/>
        <w:rPr>
          <w:rFonts w:ascii="Arial" w:eastAsia="Aptos" w:hAnsi="Arial" w:cs="Arial"/>
          <w:bCs/>
          <w:kern w:val="0"/>
          <w:sz w:val="24"/>
          <w:szCs w:val="24"/>
          <w:lang w:val="en-US" w:bidi="bn-BD"/>
        </w:rPr>
      </w:pPr>
      <w:r>
        <w:rPr>
          <w:rFonts w:ascii="Arial" w:eastAsia="Aptos" w:hAnsi="Arial" w:cs="Arial"/>
          <w:bCs/>
          <w:kern w:val="0"/>
          <w:sz w:val="24"/>
          <w:szCs w:val="24"/>
          <w:lang w:val="en-US" w:bidi="bn-BD"/>
        </w:rPr>
        <w:t>The safety</w:t>
      </w:r>
      <w:r w:rsidRPr="005E7AB5">
        <w:rPr>
          <w:rFonts w:ascii="Arial" w:eastAsia="Aptos" w:hAnsi="Arial" w:cs="Arial"/>
          <w:bCs/>
          <w:kern w:val="0"/>
          <w:sz w:val="24"/>
          <w:szCs w:val="24"/>
          <w:lang w:val="en-US" w:bidi="bn-BD"/>
        </w:rPr>
        <w:t xml:space="preserve"> of data is also of great concern as digital marketing continues to grow. Laws like UK GDPR stipulate disclosure, permission and safe processing of consumer information (Information Commissioner's Office, 2024). In the case of Unilever, it is not only that legal compliance is required to prevent punishment; it is also because it ensures credibility and trust of those interested in </w:t>
      </w:r>
      <w:r>
        <w:rPr>
          <w:rFonts w:ascii="Arial" w:eastAsia="Aptos" w:hAnsi="Arial" w:cs="Arial"/>
          <w:bCs/>
          <w:kern w:val="0"/>
          <w:sz w:val="24"/>
          <w:szCs w:val="24"/>
          <w:lang w:val="en-US" w:bidi="bn-BD"/>
        </w:rPr>
        <w:t>the company all over the world.</w:t>
      </w:r>
    </w:p>
    <w:p w14:paraId="0D0D3626" w14:textId="77777777" w:rsidR="00AA48EB" w:rsidRPr="0013748A" w:rsidRDefault="00AA48EB" w:rsidP="00750398">
      <w:pPr>
        <w:spacing w:line="360" w:lineRule="auto"/>
        <w:jc w:val="both"/>
        <w:rPr>
          <w:rFonts w:ascii="Arial" w:eastAsia="Aptos" w:hAnsi="Arial" w:cs="Arial"/>
          <w:b/>
          <w:bCs/>
          <w:kern w:val="0"/>
          <w:sz w:val="24"/>
          <w:szCs w:val="24"/>
          <w:lang w:val="en-US" w:bidi="bn-BD"/>
        </w:rPr>
      </w:pPr>
      <w:r w:rsidRPr="0013748A">
        <w:rPr>
          <w:rFonts w:ascii="Arial" w:eastAsia="Aptos" w:hAnsi="Arial" w:cs="Arial"/>
          <w:b/>
          <w:bCs/>
          <w:kern w:val="0"/>
          <w:sz w:val="24"/>
          <w:szCs w:val="24"/>
          <w:lang w:val="en-US" w:bidi="bn-BD"/>
        </w:rPr>
        <w:t>2.1.7 PESTEL</w:t>
      </w:r>
      <w:r>
        <w:rPr>
          <w:rFonts w:ascii="Arial" w:eastAsia="Aptos" w:hAnsi="Arial" w:cs="Arial"/>
          <w:b/>
          <w:bCs/>
          <w:kern w:val="0"/>
          <w:sz w:val="24"/>
          <w:szCs w:val="24"/>
          <w:lang w:val="en-US" w:bidi="bn-BD"/>
        </w:rPr>
        <w:t xml:space="preserve"> Analysis Strategy Implication.</w:t>
      </w:r>
    </w:p>
    <w:p w14:paraId="4EE30E38" w14:textId="77777777" w:rsidR="00AA48EB" w:rsidRPr="005E7AB5" w:rsidRDefault="00AA48EB" w:rsidP="00750398">
      <w:pPr>
        <w:spacing w:line="360" w:lineRule="auto"/>
        <w:jc w:val="both"/>
        <w:rPr>
          <w:rFonts w:ascii="Arial" w:eastAsia="Aptos" w:hAnsi="Arial" w:cs="Arial"/>
          <w:bCs/>
          <w:kern w:val="0"/>
          <w:sz w:val="24"/>
          <w:szCs w:val="24"/>
          <w:lang w:val="en-US" w:bidi="bn-BD"/>
        </w:rPr>
      </w:pPr>
      <w:r w:rsidRPr="005E7AB5">
        <w:rPr>
          <w:rFonts w:ascii="Arial" w:eastAsia="Aptos" w:hAnsi="Arial" w:cs="Arial"/>
          <w:bCs/>
          <w:kern w:val="0"/>
          <w:sz w:val="24"/>
          <w:szCs w:val="24"/>
          <w:lang w:val="en-US" w:bidi="bn-BD"/>
        </w:rPr>
        <w:t xml:space="preserve">The analysis shows that Unilever is in a dynamic and complex environment that is typified by regulatory pressure, economic uncertainty, technology disruption and increased stakeholder expectations. The main strategic implications are the necessity to enhance the resilience of the supply chain to any geopolitical and environmental threats, to invest in digital innovations to respond to the changing consumer </w:t>
      </w:r>
      <w:proofErr w:type="spellStart"/>
      <w:r w:rsidRPr="005E7AB5">
        <w:rPr>
          <w:rFonts w:ascii="Arial" w:eastAsia="Aptos" w:hAnsi="Arial" w:cs="Arial"/>
          <w:bCs/>
          <w:kern w:val="0"/>
          <w:sz w:val="24"/>
          <w:szCs w:val="24"/>
          <w:lang w:val="en-US" w:bidi="bn-BD"/>
        </w:rPr>
        <w:t>behaviour</w:t>
      </w:r>
      <w:proofErr w:type="spellEnd"/>
      <w:r w:rsidRPr="005E7AB5">
        <w:rPr>
          <w:rFonts w:ascii="Arial" w:eastAsia="Aptos" w:hAnsi="Arial" w:cs="Arial"/>
          <w:bCs/>
          <w:kern w:val="0"/>
          <w:sz w:val="24"/>
          <w:szCs w:val="24"/>
          <w:lang w:val="en-US" w:bidi="bn-BD"/>
        </w:rPr>
        <w:t>, to remain portfolio-focused to secure the margin, and to consider sustainability as a component of the core strategy. All in all, Unilever has no option but to be flexible and adaptive to stay competitive as the global market changes.</w:t>
      </w:r>
    </w:p>
    <w:p w14:paraId="77A55FF2"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2.3 Internal Environment Analysis.</w:t>
      </w:r>
    </w:p>
    <w:p w14:paraId="1E5EAC72"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Important Resources and Capabilities.</w:t>
      </w:r>
    </w:p>
    <w:p w14:paraId="310A49B0"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 xml:space="preserve">Resource-based theory (Barney, 1991) assumes that competitive advantages that are sustainable are based on resources that are valuable, rare, inimitable and embedded in an </w:t>
      </w:r>
      <w:proofErr w:type="spellStart"/>
      <w:r w:rsidRPr="00D32803">
        <w:rPr>
          <w:rFonts w:ascii="Arial" w:eastAsia="Aptos" w:hAnsi="Arial" w:cs="Arial"/>
          <w:bCs/>
          <w:kern w:val="0"/>
          <w:sz w:val="24"/>
          <w:szCs w:val="24"/>
          <w:lang w:val="en-US" w:bidi="bn-BD"/>
        </w:rPr>
        <w:t>organisation</w:t>
      </w:r>
      <w:proofErr w:type="spellEnd"/>
      <w:r w:rsidRPr="00D32803">
        <w:rPr>
          <w:rFonts w:ascii="Arial" w:eastAsia="Aptos" w:hAnsi="Arial" w:cs="Arial"/>
          <w:bCs/>
          <w:kern w:val="0"/>
          <w:sz w:val="24"/>
          <w:szCs w:val="24"/>
          <w:lang w:val="en-US" w:bidi="bn-BD"/>
        </w:rPr>
        <w:t xml:space="preserve">. The resource base of Unilever is </w:t>
      </w:r>
      <w:proofErr w:type="spellStart"/>
      <w:r w:rsidRPr="00D32803">
        <w:rPr>
          <w:rFonts w:ascii="Arial" w:eastAsia="Aptos" w:hAnsi="Arial" w:cs="Arial"/>
          <w:bCs/>
          <w:kern w:val="0"/>
          <w:sz w:val="24"/>
          <w:szCs w:val="24"/>
          <w:lang w:val="en-US" w:bidi="bn-BD"/>
        </w:rPr>
        <w:t>characterised</w:t>
      </w:r>
      <w:proofErr w:type="spellEnd"/>
      <w:r w:rsidRPr="00D32803">
        <w:rPr>
          <w:rFonts w:ascii="Arial" w:eastAsia="Aptos" w:hAnsi="Arial" w:cs="Arial"/>
          <w:bCs/>
          <w:kern w:val="0"/>
          <w:sz w:val="24"/>
          <w:szCs w:val="24"/>
          <w:lang w:val="en-US" w:bidi="bn-BD"/>
        </w:rPr>
        <w:t xml:space="preserve"> by the aspect of scale and embedded capability.</w:t>
      </w:r>
    </w:p>
    <w:p w14:paraId="72B9A838"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Tangible Resources:</w:t>
      </w:r>
    </w:p>
    <w:p w14:paraId="577770E4"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 xml:space="preserve">With over 270 manufacturing plants across the globe (Unilever, 2023a), Unilever has economic diversification and economies of scale. Cash flow available to capital </w:t>
      </w:r>
      <w:r w:rsidRPr="00D32803">
        <w:rPr>
          <w:rFonts w:ascii="Arial" w:eastAsia="Aptos" w:hAnsi="Arial" w:cs="Arial"/>
          <w:bCs/>
          <w:kern w:val="0"/>
          <w:sz w:val="24"/>
          <w:szCs w:val="24"/>
          <w:lang w:val="en-US" w:bidi="bn-BD"/>
        </w:rPr>
        <w:lastRenderedPageBreak/>
        <w:t>investment, acquisitions and shareholders was EUR 7.9 billion in 2022. The connections established with international retail chains are the means of an effective route-to-market.</w:t>
      </w:r>
    </w:p>
    <w:p w14:paraId="1C32C11C"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Intangible Resources:</w:t>
      </w:r>
    </w:p>
    <w:p w14:paraId="62270053"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The most strategically important intangible resource of the firm is the brand portfolio. There are recognition and loyalty, as well as premium prices, created by brands like Dove that are worth EUR 6.8 billion (Brand Finance, 2023). Differentiation is enhanced by intellectual property in formulations, packaging innovations and sustainability processes. Corporate reputation (and sustainability leadership in particular) is a boost to legitimacy among regulators, NGOs and customers.</w:t>
      </w:r>
    </w:p>
    <w:p w14:paraId="0D444FFD"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Human Resources:</w:t>
      </w:r>
    </w:p>
    <w:p w14:paraId="10BD5C9A"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Cs/>
          <w:kern w:val="0"/>
          <w:sz w:val="24"/>
          <w:szCs w:val="24"/>
          <w:lang w:val="en-US" w:bidi="bn-BD"/>
        </w:rPr>
        <w:t xml:space="preserve">Decades of managerial experience give an </w:t>
      </w:r>
      <w:proofErr w:type="spellStart"/>
      <w:r w:rsidRPr="00D32803">
        <w:rPr>
          <w:rFonts w:ascii="Arial" w:eastAsia="Aptos" w:hAnsi="Arial" w:cs="Arial"/>
          <w:bCs/>
          <w:kern w:val="0"/>
          <w:sz w:val="24"/>
          <w:szCs w:val="24"/>
          <w:lang w:val="en-US" w:bidi="bn-BD"/>
        </w:rPr>
        <w:t>organisation</w:t>
      </w:r>
      <w:proofErr w:type="spellEnd"/>
      <w:r w:rsidRPr="00D32803">
        <w:rPr>
          <w:rFonts w:ascii="Arial" w:eastAsia="Aptos" w:hAnsi="Arial" w:cs="Arial"/>
          <w:bCs/>
          <w:kern w:val="0"/>
          <w:sz w:val="24"/>
          <w:szCs w:val="24"/>
          <w:lang w:val="en-US" w:bidi="bn-BD"/>
        </w:rPr>
        <w:t xml:space="preserve"> depth. The </w:t>
      </w:r>
      <w:proofErr w:type="spellStart"/>
      <w:r w:rsidRPr="00D32803">
        <w:rPr>
          <w:rFonts w:ascii="Arial" w:eastAsia="Aptos" w:hAnsi="Arial" w:cs="Arial"/>
          <w:bCs/>
          <w:kern w:val="0"/>
          <w:sz w:val="24"/>
          <w:szCs w:val="24"/>
          <w:lang w:val="en-US" w:bidi="bn-BD"/>
        </w:rPr>
        <w:t>organisation</w:t>
      </w:r>
      <w:proofErr w:type="spellEnd"/>
      <w:r w:rsidRPr="00D32803">
        <w:rPr>
          <w:rFonts w:ascii="Arial" w:eastAsia="Aptos" w:hAnsi="Arial" w:cs="Arial"/>
          <w:bCs/>
          <w:kern w:val="0"/>
          <w:sz w:val="24"/>
          <w:szCs w:val="24"/>
          <w:lang w:val="en-US" w:bidi="bn-BD"/>
        </w:rPr>
        <w:t xml:space="preserve"> has about 6,000 employees in the R&amp;D team who have been assisting product innovation across global </w:t>
      </w:r>
      <w:proofErr w:type="spellStart"/>
      <w:r w:rsidRPr="00D32803">
        <w:rPr>
          <w:rFonts w:ascii="Arial" w:eastAsia="Aptos" w:hAnsi="Arial" w:cs="Arial"/>
          <w:bCs/>
          <w:kern w:val="0"/>
          <w:sz w:val="24"/>
          <w:szCs w:val="24"/>
          <w:lang w:val="en-US" w:bidi="bn-BD"/>
        </w:rPr>
        <w:t>centres</w:t>
      </w:r>
      <w:proofErr w:type="spellEnd"/>
      <w:r w:rsidRPr="00D32803">
        <w:rPr>
          <w:rFonts w:ascii="Arial" w:eastAsia="Aptos" w:hAnsi="Arial" w:cs="Arial"/>
          <w:bCs/>
          <w:kern w:val="0"/>
          <w:sz w:val="24"/>
          <w:szCs w:val="24"/>
          <w:lang w:val="en-US" w:bidi="bn-BD"/>
        </w:rPr>
        <w:t xml:space="preserve"> (Unilever, 2023a). The local management teams can provide contextual intelligence that is important in responsiveness to emerging markets.</w:t>
      </w:r>
    </w:p>
    <w:p w14:paraId="4B96428E"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Core Competencies</w:t>
      </w:r>
    </w:p>
    <w:p w14:paraId="5E842DC8"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 xml:space="preserve">Prahalad and Hamel (1990) understand core competencies as integrative </w:t>
      </w:r>
      <w:proofErr w:type="spellStart"/>
      <w:r w:rsidRPr="00D32803">
        <w:rPr>
          <w:rFonts w:ascii="Arial" w:eastAsia="Aptos" w:hAnsi="Arial" w:cs="Arial"/>
          <w:bCs/>
          <w:kern w:val="0"/>
          <w:sz w:val="24"/>
          <w:szCs w:val="24"/>
          <w:lang w:val="en-US" w:bidi="bn-BD"/>
        </w:rPr>
        <w:t>organisational</w:t>
      </w:r>
      <w:proofErr w:type="spellEnd"/>
      <w:r w:rsidRPr="00D32803">
        <w:rPr>
          <w:rFonts w:ascii="Arial" w:eastAsia="Aptos" w:hAnsi="Arial" w:cs="Arial"/>
          <w:bCs/>
          <w:kern w:val="0"/>
          <w:sz w:val="24"/>
          <w:szCs w:val="24"/>
          <w:lang w:val="en-US" w:bidi="bn-BD"/>
        </w:rPr>
        <w:t xml:space="preserve"> learning. The key competencies of Unilever are:</w:t>
      </w:r>
    </w:p>
    <w:p w14:paraId="0FDD3697" w14:textId="77777777" w:rsidR="00AA48EB" w:rsidRPr="00D32803" w:rsidRDefault="00AA48EB" w:rsidP="00AA48EB">
      <w:pPr>
        <w:numPr>
          <w:ilvl w:val="0"/>
          <w:numId w:val="15"/>
        </w:numPr>
        <w:spacing w:line="360" w:lineRule="auto"/>
        <w:contextualSpacing/>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Brand Building Expertise: Extensive experience in positioning, advertising and global brand stewardship, in more than one category (Kapferer, 2012).</w:t>
      </w:r>
    </w:p>
    <w:p w14:paraId="3483E5AB" w14:textId="77777777" w:rsidR="00AA48EB" w:rsidRPr="00D32803" w:rsidRDefault="00AA48EB" w:rsidP="00AA48EB">
      <w:pPr>
        <w:numPr>
          <w:ilvl w:val="0"/>
          <w:numId w:val="15"/>
        </w:numPr>
        <w:spacing w:line="360" w:lineRule="auto"/>
        <w:contextualSpacing/>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Global Distribution Excellence: Advanced route-to-market solutions and retailer alliances in both the developed and developing economies.</w:t>
      </w:r>
    </w:p>
    <w:p w14:paraId="430EAE68" w14:textId="77777777" w:rsidR="00AA48EB" w:rsidRPr="00D32803" w:rsidRDefault="00AA48EB" w:rsidP="00AA48EB">
      <w:pPr>
        <w:numPr>
          <w:ilvl w:val="0"/>
          <w:numId w:val="15"/>
        </w:numPr>
        <w:spacing w:line="360" w:lineRule="auto"/>
        <w:contextualSpacing/>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Sustainable Innovation Integration: Incorporating sustainability in product design, sourcing and packaging.</w:t>
      </w:r>
    </w:p>
    <w:p w14:paraId="2545AB18" w14:textId="77777777" w:rsidR="00AA48EB" w:rsidRPr="00D32803" w:rsidRDefault="00AA48EB" w:rsidP="00AA48EB">
      <w:pPr>
        <w:numPr>
          <w:ilvl w:val="0"/>
          <w:numId w:val="15"/>
        </w:numPr>
        <w:spacing w:line="360" w:lineRule="auto"/>
        <w:contextualSpacing/>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Category and Consumer Insight: Capabilities in advanced analytics and category management</w:t>
      </w:r>
      <w:r>
        <w:rPr>
          <w:rFonts w:ascii="Arial" w:eastAsia="Aptos" w:hAnsi="Arial" w:cs="Arial"/>
          <w:bCs/>
          <w:kern w:val="0"/>
          <w:sz w:val="24"/>
          <w:szCs w:val="24"/>
          <w:lang w:val="en-US" w:bidi="bn-BD"/>
        </w:rPr>
        <w:t>,</w:t>
      </w:r>
      <w:r w:rsidRPr="00D32803">
        <w:rPr>
          <w:rFonts w:ascii="Arial" w:eastAsia="Aptos" w:hAnsi="Arial" w:cs="Arial"/>
          <w:bCs/>
          <w:kern w:val="0"/>
          <w:sz w:val="24"/>
          <w:szCs w:val="24"/>
          <w:lang w:val="en-US" w:bidi="bn-BD"/>
        </w:rPr>
        <w:t xml:space="preserve"> and providing differentiated value propositions.</w:t>
      </w:r>
    </w:p>
    <w:p w14:paraId="7CC16CFD"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2.4 VRIO Framework Analysis</w:t>
      </w:r>
    </w:p>
    <w:p w14:paraId="237F2BBC" w14:textId="77777777" w:rsidR="00AA48EB" w:rsidRPr="00D32803" w:rsidRDefault="00AA48EB" w:rsidP="00AA48EB">
      <w:pPr>
        <w:spacing w:line="360" w:lineRule="auto"/>
        <w:jc w:val="both"/>
        <w:rPr>
          <w:rFonts w:ascii="Arial" w:eastAsia="Aptos" w:hAnsi="Arial" w:cs="Arial"/>
          <w:kern w:val="0"/>
          <w:sz w:val="24"/>
          <w:szCs w:val="24"/>
          <w:lang w:val="en-US" w:bidi="bn-BD"/>
        </w:rPr>
      </w:pPr>
      <w:r w:rsidRPr="00D32803">
        <w:rPr>
          <w:rFonts w:ascii="Arial" w:eastAsia="Aptos" w:hAnsi="Arial" w:cs="Arial"/>
          <w:bCs/>
          <w:kern w:val="0"/>
          <w:sz w:val="24"/>
          <w:szCs w:val="24"/>
          <w:lang w:val="en-US" w:bidi="bn-BD"/>
        </w:rPr>
        <w:t>The capability to produce sustainable competitive advantage of resources is assessed in a systematic way by the VRIO framework (Barney, 1991).</w:t>
      </w:r>
    </w:p>
    <w:tbl>
      <w:tblPr>
        <w:tblStyle w:val="TableGrid1"/>
        <w:tblW w:w="10516" w:type="dxa"/>
        <w:tblInd w:w="-725" w:type="dxa"/>
        <w:tblLook w:val="04A0" w:firstRow="1" w:lastRow="0" w:firstColumn="1" w:lastColumn="0" w:noHBand="0" w:noVBand="1"/>
      </w:tblPr>
      <w:tblGrid>
        <w:gridCol w:w="3018"/>
        <w:gridCol w:w="1217"/>
        <w:gridCol w:w="1082"/>
        <w:gridCol w:w="1377"/>
        <w:gridCol w:w="1406"/>
        <w:gridCol w:w="2416"/>
      </w:tblGrid>
      <w:tr w:rsidR="00AA48EB" w:rsidRPr="00D32803" w14:paraId="27626A54" w14:textId="77777777" w:rsidTr="004434E9">
        <w:trPr>
          <w:trHeight w:val="1004"/>
        </w:trPr>
        <w:tc>
          <w:tcPr>
            <w:tcW w:w="3018" w:type="dxa"/>
            <w:hideMark/>
          </w:tcPr>
          <w:p w14:paraId="60BD8EA8" w14:textId="77777777" w:rsidR="00AA48EB" w:rsidRPr="00D32803" w:rsidRDefault="00AA48EB" w:rsidP="004434E9">
            <w:pPr>
              <w:spacing w:line="360" w:lineRule="auto"/>
              <w:jc w:val="center"/>
              <w:rPr>
                <w:rFonts w:ascii="Arial" w:eastAsia="Aptos" w:hAnsi="Arial" w:cs="Arial"/>
                <w:b/>
                <w:bCs/>
                <w:sz w:val="24"/>
                <w:szCs w:val="24"/>
              </w:rPr>
            </w:pPr>
            <w:r w:rsidRPr="00D32803">
              <w:rPr>
                <w:rFonts w:ascii="Arial" w:eastAsia="Aptos" w:hAnsi="Arial" w:cs="Arial"/>
                <w:b/>
                <w:bCs/>
                <w:sz w:val="24"/>
                <w:szCs w:val="24"/>
              </w:rPr>
              <w:lastRenderedPageBreak/>
              <w:t>Resource/Capability</w:t>
            </w:r>
          </w:p>
        </w:tc>
        <w:tc>
          <w:tcPr>
            <w:tcW w:w="0" w:type="auto"/>
            <w:hideMark/>
          </w:tcPr>
          <w:p w14:paraId="6316A82F" w14:textId="77777777" w:rsidR="00AA48EB" w:rsidRPr="00D32803" w:rsidRDefault="00AA48EB" w:rsidP="004434E9">
            <w:pPr>
              <w:spacing w:line="360" w:lineRule="auto"/>
              <w:jc w:val="center"/>
              <w:rPr>
                <w:rFonts w:ascii="Arial" w:eastAsia="Aptos" w:hAnsi="Arial" w:cs="Arial"/>
                <w:b/>
                <w:bCs/>
                <w:sz w:val="24"/>
                <w:szCs w:val="24"/>
              </w:rPr>
            </w:pPr>
            <w:r w:rsidRPr="00D32803">
              <w:rPr>
                <w:rFonts w:ascii="Arial" w:eastAsia="Aptos" w:hAnsi="Arial" w:cs="Arial"/>
                <w:b/>
                <w:bCs/>
                <w:sz w:val="24"/>
                <w:szCs w:val="24"/>
              </w:rPr>
              <w:t>Valuable</w:t>
            </w:r>
          </w:p>
        </w:tc>
        <w:tc>
          <w:tcPr>
            <w:tcW w:w="0" w:type="auto"/>
            <w:hideMark/>
          </w:tcPr>
          <w:p w14:paraId="773EF527" w14:textId="77777777" w:rsidR="00AA48EB" w:rsidRPr="00D32803" w:rsidRDefault="00AA48EB" w:rsidP="004434E9">
            <w:pPr>
              <w:spacing w:line="360" w:lineRule="auto"/>
              <w:jc w:val="center"/>
              <w:rPr>
                <w:rFonts w:ascii="Arial" w:eastAsia="Aptos" w:hAnsi="Arial" w:cs="Arial"/>
                <w:b/>
                <w:bCs/>
                <w:sz w:val="24"/>
                <w:szCs w:val="24"/>
              </w:rPr>
            </w:pPr>
            <w:r w:rsidRPr="00D32803">
              <w:rPr>
                <w:rFonts w:ascii="Arial" w:eastAsia="Aptos" w:hAnsi="Arial" w:cs="Arial"/>
                <w:b/>
                <w:bCs/>
                <w:sz w:val="24"/>
                <w:szCs w:val="24"/>
              </w:rPr>
              <w:t>Rare</w:t>
            </w:r>
          </w:p>
        </w:tc>
        <w:tc>
          <w:tcPr>
            <w:tcW w:w="1377" w:type="dxa"/>
            <w:hideMark/>
          </w:tcPr>
          <w:p w14:paraId="454FD074" w14:textId="77777777" w:rsidR="00AA48EB" w:rsidRPr="00D32803" w:rsidRDefault="00AA48EB" w:rsidP="004434E9">
            <w:pPr>
              <w:spacing w:line="360" w:lineRule="auto"/>
              <w:jc w:val="center"/>
              <w:rPr>
                <w:rFonts w:ascii="Arial" w:eastAsia="Aptos" w:hAnsi="Arial" w:cs="Arial"/>
                <w:b/>
                <w:bCs/>
                <w:sz w:val="24"/>
                <w:szCs w:val="24"/>
              </w:rPr>
            </w:pPr>
            <w:r w:rsidRPr="00D32803">
              <w:rPr>
                <w:rFonts w:ascii="Arial" w:eastAsia="Aptos" w:hAnsi="Arial" w:cs="Arial"/>
                <w:b/>
                <w:bCs/>
                <w:sz w:val="24"/>
                <w:szCs w:val="24"/>
              </w:rPr>
              <w:t>Inimitable</w:t>
            </w:r>
          </w:p>
        </w:tc>
        <w:tc>
          <w:tcPr>
            <w:tcW w:w="0" w:type="auto"/>
            <w:hideMark/>
          </w:tcPr>
          <w:p w14:paraId="21FCD293" w14:textId="77777777" w:rsidR="00AA48EB" w:rsidRPr="00D32803" w:rsidRDefault="00AA48EB" w:rsidP="004434E9">
            <w:pPr>
              <w:spacing w:line="360" w:lineRule="auto"/>
              <w:jc w:val="center"/>
              <w:rPr>
                <w:rFonts w:ascii="Arial" w:eastAsia="Aptos" w:hAnsi="Arial" w:cs="Arial"/>
                <w:b/>
                <w:bCs/>
                <w:sz w:val="24"/>
                <w:szCs w:val="24"/>
              </w:rPr>
            </w:pPr>
            <w:r w:rsidRPr="00D32803">
              <w:rPr>
                <w:rFonts w:ascii="Arial" w:eastAsia="Aptos" w:hAnsi="Arial" w:cs="Arial"/>
                <w:b/>
                <w:bCs/>
                <w:sz w:val="24"/>
                <w:szCs w:val="24"/>
              </w:rPr>
              <w:t>Organized</w:t>
            </w:r>
          </w:p>
        </w:tc>
        <w:tc>
          <w:tcPr>
            <w:tcW w:w="2416" w:type="dxa"/>
            <w:hideMark/>
          </w:tcPr>
          <w:p w14:paraId="7B272279" w14:textId="77777777" w:rsidR="00AA48EB" w:rsidRPr="00D32803" w:rsidRDefault="00AA48EB" w:rsidP="004434E9">
            <w:pPr>
              <w:spacing w:line="360" w:lineRule="auto"/>
              <w:jc w:val="center"/>
              <w:rPr>
                <w:rFonts w:ascii="Arial" w:eastAsia="Aptos" w:hAnsi="Arial" w:cs="Arial"/>
                <w:b/>
                <w:bCs/>
                <w:sz w:val="24"/>
                <w:szCs w:val="24"/>
              </w:rPr>
            </w:pPr>
            <w:r w:rsidRPr="00D32803">
              <w:rPr>
                <w:rFonts w:ascii="Arial" w:eastAsia="Aptos" w:hAnsi="Arial" w:cs="Arial"/>
                <w:b/>
                <w:bCs/>
                <w:sz w:val="24"/>
                <w:szCs w:val="24"/>
              </w:rPr>
              <w:t>Competitive Implication</w:t>
            </w:r>
          </w:p>
        </w:tc>
      </w:tr>
      <w:tr w:rsidR="00AA48EB" w:rsidRPr="00D32803" w14:paraId="51570039" w14:textId="77777777" w:rsidTr="004434E9">
        <w:trPr>
          <w:trHeight w:val="1415"/>
        </w:trPr>
        <w:tc>
          <w:tcPr>
            <w:tcW w:w="3018" w:type="dxa"/>
            <w:hideMark/>
          </w:tcPr>
          <w:p w14:paraId="0595E16D"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Brand Portfolio</w:t>
            </w:r>
          </w:p>
        </w:tc>
        <w:tc>
          <w:tcPr>
            <w:tcW w:w="0" w:type="auto"/>
            <w:hideMark/>
          </w:tcPr>
          <w:p w14:paraId="61F5BBF5"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Yes</w:t>
            </w:r>
          </w:p>
        </w:tc>
        <w:tc>
          <w:tcPr>
            <w:tcW w:w="0" w:type="auto"/>
            <w:hideMark/>
          </w:tcPr>
          <w:p w14:paraId="2B388A09"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Partially</w:t>
            </w:r>
          </w:p>
        </w:tc>
        <w:tc>
          <w:tcPr>
            <w:tcW w:w="1377" w:type="dxa"/>
            <w:hideMark/>
          </w:tcPr>
          <w:p w14:paraId="3314418E"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Yes</w:t>
            </w:r>
          </w:p>
        </w:tc>
        <w:tc>
          <w:tcPr>
            <w:tcW w:w="0" w:type="auto"/>
            <w:hideMark/>
          </w:tcPr>
          <w:p w14:paraId="2B23A699"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Yes</w:t>
            </w:r>
          </w:p>
        </w:tc>
        <w:tc>
          <w:tcPr>
            <w:tcW w:w="2416" w:type="dxa"/>
            <w:hideMark/>
          </w:tcPr>
          <w:p w14:paraId="11BB1666"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Sustained Competitive Advantage</w:t>
            </w:r>
          </w:p>
        </w:tc>
      </w:tr>
      <w:tr w:rsidR="00AA48EB" w:rsidRPr="00D32803" w14:paraId="320A08B8" w14:textId="77777777" w:rsidTr="004434E9">
        <w:trPr>
          <w:trHeight w:val="578"/>
        </w:trPr>
        <w:tc>
          <w:tcPr>
            <w:tcW w:w="3018" w:type="dxa"/>
            <w:hideMark/>
          </w:tcPr>
          <w:p w14:paraId="11B07B41"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Global Distribution</w:t>
            </w:r>
          </w:p>
        </w:tc>
        <w:tc>
          <w:tcPr>
            <w:tcW w:w="0" w:type="auto"/>
            <w:hideMark/>
          </w:tcPr>
          <w:p w14:paraId="3A751959"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Yes</w:t>
            </w:r>
          </w:p>
        </w:tc>
        <w:tc>
          <w:tcPr>
            <w:tcW w:w="0" w:type="auto"/>
            <w:hideMark/>
          </w:tcPr>
          <w:p w14:paraId="395A2FAB"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No</w:t>
            </w:r>
          </w:p>
        </w:tc>
        <w:tc>
          <w:tcPr>
            <w:tcW w:w="1377" w:type="dxa"/>
            <w:hideMark/>
          </w:tcPr>
          <w:p w14:paraId="53E37FC6"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No</w:t>
            </w:r>
          </w:p>
        </w:tc>
        <w:tc>
          <w:tcPr>
            <w:tcW w:w="0" w:type="auto"/>
            <w:hideMark/>
          </w:tcPr>
          <w:p w14:paraId="59A9A1CD"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Yes</w:t>
            </w:r>
          </w:p>
        </w:tc>
        <w:tc>
          <w:tcPr>
            <w:tcW w:w="2416" w:type="dxa"/>
            <w:hideMark/>
          </w:tcPr>
          <w:p w14:paraId="5BB10B44"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Competitive Parity</w:t>
            </w:r>
          </w:p>
        </w:tc>
      </w:tr>
      <w:tr w:rsidR="00AA48EB" w:rsidRPr="00D32803" w14:paraId="5C886CA7" w14:textId="77777777" w:rsidTr="004434E9">
        <w:trPr>
          <w:trHeight w:val="1415"/>
        </w:trPr>
        <w:tc>
          <w:tcPr>
            <w:tcW w:w="3018" w:type="dxa"/>
            <w:hideMark/>
          </w:tcPr>
          <w:p w14:paraId="45FD4C97"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R&amp;D Capabilities</w:t>
            </w:r>
          </w:p>
        </w:tc>
        <w:tc>
          <w:tcPr>
            <w:tcW w:w="0" w:type="auto"/>
            <w:hideMark/>
          </w:tcPr>
          <w:p w14:paraId="21701D37"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Yes</w:t>
            </w:r>
          </w:p>
        </w:tc>
        <w:tc>
          <w:tcPr>
            <w:tcW w:w="0" w:type="auto"/>
            <w:hideMark/>
          </w:tcPr>
          <w:p w14:paraId="651D9115"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Partially</w:t>
            </w:r>
          </w:p>
        </w:tc>
        <w:tc>
          <w:tcPr>
            <w:tcW w:w="1377" w:type="dxa"/>
            <w:hideMark/>
          </w:tcPr>
          <w:p w14:paraId="3A53C51F"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Partially</w:t>
            </w:r>
          </w:p>
        </w:tc>
        <w:tc>
          <w:tcPr>
            <w:tcW w:w="0" w:type="auto"/>
            <w:hideMark/>
          </w:tcPr>
          <w:p w14:paraId="3ABDFEB8"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Yes</w:t>
            </w:r>
          </w:p>
        </w:tc>
        <w:tc>
          <w:tcPr>
            <w:tcW w:w="2416" w:type="dxa"/>
            <w:hideMark/>
          </w:tcPr>
          <w:p w14:paraId="25E1A51F"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Temporary Competitive Advantage</w:t>
            </w:r>
          </w:p>
        </w:tc>
      </w:tr>
      <w:tr w:rsidR="00AA48EB" w:rsidRPr="00D32803" w14:paraId="4C892A72" w14:textId="77777777" w:rsidTr="004434E9">
        <w:trPr>
          <w:trHeight w:val="1415"/>
        </w:trPr>
        <w:tc>
          <w:tcPr>
            <w:tcW w:w="3018" w:type="dxa"/>
            <w:hideMark/>
          </w:tcPr>
          <w:p w14:paraId="78BD2D10"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Sustainability Leadership</w:t>
            </w:r>
          </w:p>
        </w:tc>
        <w:tc>
          <w:tcPr>
            <w:tcW w:w="0" w:type="auto"/>
            <w:hideMark/>
          </w:tcPr>
          <w:p w14:paraId="0C76BC52"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Yes</w:t>
            </w:r>
          </w:p>
        </w:tc>
        <w:tc>
          <w:tcPr>
            <w:tcW w:w="0" w:type="auto"/>
            <w:hideMark/>
          </w:tcPr>
          <w:p w14:paraId="422352DB"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Partially</w:t>
            </w:r>
          </w:p>
        </w:tc>
        <w:tc>
          <w:tcPr>
            <w:tcW w:w="1377" w:type="dxa"/>
            <w:hideMark/>
          </w:tcPr>
          <w:p w14:paraId="602E76D2"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Partially</w:t>
            </w:r>
          </w:p>
        </w:tc>
        <w:tc>
          <w:tcPr>
            <w:tcW w:w="0" w:type="auto"/>
            <w:hideMark/>
          </w:tcPr>
          <w:p w14:paraId="71913944"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Yes</w:t>
            </w:r>
          </w:p>
        </w:tc>
        <w:tc>
          <w:tcPr>
            <w:tcW w:w="2416" w:type="dxa"/>
            <w:hideMark/>
          </w:tcPr>
          <w:p w14:paraId="6B4EE3E1"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Temporary Competitive Advantage</w:t>
            </w:r>
          </w:p>
        </w:tc>
      </w:tr>
      <w:tr w:rsidR="00AA48EB" w:rsidRPr="00D32803" w14:paraId="6B959EF1" w14:textId="77777777" w:rsidTr="004434E9">
        <w:trPr>
          <w:trHeight w:val="563"/>
        </w:trPr>
        <w:tc>
          <w:tcPr>
            <w:tcW w:w="3018" w:type="dxa"/>
            <w:hideMark/>
          </w:tcPr>
          <w:p w14:paraId="452E2D0F"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Manufacturing Scale</w:t>
            </w:r>
          </w:p>
        </w:tc>
        <w:tc>
          <w:tcPr>
            <w:tcW w:w="0" w:type="auto"/>
            <w:hideMark/>
          </w:tcPr>
          <w:p w14:paraId="17836388"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Yes</w:t>
            </w:r>
          </w:p>
        </w:tc>
        <w:tc>
          <w:tcPr>
            <w:tcW w:w="0" w:type="auto"/>
            <w:hideMark/>
          </w:tcPr>
          <w:p w14:paraId="268E0C09"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No</w:t>
            </w:r>
          </w:p>
        </w:tc>
        <w:tc>
          <w:tcPr>
            <w:tcW w:w="1377" w:type="dxa"/>
            <w:hideMark/>
          </w:tcPr>
          <w:p w14:paraId="32706E84"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No</w:t>
            </w:r>
          </w:p>
        </w:tc>
        <w:tc>
          <w:tcPr>
            <w:tcW w:w="0" w:type="auto"/>
            <w:hideMark/>
          </w:tcPr>
          <w:p w14:paraId="1E4C8F1A"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Yes</w:t>
            </w:r>
          </w:p>
        </w:tc>
        <w:tc>
          <w:tcPr>
            <w:tcW w:w="2416" w:type="dxa"/>
            <w:hideMark/>
          </w:tcPr>
          <w:p w14:paraId="7A1AA76B"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Competitive Parity</w:t>
            </w:r>
          </w:p>
        </w:tc>
      </w:tr>
      <w:tr w:rsidR="00AA48EB" w:rsidRPr="00D32803" w14:paraId="0A3992E6" w14:textId="77777777" w:rsidTr="004434E9">
        <w:trPr>
          <w:trHeight w:val="1415"/>
        </w:trPr>
        <w:tc>
          <w:tcPr>
            <w:tcW w:w="3018" w:type="dxa"/>
            <w:hideMark/>
          </w:tcPr>
          <w:p w14:paraId="65FF731E"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Consumer Insights</w:t>
            </w:r>
          </w:p>
        </w:tc>
        <w:tc>
          <w:tcPr>
            <w:tcW w:w="0" w:type="auto"/>
            <w:hideMark/>
          </w:tcPr>
          <w:p w14:paraId="13F03193"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Yes</w:t>
            </w:r>
          </w:p>
        </w:tc>
        <w:tc>
          <w:tcPr>
            <w:tcW w:w="0" w:type="auto"/>
            <w:hideMark/>
          </w:tcPr>
          <w:p w14:paraId="00AA888E"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Partially</w:t>
            </w:r>
          </w:p>
        </w:tc>
        <w:tc>
          <w:tcPr>
            <w:tcW w:w="1377" w:type="dxa"/>
            <w:hideMark/>
          </w:tcPr>
          <w:p w14:paraId="2945733F"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Partially</w:t>
            </w:r>
          </w:p>
        </w:tc>
        <w:tc>
          <w:tcPr>
            <w:tcW w:w="0" w:type="auto"/>
            <w:hideMark/>
          </w:tcPr>
          <w:p w14:paraId="6863128D"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Yes</w:t>
            </w:r>
          </w:p>
        </w:tc>
        <w:tc>
          <w:tcPr>
            <w:tcW w:w="2416" w:type="dxa"/>
            <w:hideMark/>
          </w:tcPr>
          <w:p w14:paraId="3BCB8852"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Temporary Competitive Advantage</w:t>
            </w:r>
          </w:p>
        </w:tc>
      </w:tr>
      <w:tr w:rsidR="00AA48EB" w:rsidRPr="00D32803" w14:paraId="007C33FF" w14:textId="77777777" w:rsidTr="004434E9">
        <w:trPr>
          <w:trHeight w:val="1415"/>
        </w:trPr>
        <w:tc>
          <w:tcPr>
            <w:tcW w:w="3018" w:type="dxa"/>
            <w:hideMark/>
          </w:tcPr>
          <w:p w14:paraId="5DC5449D"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Local Market Presence</w:t>
            </w:r>
          </w:p>
        </w:tc>
        <w:tc>
          <w:tcPr>
            <w:tcW w:w="0" w:type="auto"/>
            <w:hideMark/>
          </w:tcPr>
          <w:p w14:paraId="73E62AAD"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Yes</w:t>
            </w:r>
          </w:p>
        </w:tc>
        <w:tc>
          <w:tcPr>
            <w:tcW w:w="0" w:type="auto"/>
            <w:hideMark/>
          </w:tcPr>
          <w:p w14:paraId="60002169"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Partially</w:t>
            </w:r>
          </w:p>
        </w:tc>
        <w:tc>
          <w:tcPr>
            <w:tcW w:w="1377" w:type="dxa"/>
            <w:hideMark/>
          </w:tcPr>
          <w:p w14:paraId="000EAF03"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Yes</w:t>
            </w:r>
          </w:p>
        </w:tc>
        <w:tc>
          <w:tcPr>
            <w:tcW w:w="0" w:type="auto"/>
            <w:hideMark/>
          </w:tcPr>
          <w:p w14:paraId="4E5CAEDA"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Yes</w:t>
            </w:r>
          </w:p>
        </w:tc>
        <w:tc>
          <w:tcPr>
            <w:tcW w:w="2416" w:type="dxa"/>
            <w:hideMark/>
          </w:tcPr>
          <w:p w14:paraId="54ACB3D7"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Sustained Competitive Advantage</w:t>
            </w:r>
          </w:p>
        </w:tc>
      </w:tr>
    </w:tbl>
    <w:p w14:paraId="37E37EE6" w14:textId="77777777" w:rsidR="00AA48EB" w:rsidRPr="00AA48EB" w:rsidRDefault="00AA48EB" w:rsidP="00AA48EB">
      <w:pPr>
        <w:spacing w:line="360" w:lineRule="auto"/>
        <w:jc w:val="center"/>
        <w:rPr>
          <w:rFonts w:ascii="Arial" w:eastAsia="Aptos" w:hAnsi="Arial" w:cs="Arial"/>
          <w:b/>
          <w:bCs/>
          <w:i/>
          <w:iCs/>
          <w:kern w:val="0"/>
          <w:u w:val="single"/>
          <w:lang w:val="en-US" w:bidi="bn-BD"/>
        </w:rPr>
      </w:pPr>
      <w:r w:rsidRPr="00AA48EB">
        <w:rPr>
          <w:rFonts w:ascii="Arial" w:eastAsia="Aptos" w:hAnsi="Arial" w:cs="Arial"/>
          <w:b/>
          <w:bCs/>
          <w:i/>
          <w:iCs/>
          <w:kern w:val="0"/>
          <w:u w:val="single"/>
          <w:lang w:val="en-US" w:bidi="bn-BD"/>
        </w:rPr>
        <w:t>Table 2: VRIO Analysis of Unilever’s Key Resources and Capabilities</w:t>
      </w:r>
    </w:p>
    <w:p w14:paraId="2D881F6A" w14:textId="77777777" w:rsidR="00AA48EB" w:rsidRPr="00D32803" w:rsidRDefault="00AA48EB" w:rsidP="00AA48EB">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 xml:space="preserve">Brand Portfolio: The brands like Dove and Hellmann's have built large brand equity and emotional appeal that competitors can hardly duplicate (Aaker, 1991). The assets are well exploited in the </w:t>
      </w:r>
      <w:proofErr w:type="spellStart"/>
      <w:r w:rsidRPr="00D32803">
        <w:rPr>
          <w:rFonts w:ascii="Arial" w:eastAsia="Aptos" w:hAnsi="Arial" w:cs="Arial"/>
          <w:kern w:val="0"/>
          <w:sz w:val="24"/>
          <w:szCs w:val="24"/>
          <w:lang w:val="en-US" w:bidi="bn-BD"/>
        </w:rPr>
        <w:t>organisational</w:t>
      </w:r>
      <w:proofErr w:type="spellEnd"/>
      <w:r w:rsidRPr="00D32803">
        <w:rPr>
          <w:rFonts w:ascii="Arial" w:eastAsia="Aptos" w:hAnsi="Arial" w:cs="Arial"/>
          <w:kern w:val="0"/>
          <w:sz w:val="24"/>
          <w:szCs w:val="24"/>
          <w:lang w:val="en-US" w:bidi="bn-BD"/>
        </w:rPr>
        <w:t xml:space="preserve"> systems, which facilitate sustained competitive advantage.</w:t>
      </w:r>
    </w:p>
    <w:p w14:paraId="5A29ECFD" w14:textId="77777777" w:rsidR="00AA48EB" w:rsidRPr="00D32803" w:rsidRDefault="00AA48EB" w:rsidP="00AA48EB">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GLOBAL Distribution: This is very useful, but similar networks are available with other companies like Procter and Gamble and Nestle, hence there is no competitive advantage.</w:t>
      </w:r>
    </w:p>
    <w:p w14:paraId="15758AB1" w14:textId="77777777" w:rsidR="00AA48EB" w:rsidRPr="00D32803" w:rsidRDefault="00AA48EB" w:rsidP="00AA48EB">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lastRenderedPageBreak/>
        <w:t>Sustainability Leadership: Programs like Sustainable Living Plan have differentiated positioning, but there is a threat of imitation as sustainability becomes standard (Hart, 1995), which is a temporary advantage.</w:t>
      </w:r>
    </w:p>
    <w:p w14:paraId="5956678A" w14:textId="77777777" w:rsidR="00AA48EB" w:rsidRPr="00D32803" w:rsidRDefault="00AA48EB" w:rsidP="00AA48EB">
      <w:pPr>
        <w:spacing w:line="360" w:lineRule="auto"/>
        <w:jc w:val="both"/>
        <w:rPr>
          <w:rFonts w:ascii="Arial" w:eastAsia="Aptos" w:hAnsi="Arial" w:cs="Arial"/>
          <w:b/>
          <w:bCs/>
          <w:kern w:val="0"/>
          <w:sz w:val="24"/>
          <w:szCs w:val="24"/>
          <w:lang w:val="en-US" w:bidi="bn-BD"/>
        </w:rPr>
      </w:pPr>
      <w:r w:rsidRPr="00D32803">
        <w:rPr>
          <w:rFonts w:ascii="Arial" w:eastAsia="Aptos" w:hAnsi="Arial" w:cs="Arial"/>
          <w:kern w:val="0"/>
          <w:sz w:val="24"/>
          <w:szCs w:val="24"/>
          <w:lang w:val="en-US" w:bidi="bn-BD"/>
        </w:rPr>
        <w:t>Local Market Presence: Extensive activities in new markets with the help of relational capital and institutional knowledge are hard to imitate within a short period (Khanna and Palepu, 2010), which implies a long-term advantage.</w:t>
      </w:r>
    </w:p>
    <w:p w14:paraId="62CEFEA9"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2.5 Internal Competitiveness and Strength.</w:t>
      </w:r>
    </w:p>
    <w:p w14:paraId="3A0C77F4"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The internal strengths of Unilever fit well in the framework of the value chain that was created by Michael Porter (1985).</w:t>
      </w:r>
    </w:p>
    <w:p w14:paraId="0B62AE53"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Primary Activities:</w:t>
      </w:r>
    </w:p>
    <w:p w14:paraId="63C66218"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 xml:space="preserve">Inbound logistics take advantage of the global sourcing networks. The scale of manufacturing and continuous efficiency </w:t>
      </w:r>
      <w:proofErr w:type="spellStart"/>
      <w:r w:rsidRPr="00D32803">
        <w:rPr>
          <w:rFonts w:ascii="Arial" w:eastAsia="Aptos" w:hAnsi="Arial" w:cs="Arial"/>
          <w:bCs/>
          <w:kern w:val="0"/>
          <w:sz w:val="24"/>
          <w:szCs w:val="24"/>
          <w:lang w:val="en-US" w:bidi="bn-BD"/>
        </w:rPr>
        <w:t>programmes</w:t>
      </w:r>
      <w:proofErr w:type="spellEnd"/>
      <w:r w:rsidRPr="00D32803">
        <w:rPr>
          <w:rFonts w:ascii="Arial" w:eastAsia="Aptos" w:hAnsi="Arial" w:cs="Arial"/>
          <w:bCs/>
          <w:kern w:val="0"/>
          <w:sz w:val="24"/>
          <w:szCs w:val="24"/>
          <w:lang w:val="en-US" w:bidi="bn-BD"/>
        </w:rPr>
        <w:t xml:space="preserve"> benefits operations. Inbound logistics take advantage of large-scale retail alliances. Brand equity is maintained by marketing using integrated campaigns. Responsiveness is increased through consumer interaction through digital channels.</w:t>
      </w:r>
    </w:p>
    <w:p w14:paraId="4CAE188C"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Support Activities:</w:t>
      </w:r>
    </w:p>
    <w:p w14:paraId="4DF086EE"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 xml:space="preserve">Strong infrastructure has complex systems of governance and control. Leadership development and diversity goals are assisted by human resource management. Innovation pipelines are maintained by technology development through R&amp;D </w:t>
      </w:r>
      <w:proofErr w:type="spellStart"/>
      <w:r w:rsidRPr="00D32803">
        <w:rPr>
          <w:rFonts w:ascii="Arial" w:eastAsia="Aptos" w:hAnsi="Arial" w:cs="Arial"/>
          <w:bCs/>
          <w:kern w:val="0"/>
          <w:sz w:val="24"/>
          <w:szCs w:val="24"/>
          <w:lang w:val="en-US" w:bidi="bn-BD"/>
        </w:rPr>
        <w:t>centres</w:t>
      </w:r>
      <w:proofErr w:type="spellEnd"/>
      <w:r w:rsidRPr="00D32803">
        <w:rPr>
          <w:rFonts w:ascii="Arial" w:eastAsia="Aptos" w:hAnsi="Arial" w:cs="Arial"/>
          <w:bCs/>
          <w:kern w:val="0"/>
          <w:sz w:val="24"/>
          <w:szCs w:val="24"/>
          <w:lang w:val="en-US" w:bidi="bn-BD"/>
        </w:rPr>
        <w:t>. Sustainable sourcing is incorporated in procurement, and it improves differentiation.</w:t>
      </w:r>
    </w:p>
    <w:p w14:paraId="1F752AA9"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 xml:space="preserve">The combination of these capabilities creates </w:t>
      </w:r>
      <w:proofErr w:type="spellStart"/>
      <w:r w:rsidRPr="00D32803">
        <w:rPr>
          <w:rFonts w:ascii="Arial" w:eastAsia="Aptos" w:hAnsi="Arial" w:cs="Arial"/>
          <w:bCs/>
          <w:kern w:val="0"/>
          <w:sz w:val="24"/>
          <w:szCs w:val="24"/>
          <w:lang w:val="en-US" w:bidi="bn-BD"/>
        </w:rPr>
        <w:t>organisational</w:t>
      </w:r>
      <w:proofErr w:type="spellEnd"/>
      <w:r w:rsidRPr="00D32803">
        <w:rPr>
          <w:rFonts w:ascii="Arial" w:eastAsia="Aptos" w:hAnsi="Arial" w:cs="Arial"/>
          <w:bCs/>
          <w:kern w:val="0"/>
          <w:sz w:val="24"/>
          <w:szCs w:val="24"/>
          <w:lang w:val="en-US" w:bidi="bn-BD"/>
        </w:rPr>
        <w:t xml:space="preserve"> synergy, which aligns with the idea of coordinated capability proposed by Grant (2019). Competitive advantage is a systemic creation of alignment of the strength of the brand, the distribution reach and integrating sustainability.</w:t>
      </w:r>
    </w:p>
    <w:p w14:paraId="6CF252D5"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 xml:space="preserve">However, there are still structural flaws. The complexity of the portfolio can water down the strategy. Agility would be inhibited by bureaucratic inertia compared to challenger brands. Operational and portfolio </w:t>
      </w:r>
      <w:proofErr w:type="spellStart"/>
      <w:r w:rsidRPr="00D32803">
        <w:rPr>
          <w:rFonts w:ascii="Arial" w:eastAsia="Aptos" w:hAnsi="Arial" w:cs="Arial"/>
          <w:bCs/>
          <w:kern w:val="0"/>
          <w:sz w:val="24"/>
          <w:szCs w:val="24"/>
          <w:lang w:val="en-US" w:bidi="bn-BD"/>
        </w:rPr>
        <w:t>optimisation</w:t>
      </w:r>
      <w:proofErr w:type="spellEnd"/>
      <w:r w:rsidRPr="00D32803">
        <w:rPr>
          <w:rFonts w:ascii="Arial" w:eastAsia="Aptos" w:hAnsi="Arial" w:cs="Arial"/>
          <w:bCs/>
          <w:kern w:val="0"/>
          <w:sz w:val="24"/>
          <w:szCs w:val="24"/>
          <w:lang w:val="en-US" w:bidi="bn-BD"/>
        </w:rPr>
        <w:t xml:space="preserve"> opportunities are reflected by performance differences in relation to Nestlé and Procter &amp; Gamble, especially in the area of volume growth (Bernstein Research, 2023).</w:t>
      </w:r>
    </w:p>
    <w:p w14:paraId="2760B37C" w14:textId="77777777" w:rsidR="00AA48EB" w:rsidRPr="00D32803" w:rsidRDefault="00AA48EB" w:rsidP="00AA48EB">
      <w:pPr>
        <w:spacing w:line="360" w:lineRule="auto"/>
        <w:rPr>
          <w:rFonts w:ascii="Arial" w:eastAsia="Aptos" w:hAnsi="Arial" w:cs="Arial"/>
          <w:b/>
          <w:bCs/>
          <w:kern w:val="0"/>
          <w:sz w:val="24"/>
          <w:szCs w:val="24"/>
          <w:lang w:val="en-US" w:bidi="bn-BD"/>
        </w:rPr>
      </w:pPr>
    </w:p>
    <w:p w14:paraId="43D26A7F"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lastRenderedPageBreak/>
        <w:t>3.0 Corporate Social Responsibility and Sustainability Goals.</w:t>
      </w:r>
    </w:p>
    <w:p w14:paraId="7A4C6ACA" w14:textId="77777777" w:rsidR="00AA48EB" w:rsidRPr="00D32803" w:rsidRDefault="00AA48EB" w:rsidP="00AA48EB">
      <w:pPr>
        <w:spacing w:line="360" w:lineRule="auto"/>
        <w:rPr>
          <w:rFonts w:ascii="Arial" w:eastAsia="Aptos" w:hAnsi="Arial" w:cs="Arial"/>
          <w:b/>
          <w:bCs/>
          <w:kern w:val="0"/>
          <w:sz w:val="24"/>
          <w:szCs w:val="24"/>
          <w:lang w:val="en-US" w:bidi="bn-BD"/>
        </w:rPr>
      </w:pPr>
      <w:r>
        <w:rPr>
          <w:rFonts w:ascii="Arial" w:eastAsia="Aptos" w:hAnsi="Arial" w:cs="Arial"/>
          <w:b/>
          <w:bCs/>
          <w:kern w:val="0"/>
          <w:sz w:val="24"/>
          <w:szCs w:val="24"/>
          <w:lang w:val="en-US" w:bidi="bn-BD"/>
        </w:rPr>
        <w:t xml:space="preserve">3.1 </w:t>
      </w:r>
      <w:r w:rsidRPr="00D32803">
        <w:rPr>
          <w:rFonts w:ascii="Arial" w:eastAsia="Aptos" w:hAnsi="Arial" w:cs="Arial"/>
          <w:b/>
          <w:bCs/>
          <w:kern w:val="0"/>
          <w:sz w:val="24"/>
          <w:szCs w:val="24"/>
          <w:lang w:val="en-US" w:bidi="bn-BD"/>
        </w:rPr>
        <w:t>Strategy of Corporate Social Responsibility.</w:t>
      </w:r>
    </w:p>
    <w:p w14:paraId="60A9D3B9"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 xml:space="preserve">Unilever has integrated its corporate social responsibility (CSR) in its strategic framework, which demonstrates the triple bottom line framework of Elkington (1997), where economic, environmental and social performance are balanced. When Unilever had a new CEO, Paul Polman, who took office in 2010, sustainability became </w:t>
      </w:r>
      <w:proofErr w:type="spellStart"/>
      <w:r w:rsidRPr="00D32803">
        <w:rPr>
          <w:rFonts w:ascii="Arial" w:eastAsia="Aptos" w:hAnsi="Arial" w:cs="Arial"/>
          <w:bCs/>
          <w:kern w:val="0"/>
          <w:sz w:val="24"/>
          <w:szCs w:val="24"/>
          <w:lang w:val="en-US" w:bidi="bn-BD"/>
        </w:rPr>
        <w:t>institutionalised</w:t>
      </w:r>
      <w:proofErr w:type="spellEnd"/>
      <w:r w:rsidRPr="00D32803">
        <w:rPr>
          <w:rFonts w:ascii="Arial" w:eastAsia="Aptos" w:hAnsi="Arial" w:cs="Arial"/>
          <w:bCs/>
          <w:kern w:val="0"/>
          <w:sz w:val="24"/>
          <w:szCs w:val="24"/>
          <w:lang w:val="en-US" w:bidi="bn-BD"/>
        </w:rPr>
        <w:t xml:space="preserve"> as a growth driver instead of a requirement as per the Unilever Sustainable Living Plan (USLP), released in 2010 (Polman and Winston, 2021).</w:t>
      </w:r>
    </w:p>
    <w:p w14:paraId="6E2C4249" w14:textId="77777777" w:rsidR="00AA48EB" w:rsidRPr="00D32803" w:rsidRDefault="00AA48EB" w:rsidP="00AA48EB">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The USLP was replaced in 2020 by the Unilever Compass framework, which presents quantifiable commitments. Among environmental goals, there are the attainment of net-zero emissions throughout the value chain by 2039, all plastic packs reusable, recyclable, or compostable by 2025, and a reduction in the use of virgin plastic (Unilever, 2023b). Social objectives aim at enhancing the livelihoods of the supply chains, gender equity, and living wages.</w:t>
      </w:r>
    </w:p>
    <w:p w14:paraId="32F7E1CE" w14:textId="77777777" w:rsidR="00AA48EB" w:rsidRPr="00D32803" w:rsidRDefault="00AA48EB" w:rsidP="00AA48EB">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Using the CSR pyramid of Carroll (1991), Unilever meets the economic responsibility by achieving sustainability in its profitability, legal responsibility by following the laws, ethical responsibility by being responsible in its sourcing and human rights policy, and philanthropic responsibility by investing in communities. However, tensions persist. The use of palm oil in the face of deforestation has been subject to criticism (Greenpeace, 2022). In addition, Trian Partners' activist pressure also raised the perception of trade-offs between sustainability focus and financial returns (Reuters, 2022).</w:t>
      </w:r>
    </w:p>
    <w:p w14:paraId="6A9E7C44"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3.2 Sharing Business Objectives.</w:t>
      </w:r>
    </w:p>
    <w:p w14:paraId="5D123423" w14:textId="77777777" w:rsidR="00AA48EB" w:rsidRPr="00D32803" w:rsidRDefault="00AA48EB" w:rsidP="00AA48EB">
      <w:pPr>
        <w:spacing w:line="360" w:lineRule="auto"/>
        <w:jc w:val="both"/>
        <w:rPr>
          <w:rFonts w:ascii="Arial" w:eastAsia="Aptos" w:hAnsi="Arial" w:cs="Arial"/>
          <w:kern w:val="0"/>
          <w:sz w:val="24"/>
          <w:szCs w:val="24"/>
          <w:lang w:val="en-US" w:bidi="bn-BD"/>
        </w:rPr>
      </w:pPr>
      <w:r w:rsidRPr="00D32803">
        <w:rPr>
          <w:rFonts w:ascii="Arial" w:eastAsia="Aptos" w:hAnsi="Arial" w:cs="Arial"/>
          <w:bCs/>
          <w:kern w:val="0"/>
          <w:sz w:val="24"/>
          <w:szCs w:val="24"/>
          <w:lang w:val="en-US" w:bidi="bn-BD"/>
        </w:rPr>
        <w:t xml:space="preserve">Unilever has also seen its so-called sustainable living brands reportedly increase at a faster rate than the rest of the portfolio (Unilever, 2019), which is why the shared value thesis proposed by Porter and Kramer (2011) holds. Integration of sustainability helps in cost savings, </w:t>
      </w:r>
      <w:proofErr w:type="spellStart"/>
      <w:r>
        <w:rPr>
          <w:rFonts w:ascii="Arial" w:eastAsia="Aptos" w:hAnsi="Arial" w:cs="Arial"/>
          <w:bCs/>
          <w:kern w:val="0"/>
          <w:sz w:val="24"/>
          <w:szCs w:val="24"/>
          <w:lang w:val="en-US" w:bidi="bn-BD"/>
        </w:rPr>
        <w:t>minimisation</w:t>
      </w:r>
      <w:proofErr w:type="spellEnd"/>
      <w:r w:rsidRPr="00D32803">
        <w:rPr>
          <w:rFonts w:ascii="Arial" w:eastAsia="Aptos" w:hAnsi="Arial" w:cs="Arial"/>
          <w:bCs/>
          <w:kern w:val="0"/>
          <w:sz w:val="24"/>
          <w:szCs w:val="24"/>
          <w:lang w:val="en-US" w:bidi="bn-BD"/>
        </w:rPr>
        <w:t xml:space="preserve"> of risks, brand differentiation and attracting talents. However, changing priorities of leadership imply re-adjusting between the sustainability ambitions and financial performance expectations in the short term (Financial Times, 2023).</w:t>
      </w:r>
    </w:p>
    <w:p w14:paraId="1E671116" w14:textId="77777777" w:rsidR="00AA48EB" w:rsidRPr="00D32803" w:rsidRDefault="00AA48EB" w:rsidP="00AA48EB">
      <w:pPr>
        <w:spacing w:line="360" w:lineRule="auto"/>
        <w:rPr>
          <w:rFonts w:ascii="Arial" w:eastAsia="Aptos" w:hAnsi="Arial" w:cs="Arial"/>
          <w:kern w:val="0"/>
          <w:sz w:val="24"/>
          <w:szCs w:val="24"/>
          <w:lang w:val="en-US" w:bidi="bn-BD"/>
        </w:rPr>
      </w:pPr>
    </w:p>
    <w:p w14:paraId="730741D2"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lastRenderedPageBreak/>
        <w:t>4.0 OVERALL and holistic perspective: Balanced Scorecard analysis.</w:t>
      </w:r>
    </w:p>
    <w:p w14:paraId="78750468"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4.1.1 Introduction to the Balanced Scorecard.</w:t>
      </w:r>
    </w:p>
    <w:p w14:paraId="3C36F202" w14:textId="78A685BA"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Kaplan and Norton (1992) unveiled Balanced Scorecard as a strategic model of performance management</w:t>
      </w:r>
      <w:r>
        <w:rPr>
          <w:rFonts w:ascii="Arial" w:eastAsia="Aptos" w:hAnsi="Arial" w:cs="Arial"/>
          <w:bCs/>
          <w:kern w:val="0"/>
          <w:sz w:val="24"/>
          <w:szCs w:val="24"/>
          <w:lang w:val="en-US" w:bidi="bn-BD"/>
        </w:rPr>
        <w:t>,</w:t>
      </w:r>
      <w:r w:rsidRPr="00D32803">
        <w:rPr>
          <w:rFonts w:ascii="Arial" w:eastAsia="Aptos" w:hAnsi="Arial" w:cs="Arial"/>
          <w:bCs/>
          <w:kern w:val="0"/>
          <w:sz w:val="24"/>
          <w:szCs w:val="24"/>
          <w:lang w:val="en-US" w:bidi="bn-BD"/>
        </w:rPr>
        <w:t xml:space="preserve"> which converts </w:t>
      </w:r>
      <w:proofErr w:type="spellStart"/>
      <w:r w:rsidRPr="00D32803">
        <w:rPr>
          <w:rFonts w:ascii="Arial" w:eastAsia="Aptos" w:hAnsi="Arial" w:cs="Arial"/>
          <w:bCs/>
          <w:kern w:val="0"/>
          <w:sz w:val="24"/>
          <w:szCs w:val="24"/>
          <w:lang w:val="en-US" w:bidi="bn-BD"/>
        </w:rPr>
        <w:t>organisational</w:t>
      </w:r>
      <w:proofErr w:type="spellEnd"/>
      <w:r w:rsidRPr="00D32803">
        <w:rPr>
          <w:rFonts w:ascii="Arial" w:eastAsia="Aptos" w:hAnsi="Arial" w:cs="Arial"/>
          <w:bCs/>
          <w:kern w:val="0"/>
          <w:sz w:val="24"/>
          <w:szCs w:val="24"/>
          <w:lang w:val="en-US" w:bidi="bn-BD"/>
        </w:rPr>
        <w:t xml:space="preserve"> vision and strategy into harmonious performance measures in four perspectives. This is to overcome the shortcomings of purely financial measures by adding customer, internal process and learning dimensions.</w:t>
      </w:r>
    </w:p>
    <w:p w14:paraId="22EF03AE"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In the case of Unilever, the Balanced Scorecard framework demonstrates the alignment of strategic objectives in the activities of the operational environment, which is not an exception to the strategy maps developed by Kaplan and Norton (1996), where perspectives are linked causally.</w:t>
      </w:r>
    </w:p>
    <w:p w14:paraId="466CF297"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4.2 Financial Perspective</w:t>
      </w:r>
    </w:p>
    <w:p w14:paraId="5CA37687"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The financial view deals with the creation of shareholder value and economic performance measurement.</w:t>
      </w:r>
    </w:p>
    <w:p w14:paraId="0606F38F"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Objectives:</w:t>
      </w:r>
    </w:p>
    <w:p w14:paraId="53BA789C" w14:textId="77777777" w:rsidR="00AA48EB" w:rsidRPr="00D32803" w:rsidRDefault="00AA48EB" w:rsidP="00AA48EB">
      <w:pPr>
        <w:numPr>
          <w:ilvl w:val="0"/>
          <w:numId w:val="1"/>
        </w:numPr>
        <w:spacing w:line="360" w:lineRule="auto"/>
        <w:contextualSpacing/>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Provide profitable, sustainable growth.</w:t>
      </w:r>
    </w:p>
    <w:p w14:paraId="33B1D356" w14:textId="77777777" w:rsidR="00AA48EB" w:rsidRPr="00D32803" w:rsidRDefault="00AA48EB" w:rsidP="00AA48EB">
      <w:pPr>
        <w:numPr>
          <w:ilvl w:val="0"/>
          <w:numId w:val="1"/>
        </w:numPr>
        <w:spacing w:line="360" w:lineRule="auto"/>
        <w:contextualSpacing/>
        <w:jc w:val="both"/>
        <w:rPr>
          <w:rFonts w:ascii="Arial" w:eastAsia="Aptos" w:hAnsi="Arial" w:cs="Arial"/>
          <w:bCs/>
          <w:kern w:val="0"/>
          <w:sz w:val="24"/>
          <w:szCs w:val="24"/>
          <w:lang w:val="en-US" w:bidi="bn-BD"/>
        </w:rPr>
      </w:pPr>
      <w:proofErr w:type="spellStart"/>
      <w:r w:rsidRPr="00D32803">
        <w:rPr>
          <w:rFonts w:ascii="Arial" w:eastAsia="Aptos" w:hAnsi="Arial" w:cs="Arial"/>
          <w:bCs/>
          <w:kern w:val="0"/>
          <w:sz w:val="24"/>
          <w:szCs w:val="24"/>
          <w:lang w:val="en-US" w:bidi="bn-BD"/>
        </w:rPr>
        <w:t>Optimise</w:t>
      </w:r>
      <w:proofErr w:type="spellEnd"/>
      <w:r w:rsidRPr="00D32803">
        <w:rPr>
          <w:rFonts w:ascii="Arial" w:eastAsia="Aptos" w:hAnsi="Arial" w:cs="Arial"/>
          <w:bCs/>
          <w:kern w:val="0"/>
          <w:sz w:val="24"/>
          <w:szCs w:val="24"/>
          <w:lang w:val="en-US" w:bidi="bn-BD"/>
        </w:rPr>
        <w:t xml:space="preserve"> operational productivity and profitability.</w:t>
      </w:r>
    </w:p>
    <w:p w14:paraId="48055BD7" w14:textId="77777777" w:rsidR="00AA48EB" w:rsidRPr="00D32803" w:rsidRDefault="00AA48EB" w:rsidP="00AA48EB">
      <w:pPr>
        <w:numPr>
          <w:ilvl w:val="0"/>
          <w:numId w:val="1"/>
        </w:numPr>
        <w:spacing w:line="360" w:lineRule="auto"/>
        <w:contextualSpacing/>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Achieve high cash flow to invest and returns.</w:t>
      </w:r>
    </w:p>
    <w:p w14:paraId="10A11988"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Key Performance Indicators:</w:t>
      </w:r>
    </w:p>
    <w:p w14:paraId="0F5D2264" w14:textId="77777777" w:rsidR="00AA48EB" w:rsidRPr="00D32803" w:rsidRDefault="00AA48EB" w:rsidP="00AA48EB">
      <w:pPr>
        <w:numPr>
          <w:ilvl w:val="0"/>
          <w:numId w:val="2"/>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Underlying sales growth (Target: 3-5%/year)</w:t>
      </w:r>
    </w:p>
    <w:p w14:paraId="02FD21B6" w14:textId="77777777" w:rsidR="00AA48EB" w:rsidRPr="00D32803" w:rsidRDefault="00AA48EB" w:rsidP="00AA48EB">
      <w:pPr>
        <w:numPr>
          <w:ilvl w:val="0"/>
          <w:numId w:val="2"/>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Underlying operating margin (Target: 18% + medium-term)</w:t>
      </w:r>
    </w:p>
    <w:p w14:paraId="4402EC41" w14:textId="77777777" w:rsidR="00AA48EB" w:rsidRPr="00D32803" w:rsidRDefault="00AA48EB" w:rsidP="00AA48EB">
      <w:pPr>
        <w:numPr>
          <w:ilvl w:val="0"/>
          <w:numId w:val="2"/>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Conversion of free cash flow (Target: 90%+ of net profit)</w:t>
      </w:r>
    </w:p>
    <w:p w14:paraId="3F2E48BE" w14:textId="77777777" w:rsidR="00AA48EB" w:rsidRPr="00D32803" w:rsidRDefault="00AA48EB" w:rsidP="00AA48EB">
      <w:pPr>
        <w:numPr>
          <w:ilvl w:val="0"/>
          <w:numId w:val="2"/>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Return on invested capital (Target: more than cost of capital)</w:t>
      </w:r>
    </w:p>
    <w:p w14:paraId="6DA9644E"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Initiative:</w:t>
      </w:r>
    </w:p>
    <w:p w14:paraId="167A08E3" w14:textId="77777777" w:rsidR="00AA48EB" w:rsidRPr="00D32803" w:rsidRDefault="00AA48EB" w:rsidP="00AA48EB">
      <w:pPr>
        <w:numPr>
          <w:ilvl w:val="0"/>
          <w:numId w:val="3"/>
        </w:numPr>
        <w:spacing w:line="360" w:lineRule="auto"/>
        <w:contextualSpacing/>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 xml:space="preserve">Productivity </w:t>
      </w:r>
      <w:proofErr w:type="spellStart"/>
      <w:r w:rsidRPr="00D32803">
        <w:rPr>
          <w:rFonts w:ascii="Arial" w:eastAsia="Aptos" w:hAnsi="Arial" w:cs="Arial"/>
          <w:bCs/>
          <w:kern w:val="0"/>
          <w:sz w:val="24"/>
          <w:szCs w:val="24"/>
          <w:lang w:val="en-US" w:bidi="bn-BD"/>
        </w:rPr>
        <w:t>programme</w:t>
      </w:r>
      <w:proofErr w:type="spellEnd"/>
      <w:r w:rsidRPr="00D32803">
        <w:rPr>
          <w:rFonts w:ascii="Arial" w:eastAsia="Aptos" w:hAnsi="Arial" w:cs="Arial"/>
          <w:bCs/>
          <w:kern w:val="0"/>
          <w:sz w:val="24"/>
          <w:szCs w:val="24"/>
          <w:lang w:val="en-US" w:bidi="bn-BD"/>
        </w:rPr>
        <w:t xml:space="preserve"> with a target of EUR600 million savings in one year.</w:t>
      </w:r>
    </w:p>
    <w:p w14:paraId="62B3AC60" w14:textId="77777777" w:rsidR="00AA48EB" w:rsidRPr="00D32803" w:rsidRDefault="00AA48EB" w:rsidP="00AA48EB">
      <w:pPr>
        <w:numPr>
          <w:ilvl w:val="0"/>
          <w:numId w:val="3"/>
        </w:numPr>
        <w:spacing w:line="360" w:lineRule="auto"/>
        <w:contextualSpacing/>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 xml:space="preserve">Brand Disposals and Acquisitions as a form of portfolio </w:t>
      </w:r>
      <w:proofErr w:type="spellStart"/>
      <w:r w:rsidRPr="00D32803">
        <w:rPr>
          <w:rFonts w:ascii="Arial" w:eastAsia="Aptos" w:hAnsi="Arial" w:cs="Arial"/>
          <w:bCs/>
          <w:kern w:val="0"/>
          <w:sz w:val="24"/>
          <w:szCs w:val="24"/>
          <w:lang w:val="en-US" w:bidi="bn-BD"/>
        </w:rPr>
        <w:t>optimisation</w:t>
      </w:r>
      <w:proofErr w:type="spellEnd"/>
      <w:r w:rsidRPr="00D32803">
        <w:rPr>
          <w:rFonts w:ascii="Arial" w:eastAsia="Aptos" w:hAnsi="Arial" w:cs="Arial"/>
          <w:bCs/>
          <w:kern w:val="0"/>
          <w:sz w:val="24"/>
          <w:szCs w:val="24"/>
          <w:lang w:val="en-US" w:bidi="bn-BD"/>
        </w:rPr>
        <w:t>.</w:t>
      </w:r>
    </w:p>
    <w:p w14:paraId="21E8DCC2" w14:textId="77777777" w:rsidR="00AA48EB" w:rsidRPr="00D32803" w:rsidRDefault="00AA48EB" w:rsidP="00AA48EB">
      <w:pPr>
        <w:numPr>
          <w:ilvl w:val="0"/>
          <w:numId w:val="3"/>
        </w:numPr>
        <w:spacing w:line="360" w:lineRule="auto"/>
        <w:contextualSpacing/>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Mix/price to maintain margins in inflationary times.</w:t>
      </w:r>
    </w:p>
    <w:p w14:paraId="7D69B7F1" w14:textId="77777777" w:rsidR="00AA48EB" w:rsidRPr="00D32803" w:rsidRDefault="00AA48EB" w:rsidP="00AA48EB">
      <w:pPr>
        <w:numPr>
          <w:ilvl w:val="0"/>
          <w:numId w:val="3"/>
        </w:numPr>
        <w:spacing w:line="360" w:lineRule="auto"/>
        <w:contextualSpacing/>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Increased efficiency of working capital.</w:t>
      </w:r>
    </w:p>
    <w:p w14:paraId="5BC2A4F7"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lastRenderedPageBreak/>
        <w:t>Unilever reported EUR59.6 billion of revenue in 2022 with an underlying operating margin of 16.1, which is lower than its historical highs, indicating margin recovery priorities (Unilever Annual Report, 2023).</w:t>
      </w:r>
    </w:p>
    <w:p w14:paraId="553F80DB"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4.3 Customer Perspective</w:t>
      </w:r>
    </w:p>
    <w:p w14:paraId="003F2555" w14:textId="77777777" w:rsidR="00AA48EB" w:rsidRPr="00D32803" w:rsidRDefault="00AA48EB" w:rsidP="00AA48EB">
      <w:pPr>
        <w:spacing w:line="360" w:lineRule="auto"/>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The customer view looks at value presentation and position in the market.</w:t>
      </w:r>
    </w:p>
    <w:p w14:paraId="1187E435"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Objectives:</w:t>
      </w:r>
    </w:p>
    <w:p w14:paraId="254A6CD2" w14:textId="77777777" w:rsidR="00AA48EB" w:rsidRPr="00D32803" w:rsidRDefault="00AA48EB" w:rsidP="00AA48EB">
      <w:pPr>
        <w:numPr>
          <w:ilvl w:val="0"/>
          <w:numId w:val="4"/>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Power brand equity and preference.</w:t>
      </w:r>
    </w:p>
    <w:p w14:paraId="333D7289" w14:textId="77777777" w:rsidR="00AA48EB" w:rsidRPr="00D32803" w:rsidRDefault="00AA48EB" w:rsidP="00AA48EB">
      <w:pPr>
        <w:numPr>
          <w:ilvl w:val="0"/>
          <w:numId w:val="4"/>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Gain market share in the priority categories.</w:t>
      </w:r>
    </w:p>
    <w:p w14:paraId="575FD14D" w14:textId="77777777" w:rsidR="00AA48EB" w:rsidRPr="00D32803" w:rsidRDefault="00AA48EB" w:rsidP="00AA48EB">
      <w:pPr>
        <w:numPr>
          <w:ilvl w:val="0"/>
          <w:numId w:val="4"/>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Improve retail customer relationships.</w:t>
      </w:r>
    </w:p>
    <w:p w14:paraId="11ED6785" w14:textId="77777777" w:rsidR="00AA48EB" w:rsidRPr="00D32803" w:rsidRDefault="00AA48EB" w:rsidP="00AA48EB">
      <w:pPr>
        <w:numPr>
          <w:ilvl w:val="0"/>
          <w:numId w:val="4"/>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Establish on-line and direct-to-consumer capabilities.</w:t>
      </w:r>
    </w:p>
    <w:p w14:paraId="5BA9060C"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Key Performance Indicators:</w:t>
      </w:r>
    </w:p>
    <w:p w14:paraId="7E59E50E" w14:textId="77777777" w:rsidR="00AA48EB" w:rsidRPr="00D32803" w:rsidRDefault="00AA48EB" w:rsidP="00AA48EB">
      <w:pPr>
        <w:numPr>
          <w:ilvl w:val="0"/>
          <w:numId w:val="5"/>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Brand power scores (Target: increase on power brands)</w:t>
      </w:r>
    </w:p>
    <w:p w14:paraId="59B53D1A" w14:textId="77777777" w:rsidR="00AA48EB" w:rsidRPr="00D32803" w:rsidRDefault="00AA48EB" w:rsidP="00AA48EB">
      <w:pPr>
        <w:numPr>
          <w:ilvl w:val="0"/>
          <w:numId w:val="5"/>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Market share Trends (Target: growing or holding in priority markets)</w:t>
      </w:r>
    </w:p>
    <w:p w14:paraId="18F5E165" w14:textId="77777777" w:rsidR="00AA48EB" w:rsidRPr="00D32803" w:rsidRDefault="00AA48EB" w:rsidP="00AA48EB">
      <w:pPr>
        <w:numPr>
          <w:ilvl w:val="0"/>
          <w:numId w:val="5"/>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Retail partner customer satisfaction rates.</w:t>
      </w:r>
    </w:p>
    <w:p w14:paraId="2BD49617" w14:textId="77777777" w:rsidR="00AA48EB" w:rsidRPr="00D32803" w:rsidRDefault="00AA48EB" w:rsidP="00AA48EB">
      <w:pPr>
        <w:numPr>
          <w:ilvl w:val="0"/>
          <w:numId w:val="5"/>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E-commerce penetration rate (Target: 25% of sales)</w:t>
      </w:r>
    </w:p>
    <w:p w14:paraId="158EC541"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Initiatives:</w:t>
      </w:r>
    </w:p>
    <w:p w14:paraId="2131FA60" w14:textId="77777777" w:rsidR="00AA48EB" w:rsidRPr="00D32803" w:rsidRDefault="00AA48EB" w:rsidP="00AA48EB">
      <w:pPr>
        <w:numPr>
          <w:ilvl w:val="0"/>
          <w:numId w:val="6"/>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Raising marketing expenditures on power brands.</w:t>
      </w:r>
    </w:p>
    <w:p w14:paraId="155EEB5A" w14:textId="77777777" w:rsidR="00AA48EB" w:rsidRPr="00D32803" w:rsidRDefault="00AA48EB" w:rsidP="00AA48EB">
      <w:pPr>
        <w:numPr>
          <w:ilvl w:val="0"/>
          <w:numId w:val="6"/>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Consumer relevance acceleration of the innovation pipeline.</w:t>
      </w:r>
    </w:p>
    <w:p w14:paraId="75779131" w14:textId="77777777" w:rsidR="00AA48EB" w:rsidRPr="00D32803" w:rsidRDefault="00AA48EB" w:rsidP="00AA48EB">
      <w:pPr>
        <w:numPr>
          <w:ilvl w:val="0"/>
          <w:numId w:val="6"/>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Collaborative business planning with major retail accounts.</w:t>
      </w:r>
    </w:p>
    <w:p w14:paraId="0709F92B" w14:textId="77777777" w:rsidR="00AA48EB" w:rsidRPr="00D32803" w:rsidRDefault="00AA48EB" w:rsidP="00AA48EB">
      <w:pPr>
        <w:numPr>
          <w:ilvl w:val="0"/>
          <w:numId w:val="6"/>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Digital marketing improvement and D2C platform development.</w:t>
      </w:r>
    </w:p>
    <w:p w14:paraId="24A89D8C"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According to consumer brand perception surveys, there is high equity for Dove and Hellmann's, but other brands experience competition pressure, which demands new investments (Kantar Brand, 2023).</w:t>
      </w:r>
    </w:p>
    <w:p w14:paraId="73B0BCCD"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4.4 Internal Business Processes Perspective.</w:t>
      </w:r>
    </w:p>
    <w:p w14:paraId="5E480679"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This school of thought studies operational excellence and its efficiency on the interior.</w:t>
      </w:r>
    </w:p>
    <w:p w14:paraId="0C2D2F7E"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Objectives:</w:t>
      </w:r>
    </w:p>
    <w:p w14:paraId="3C83BEF4" w14:textId="77777777" w:rsidR="00AA48EB" w:rsidRPr="00D32803" w:rsidRDefault="00AA48EB" w:rsidP="00AA48EB">
      <w:pPr>
        <w:numPr>
          <w:ilvl w:val="0"/>
          <w:numId w:val="7"/>
        </w:numPr>
        <w:spacing w:line="360" w:lineRule="auto"/>
        <w:contextualSpacing/>
        <w:rPr>
          <w:rFonts w:ascii="Arial" w:eastAsia="Aptos" w:hAnsi="Arial" w:cs="Arial"/>
          <w:bCs/>
          <w:kern w:val="0"/>
          <w:sz w:val="24"/>
          <w:szCs w:val="24"/>
          <w:lang w:val="en-US" w:bidi="bn-BD"/>
        </w:rPr>
      </w:pPr>
      <w:proofErr w:type="spellStart"/>
      <w:r>
        <w:rPr>
          <w:rFonts w:ascii="Arial" w:eastAsia="Aptos" w:hAnsi="Arial" w:cs="Arial"/>
          <w:bCs/>
          <w:kern w:val="0"/>
          <w:sz w:val="24"/>
          <w:szCs w:val="24"/>
          <w:lang w:val="en-US" w:bidi="bn-BD"/>
        </w:rPr>
        <w:t>Realise</w:t>
      </w:r>
      <w:proofErr w:type="spellEnd"/>
      <w:r w:rsidRPr="00D32803">
        <w:rPr>
          <w:rFonts w:ascii="Arial" w:eastAsia="Aptos" w:hAnsi="Arial" w:cs="Arial"/>
          <w:bCs/>
          <w:kern w:val="0"/>
          <w:sz w:val="24"/>
          <w:szCs w:val="24"/>
          <w:lang w:val="en-US" w:bidi="bn-BD"/>
        </w:rPr>
        <w:t xml:space="preserve"> excellence in manufacturing and economy.</w:t>
      </w:r>
    </w:p>
    <w:p w14:paraId="254169BD" w14:textId="77777777" w:rsidR="00AA48EB" w:rsidRPr="00D32803" w:rsidRDefault="00AA48EB" w:rsidP="00AA48EB">
      <w:pPr>
        <w:numPr>
          <w:ilvl w:val="0"/>
          <w:numId w:val="7"/>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Increase speed-to-market of innovation.</w:t>
      </w:r>
    </w:p>
    <w:p w14:paraId="59823BFE" w14:textId="77777777" w:rsidR="00AA48EB" w:rsidRPr="00D32803" w:rsidRDefault="00AA48EB" w:rsidP="00AA48EB">
      <w:pPr>
        <w:numPr>
          <w:ilvl w:val="0"/>
          <w:numId w:val="7"/>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Develop supply chain resilience.</w:t>
      </w:r>
    </w:p>
    <w:p w14:paraId="74447249" w14:textId="77777777" w:rsidR="00AA48EB" w:rsidRPr="00D32803" w:rsidRDefault="00AA48EB" w:rsidP="00AA48EB">
      <w:pPr>
        <w:numPr>
          <w:ilvl w:val="0"/>
          <w:numId w:val="7"/>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lastRenderedPageBreak/>
        <w:t>Encompass sustainability in operations.</w:t>
      </w:r>
    </w:p>
    <w:p w14:paraId="00E153C2"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Key Performance Indicators:</w:t>
      </w:r>
    </w:p>
    <w:p w14:paraId="5F56E90E" w14:textId="77777777" w:rsidR="00AA48EB" w:rsidRPr="00D32803" w:rsidRDefault="00AA48EB" w:rsidP="00AA48EB">
      <w:pPr>
        <w:numPr>
          <w:ilvl w:val="0"/>
          <w:numId w:val="8"/>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Cost per unit (Target: continuous improvement) manufacturing.</w:t>
      </w:r>
    </w:p>
    <w:p w14:paraId="2437A50A" w14:textId="77777777" w:rsidR="00AA48EB" w:rsidRPr="00D32803" w:rsidRDefault="00AA48EB" w:rsidP="00AA48EB">
      <w:pPr>
        <w:numPr>
          <w:ilvl w:val="0"/>
          <w:numId w:val="8"/>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Success rate and time to market of innovation.</w:t>
      </w:r>
    </w:p>
    <w:p w14:paraId="05C3459B" w14:textId="77777777" w:rsidR="00AA48EB" w:rsidRPr="00D32803" w:rsidRDefault="00AA48EB" w:rsidP="00AA48EB">
      <w:pPr>
        <w:numPr>
          <w:ilvl w:val="0"/>
          <w:numId w:val="8"/>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Supply chain reliability and agility measures.</w:t>
      </w:r>
    </w:p>
    <w:p w14:paraId="2F51FE09" w14:textId="77777777" w:rsidR="00AA48EB" w:rsidRPr="00D32803" w:rsidRDefault="00AA48EB" w:rsidP="00AA48EB">
      <w:pPr>
        <w:numPr>
          <w:ilvl w:val="0"/>
          <w:numId w:val="8"/>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Sustainability aims at accomplishment (emissions, packaging, sourcing)</w:t>
      </w:r>
    </w:p>
    <w:p w14:paraId="778B77FB"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Initiatives:</w:t>
      </w:r>
    </w:p>
    <w:p w14:paraId="3C86DAC9" w14:textId="77777777" w:rsidR="00AA48EB" w:rsidRPr="00D32803" w:rsidRDefault="00AA48EB" w:rsidP="00AA48EB">
      <w:pPr>
        <w:numPr>
          <w:ilvl w:val="0"/>
          <w:numId w:val="9"/>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 xml:space="preserve">Automation and </w:t>
      </w:r>
      <w:proofErr w:type="spellStart"/>
      <w:r w:rsidRPr="00D32803">
        <w:rPr>
          <w:rFonts w:ascii="Arial" w:eastAsia="Aptos" w:hAnsi="Arial" w:cs="Arial"/>
          <w:bCs/>
          <w:kern w:val="0"/>
          <w:sz w:val="24"/>
          <w:szCs w:val="24"/>
          <w:lang w:val="en-US" w:bidi="bn-BD"/>
        </w:rPr>
        <w:t>digitalisation</w:t>
      </w:r>
      <w:proofErr w:type="spellEnd"/>
      <w:r w:rsidRPr="00D32803">
        <w:rPr>
          <w:rFonts w:ascii="Arial" w:eastAsia="Aptos" w:hAnsi="Arial" w:cs="Arial"/>
          <w:bCs/>
          <w:kern w:val="0"/>
          <w:sz w:val="24"/>
          <w:szCs w:val="24"/>
          <w:lang w:val="en-US" w:bidi="bn-BD"/>
        </w:rPr>
        <w:t xml:space="preserve"> </w:t>
      </w:r>
      <w:proofErr w:type="spellStart"/>
      <w:r w:rsidRPr="00D32803">
        <w:rPr>
          <w:rFonts w:ascii="Arial" w:eastAsia="Aptos" w:hAnsi="Arial" w:cs="Arial"/>
          <w:bCs/>
          <w:kern w:val="0"/>
          <w:sz w:val="24"/>
          <w:szCs w:val="24"/>
          <w:lang w:val="en-US" w:bidi="bn-BD"/>
        </w:rPr>
        <w:t>programmes</w:t>
      </w:r>
      <w:proofErr w:type="spellEnd"/>
      <w:r w:rsidRPr="00D32803">
        <w:rPr>
          <w:rFonts w:ascii="Arial" w:eastAsia="Aptos" w:hAnsi="Arial" w:cs="Arial"/>
          <w:bCs/>
          <w:kern w:val="0"/>
          <w:sz w:val="24"/>
          <w:szCs w:val="24"/>
          <w:lang w:val="en-US" w:bidi="bn-BD"/>
        </w:rPr>
        <w:t xml:space="preserve"> at factories.</w:t>
      </w:r>
    </w:p>
    <w:p w14:paraId="1C841B93" w14:textId="77777777" w:rsidR="00AA48EB" w:rsidRPr="00D32803" w:rsidRDefault="00AA48EB" w:rsidP="00AA48EB">
      <w:pPr>
        <w:numPr>
          <w:ilvl w:val="0"/>
          <w:numId w:val="9"/>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Improvement in supplier relationship management.</w:t>
      </w:r>
    </w:p>
    <w:p w14:paraId="1322A5FB" w14:textId="77777777" w:rsidR="00AA48EB" w:rsidRPr="00D32803" w:rsidRDefault="00AA48EB" w:rsidP="00AA48EB">
      <w:pPr>
        <w:numPr>
          <w:ilvl w:val="0"/>
          <w:numId w:val="9"/>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 xml:space="preserve">Inventory </w:t>
      </w:r>
      <w:proofErr w:type="spellStart"/>
      <w:r w:rsidRPr="00D32803">
        <w:rPr>
          <w:rFonts w:ascii="Arial" w:eastAsia="Aptos" w:hAnsi="Arial" w:cs="Arial"/>
          <w:bCs/>
          <w:kern w:val="0"/>
          <w:sz w:val="24"/>
          <w:szCs w:val="24"/>
          <w:lang w:val="en-US" w:bidi="bn-BD"/>
        </w:rPr>
        <w:t>optimisation</w:t>
      </w:r>
      <w:proofErr w:type="spellEnd"/>
      <w:r w:rsidRPr="00D32803">
        <w:rPr>
          <w:rFonts w:ascii="Arial" w:eastAsia="Aptos" w:hAnsi="Arial" w:cs="Arial"/>
          <w:bCs/>
          <w:kern w:val="0"/>
          <w:sz w:val="24"/>
          <w:szCs w:val="24"/>
          <w:lang w:val="en-US" w:bidi="bn-BD"/>
        </w:rPr>
        <w:t xml:space="preserve"> and demand sensing.</w:t>
      </w:r>
    </w:p>
    <w:p w14:paraId="33463DEA" w14:textId="77777777" w:rsidR="00AA48EB" w:rsidRPr="00D32803" w:rsidRDefault="00AA48EB" w:rsidP="00AA48EB">
      <w:pPr>
        <w:numPr>
          <w:ilvl w:val="0"/>
          <w:numId w:val="9"/>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Green energy shift and garbage eradication.</w:t>
      </w:r>
    </w:p>
    <w:p w14:paraId="28C20889" w14:textId="77777777" w:rsidR="00AA48EB" w:rsidRPr="00D32803" w:rsidRDefault="00AA48EB" w:rsidP="00AA48EB">
      <w:pPr>
        <w:spacing w:line="360" w:lineRule="auto"/>
        <w:jc w:val="both"/>
        <w:rPr>
          <w:rFonts w:ascii="Arial" w:eastAsia="Aptos" w:hAnsi="Arial" w:cs="Arial"/>
          <w:b/>
          <w:bCs/>
          <w:kern w:val="0"/>
          <w:sz w:val="24"/>
          <w:szCs w:val="24"/>
          <w:lang w:val="en-US" w:bidi="bn-BD"/>
        </w:rPr>
      </w:pPr>
      <w:r w:rsidRPr="00D32803">
        <w:rPr>
          <w:rFonts w:ascii="Arial" w:eastAsia="Aptos" w:hAnsi="Arial" w:cs="Arial"/>
          <w:bCs/>
          <w:kern w:val="0"/>
          <w:sz w:val="24"/>
          <w:szCs w:val="24"/>
          <w:lang w:val="en-US" w:bidi="bn-BD"/>
        </w:rPr>
        <w:t xml:space="preserve">The strengths seen in internal processes are in the area of sustainability integration, but the velocity of innovation has been </w:t>
      </w:r>
      <w:proofErr w:type="spellStart"/>
      <w:r w:rsidRPr="00D32803">
        <w:rPr>
          <w:rFonts w:ascii="Arial" w:eastAsia="Aptos" w:hAnsi="Arial" w:cs="Arial"/>
          <w:bCs/>
          <w:kern w:val="0"/>
          <w:sz w:val="24"/>
          <w:szCs w:val="24"/>
          <w:lang w:val="en-US" w:bidi="bn-BD"/>
        </w:rPr>
        <w:t>criticised</w:t>
      </w:r>
      <w:proofErr w:type="spellEnd"/>
      <w:r w:rsidRPr="00D32803">
        <w:rPr>
          <w:rFonts w:ascii="Arial" w:eastAsia="Aptos" w:hAnsi="Arial" w:cs="Arial"/>
          <w:bCs/>
          <w:kern w:val="0"/>
          <w:sz w:val="24"/>
          <w:szCs w:val="24"/>
          <w:lang w:val="en-US" w:bidi="bn-BD"/>
        </w:rPr>
        <w:t xml:space="preserve"> compared to more agile competitors (Bernstein Research, 2023).</w:t>
      </w:r>
    </w:p>
    <w:p w14:paraId="36CE3108"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4.5 Perspective of Learning and Growth.</w:t>
      </w:r>
    </w:p>
    <w:p w14:paraId="1F3BE1C4" w14:textId="77777777" w:rsidR="00AA48EB" w:rsidRPr="00D32803" w:rsidRDefault="00AA48EB" w:rsidP="00AA48EB">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 xml:space="preserve">This is the view on the development of </w:t>
      </w:r>
      <w:proofErr w:type="spellStart"/>
      <w:r w:rsidRPr="00D32803">
        <w:rPr>
          <w:rFonts w:ascii="Arial" w:eastAsia="Aptos" w:hAnsi="Arial" w:cs="Arial"/>
          <w:kern w:val="0"/>
          <w:sz w:val="24"/>
          <w:szCs w:val="24"/>
          <w:lang w:val="en-US" w:bidi="bn-BD"/>
        </w:rPr>
        <w:t>organisational</w:t>
      </w:r>
      <w:proofErr w:type="spellEnd"/>
      <w:r w:rsidRPr="00D32803">
        <w:rPr>
          <w:rFonts w:ascii="Arial" w:eastAsia="Aptos" w:hAnsi="Arial" w:cs="Arial"/>
          <w:kern w:val="0"/>
          <w:sz w:val="24"/>
          <w:szCs w:val="24"/>
          <w:lang w:val="en-US" w:bidi="bn-BD"/>
        </w:rPr>
        <w:t xml:space="preserve"> capability on the way to success in the future.</w:t>
      </w:r>
    </w:p>
    <w:p w14:paraId="5750D838" w14:textId="77777777" w:rsidR="00AA48EB" w:rsidRPr="00D32803" w:rsidRDefault="00AA48EB" w:rsidP="00AA48EB">
      <w:pPr>
        <w:spacing w:line="360" w:lineRule="auto"/>
        <w:jc w:val="both"/>
        <w:rPr>
          <w:rFonts w:ascii="Arial" w:eastAsia="Aptos" w:hAnsi="Arial" w:cs="Arial"/>
          <w:b/>
          <w:kern w:val="0"/>
          <w:sz w:val="24"/>
          <w:szCs w:val="24"/>
          <w:lang w:val="en-US" w:bidi="bn-BD"/>
        </w:rPr>
      </w:pPr>
      <w:r w:rsidRPr="00D32803">
        <w:rPr>
          <w:rFonts w:ascii="Arial" w:eastAsia="Aptos" w:hAnsi="Arial" w:cs="Arial"/>
          <w:b/>
          <w:kern w:val="0"/>
          <w:sz w:val="24"/>
          <w:szCs w:val="24"/>
          <w:lang w:val="en-US" w:bidi="bn-BD"/>
        </w:rPr>
        <w:t>Objectives:</w:t>
      </w:r>
    </w:p>
    <w:p w14:paraId="5383C924" w14:textId="77777777" w:rsidR="00AA48EB" w:rsidRPr="00D32803" w:rsidRDefault="00AA48EB" w:rsidP="00AA48EB">
      <w:pPr>
        <w:numPr>
          <w:ilvl w:val="0"/>
          <w:numId w:val="10"/>
        </w:numPr>
        <w:spacing w:line="360" w:lineRule="auto"/>
        <w:contextualSpacing/>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Become an improved leader in the future.</w:t>
      </w:r>
    </w:p>
    <w:p w14:paraId="01C83A08" w14:textId="77777777" w:rsidR="00AA48EB" w:rsidRPr="00D32803" w:rsidRDefault="00AA48EB" w:rsidP="00AA48EB">
      <w:pPr>
        <w:numPr>
          <w:ilvl w:val="0"/>
          <w:numId w:val="10"/>
        </w:numPr>
        <w:spacing w:line="360" w:lineRule="auto"/>
        <w:contextualSpacing/>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Promote the culture of innovation and agility.</w:t>
      </w:r>
    </w:p>
    <w:p w14:paraId="7966F11C" w14:textId="77777777" w:rsidR="00AA48EB" w:rsidRPr="00D32803" w:rsidRDefault="00AA48EB" w:rsidP="00AA48EB">
      <w:pPr>
        <w:numPr>
          <w:ilvl w:val="0"/>
          <w:numId w:val="10"/>
        </w:numPr>
        <w:spacing w:line="360" w:lineRule="auto"/>
        <w:contextualSpacing/>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establish digital and data analytics.</w:t>
      </w:r>
    </w:p>
    <w:p w14:paraId="7D3CC5D1" w14:textId="77777777" w:rsidR="00AA48EB" w:rsidRPr="00D32803" w:rsidRDefault="00AA48EB" w:rsidP="00AA48EB">
      <w:pPr>
        <w:numPr>
          <w:ilvl w:val="0"/>
          <w:numId w:val="10"/>
        </w:numPr>
        <w:spacing w:line="360" w:lineRule="auto"/>
        <w:contextualSpacing/>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Increase employee interest and health.</w:t>
      </w:r>
    </w:p>
    <w:p w14:paraId="1F7DE36E" w14:textId="77777777" w:rsidR="00AA48EB" w:rsidRPr="00D32803" w:rsidRDefault="00AA48EB" w:rsidP="00AA48EB">
      <w:pPr>
        <w:spacing w:line="360" w:lineRule="auto"/>
        <w:jc w:val="both"/>
        <w:rPr>
          <w:rFonts w:ascii="Arial" w:eastAsia="Aptos" w:hAnsi="Arial" w:cs="Arial"/>
          <w:b/>
          <w:kern w:val="0"/>
          <w:sz w:val="24"/>
          <w:szCs w:val="24"/>
          <w:lang w:val="en-US" w:bidi="bn-BD"/>
        </w:rPr>
      </w:pPr>
      <w:r w:rsidRPr="00D32803">
        <w:rPr>
          <w:rFonts w:ascii="Arial" w:eastAsia="Aptos" w:hAnsi="Arial" w:cs="Arial"/>
          <w:b/>
          <w:kern w:val="0"/>
          <w:sz w:val="24"/>
          <w:szCs w:val="24"/>
          <w:lang w:val="en-US" w:bidi="bn-BD"/>
        </w:rPr>
        <w:t>Key Performance Indicators:</w:t>
      </w:r>
    </w:p>
    <w:p w14:paraId="3B8ABA38" w14:textId="77777777" w:rsidR="00AA48EB" w:rsidRPr="00D32803" w:rsidRDefault="00AA48EB" w:rsidP="00AA48EB">
      <w:pPr>
        <w:numPr>
          <w:ilvl w:val="0"/>
          <w:numId w:val="11"/>
        </w:numPr>
        <w:spacing w:line="360" w:lineRule="auto"/>
        <w:contextualSpacing/>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Employee engagement scores (Target: top quartile vs. peers)</w:t>
      </w:r>
    </w:p>
    <w:p w14:paraId="5416C637" w14:textId="77777777" w:rsidR="00AA48EB" w:rsidRPr="00D32803" w:rsidRDefault="00AA48EB" w:rsidP="00AA48EB">
      <w:pPr>
        <w:numPr>
          <w:ilvl w:val="0"/>
          <w:numId w:val="11"/>
        </w:numPr>
        <w:spacing w:line="360" w:lineRule="auto"/>
        <w:contextualSpacing/>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 xml:space="preserve">The strength measures of </w:t>
      </w:r>
      <w:r>
        <w:rPr>
          <w:rFonts w:ascii="Arial" w:eastAsia="Aptos" w:hAnsi="Arial" w:cs="Arial"/>
          <w:kern w:val="0"/>
          <w:sz w:val="24"/>
          <w:szCs w:val="24"/>
          <w:lang w:val="en-US" w:bidi="bn-BD"/>
        </w:rPr>
        <w:t xml:space="preserve">the </w:t>
      </w:r>
      <w:r w:rsidRPr="00D32803">
        <w:rPr>
          <w:rFonts w:ascii="Arial" w:eastAsia="Aptos" w:hAnsi="Arial" w:cs="Arial"/>
          <w:kern w:val="0"/>
          <w:sz w:val="24"/>
          <w:szCs w:val="24"/>
          <w:lang w:val="en-US" w:bidi="bn-BD"/>
        </w:rPr>
        <w:t>leadership pipeline.</w:t>
      </w:r>
    </w:p>
    <w:p w14:paraId="08BF1DF3" w14:textId="77777777" w:rsidR="00AA48EB" w:rsidRPr="00D32803" w:rsidRDefault="00AA48EB" w:rsidP="00AA48EB">
      <w:pPr>
        <w:numPr>
          <w:ilvl w:val="0"/>
          <w:numId w:val="11"/>
        </w:numPr>
        <w:spacing w:line="360" w:lineRule="auto"/>
        <w:contextualSpacing/>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Digital capability maturity tests.</w:t>
      </w:r>
    </w:p>
    <w:p w14:paraId="26ECB152" w14:textId="77777777" w:rsidR="00AA48EB" w:rsidRPr="00D32803" w:rsidRDefault="00AA48EB" w:rsidP="00AA48EB">
      <w:pPr>
        <w:numPr>
          <w:ilvl w:val="0"/>
          <w:numId w:val="11"/>
        </w:numPr>
        <w:spacing w:line="360" w:lineRule="auto"/>
        <w:contextualSpacing/>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Investment in training and development per employee.</w:t>
      </w:r>
    </w:p>
    <w:p w14:paraId="615B598C" w14:textId="77777777" w:rsidR="00AA48EB" w:rsidRPr="00D32803" w:rsidRDefault="00AA48EB" w:rsidP="00AA48EB">
      <w:pPr>
        <w:spacing w:line="360" w:lineRule="auto"/>
        <w:jc w:val="both"/>
        <w:rPr>
          <w:rFonts w:ascii="Arial" w:eastAsia="Aptos" w:hAnsi="Arial" w:cs="Arial"/>
          <w:b/>
          <w:kern w:val="0"/>
          <w:sz w:val="24"/>
          <w:szCs w:val="24"/>
          <w:lang w:val="en-US" w:bidi="bn-BD"/>
        </w:rPr>
      </w:pPr>
      <w:r w:rsidRPr="00D32803">
        <w:rPr>
          <w:rFonts w:ascii="Arial" w:eastAsia="Aptos" w:hAnsi="Arial" w:cs="Arial"/>
          <w:b/>
          <w:kern w:val="0"/>
          <w:sz w:val="24"/>
          <w:szCs w:val="24"/>
          <w:lang w:val="en-US" w:bidi="bn-BD"/>
        </w:rPr>
        <w:t>Initiatives:</w:t>
      </w:r>
    </w:p>
    <w:p w14:paraId="088749FF" w14:textId="77777777" w:rsidR="00AA48EB" w:rsidRPr="00D32803" w:rsidRDefault="00AA48EB" w:rsidP="00AA48EB">
      <w:pPr>
        <w:numPr>
          <w:ilvl w:val="0"/>
          <w:numId w:val="12"/>
        </w:numPr>
        <w:spacing w:line="360" w:lineRule="auto"/>
        <w:contextualSpacing/>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 xml:space="preserve">Succession planning and leadership development </w:t>
      </w:r>
      <w:proofErr w:type="spellStart"/>
      <w:r w:rsidRPr="00D32803">
        <w:rPr>
          <w:rFonts w:ascii="Arial" w:eastAsia="Aptos" w:hAnsi="Arial" w:cs="Arial"/>
          <w:kern w:val="0"/>
          <w:sz w:val="24"/>
          <w:szCs w:val="24"/>
          <w:lang w:val="en-US" w:bidi="bn-BD"/>
        </w:rPr>
        <w:t>programmes</w:t>
      </w:r>
      <w:proofErr w:type="spellEnd"/>
      <w:r w:rsidRPr="00D32803">
        <w:rPr>
          <w:rFonts w:ascii="Arial" w:eastAsia="Aptos" w:hAnsi="Arial" w:cs="Arial"/>
          <w:kern w:val="0"/>
          <w:sz w:val="24"/>
          <w:szCs w:val="24"/>
          <w:lang w:val="en-US" w:bidi="bn-BD"/>
        </w:rPr>
        <w:t>.</w:t>
      </w:r>
    </w:p>
    <w:p w14:paraId="492E71F6" w14:textId="77777777" w:rsidR="00AA48EB" w:rsidRPr="00D32803" w:rsidRDefault="00AA48EB" w:rsidP="00AA48EB">
      <w:pPr>
        <w:numPr>
          <w:ilvl w:val="0"/>
          <w:numId w:val="12"/>
        </w:numPr>
        <w:spacing w:line="360" w:lineRule="auto"/>
        <w:contextualSpacing/>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 xml:space="preserve">Digital skills training in the </w:t>
      </w:r>
      <w:proofErr w:type="spellStart"/>
      <w:r w:rsidRPr="00D32803">
        <w:rPr>
          <w:rFonts w:ascii="Arial" w:eastAsia="Aptos" w:hAnsi="Arial" w:cs="Arial"/>
          <w:kern w:val="0"/>
          <w:sz w:val="24"/>
          <w:szCs w:val="24"/>
          <w:lang w:val="en-US" w:bidi="bn-BD"/>
        </w:rPr>
        <w:t>organisation</w:t>
      </w:r>
      <w:proofErr w:type="spellEnd"/>
      <w:r w:rsidRPr="00D32803">
        <w:rPr>
          <w:rFonts w:ascii="Arial" w:eastAsia="Aptos" w:hAnsi="Arial" w:cs="Arial"/>
          <w:kern w:val="0"/>
          <w:sz w:val="24"/>
          <w:szCs w:val="24"/>
          <w:lang w:val="en-US" w:bidi="bn-BD"/>
        </w:rPr>
        <w:t>.</w:t>
      </w:r>
    </w:p>
    <w:p w14:paraId="15D6B84C" w14:textId="77777777" w:rsidR="00AA48EB" w:rsidRPr="00D32803" w:rsidRDefault="00AA48EB" w:rsidP="00AA48EB">
      <w:pPr>
        <w:numPr>
          <w:ilvl w:val="0"/>
          <w:numId w:val="12"/>
        </w:numPr>
        <w:spacing w:line="360" w:lineRule="auto"/>
        <w:contextualSpacing/>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lastRenderedPageBreak/>
        <w:t xml:space="preserve">Streamlining of </w:t>
      </w:r>
      <w:proofErr w:type="spellStart"/>
      <w:r w:rsidRPr="00D32803">
        <w:rPr>
          <w:rFonts w:ascii="Arial" w:eastAsia="Aptos" w:hAnsi="Arial" w:cs="Arial"/>
          <w:kern w:val="0"/>
          <w:sz w:val="24"/>
          <w:szCs w:val="24"/>
          <w:lang w:val="en-US" w:bidi="bn-BD"/>
        </w:rPr>
        <w:t>organisations</w:t>
      </w:r>
      <w:proofErr w:type="spellEnd"/>
      <w:r w:rsidRPr="00D32803">
        <w:rPr>
          <w:rFonts w:ascii="Arial" w:eastAsia="Aptos" w:hAnsi="Arial" w:cs="Arial"/>
          <w:kern w:val="0"/>
          <w:sz w:val="24"/>
          <w:szCs w:val="24"/>
          <w:lang w:val="en-US" w:bidi="bn-BD"/>
        </w:rPr>
        <w:t xml:space="preserve"> to enhance less bureaucracy.</w:t>
      </w:r>
    </w:p>
    <w:p w14:paraId="6968EB7D" w14:textId="77777777" w:rsidR="00AA48EB" w:rsidRPr="00D32803" w:rsidRDefault="00AA48EB" w:rsidP="00AA48EB">
      <w:pPr>
        <w:numPr>
          <w:ilvl w:val="0"/>
          <w:numId w:val="12"/>
        </w:numPr>
        <w:spacing w:line="360" w:lineRule="auto"/>
        <w:contextualSpacing/>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 xml:space="preserve">Diversity, equity and inclusion </w:t>
      </w:r>
      <w:proofErr w:type="spellStart"/>
      <w:r w:rsidRPr="00D32803">
        <w:rPr>
          <w:rFonts w:ascii="Arial" w:eastAsia="Aptos" w:hAnsi="Arial" w:cs="Arial"/>
          <w:kern w:val="0"/>
          <w:sz w:val="24"/>
          <w:szCs w:val="24"/>
          <w:lang w:val="en-US" w:bidi="bn-BD"/>
        </w:rPr>
        <w:t>programmes</w:t>
      </w:r>
      <w:proofErr w:type="spellEnd"/>
      <w:r w:rsidRPr="00D32803">
        <w:rPr>
          <w:rFonts w:ascii="Arial" w:eastAsia="Aptos" w:hAnsi="Arial" w:cs="Arial"/>
          <w:kern w:val="0"/>
          <w:sz w:val="24"/>
          <w:szCs w:val="24"/>
          <w:lang w:val="en-US" w:bidi="bn-BD"/>
        </w:rPr>
        <w:t>.</w:t>
      </w:r>
    </w:p>
    <w:p w14:paraId="791EF6DE" w14:textId="77777777" w:rsidR="00AA48EB" w:rsidRPr="00D32803" w:rsidRDefault="00AA48EB" w:rsidP="00AA48EB">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The focus on learning and growth demonstrates the inner priorities of the CEO Hein Schumacher towards the culture of agility and transformation of performance (Unilever, 2023a).</w:t>
      </w:r>
    </w:p>
    <w:p w14:paraId="33F1A866" w14:textId="77777777" w:rsidR="00AA48EB" w:rsidRPr="00D32803" w:rsidRDefault="00AA48EB" w:rsidP="00AA48EB">
      <w:pPr>
        <w:spacing w:line="360" w:lineRule="auto"/>
        <w:jc w:val="both"/>
        <w:rPr>
          <w:rFonts w:ascii="Arial" w:eastAsia="Aptos" w:hAnsi="Arial" w:cs="Arial"/>
          <w:b/>
          <w:kern w:val="0"/>
          <w:sz w:val="24"/>
          <w:szCs w:val="24"/>
          <w:lang w:val="en-US" w:bidi="bn-BD"/>
        </w:rPr>
      </w:pPr>
      <w:r w:rsidRPr="00D32803">
        <w:rPr>
          <w:rFonts w:ascii="Arial" w:eastAsia="Aptos" w:hAnsi="Arial" w:cs="Arial"/>
          <w:b/>
          <w:kern w:val="0"/>
          <w:sz w:val="24"/>
          <w:szCs w:val="24"/>
          <w:lang w:val="en-US" w:bidi="bn-BD"/>
        </w:rPr>
        <w:t>5.0 Strategic Decisions and Implementation.</w:t>
      </w:r>
    </w:p>
    <w:p w14:paraId="58D60D5F" w14:textId="77777777" w:rsidR="00AA48EB" w:rsidRPr="00D32803" w:rsidRDefault="00AA48EB" w:rsidP="00AA48EB">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Towards the close of this session, we shall examine the evaluation of the business-level strategy.</w:t>
      </w:r>
    </w:p>
    <w:p w14:paraId="26CBD7D2" w14:textId="77777777" w:rsidR="00AA48EB" w:rsidRPr="00D32803" w:rsidRDefault="00AA48EB" w:rsidP="00AA48EB">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Competitive positioning in specific markets is determined by business-level strategy. As Michael Porter (1985) says, companies should focus and differentiate or aim towards cost leadership to prevent strategic incoherence.</w:t>
      </w:r>
    </w:p>
    <w:p w14:paraId="752352C0" w14:textId="4CDA0CA8" w:rsidR="00AA48EB" w:rsidRPr="00D32803" w:rsidRDefault="00AA48EB" w:rsidP="00AA48EB">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 xml:space="preserve">Unilever has, over time been on a differentiation quest where it has </w:t>
      </w:r>
      <w:proofErr w:type="spellStart"/>
      <w:r w:rsidRPr="00D32803">
        <w:rPr>
          <w:rFonts w:ascii="Arial" w:eastAsia="Aptos" w:hAnsi="Arial" w:cs="Arial"/>
          <w:kern w:val="0"/>
          <w:sz w:val="24"/>
          <w:szCs w:val="24"/>
          <w:lang w:val="en-US" w:bidi="bn-BD"/>
        </w:rPr>
        <w:t>capitalised</w:t>
      </w:r>
      <w:proofErr w:type="spellEnd"/>
      <w:r w:rsidRPr="00D32803">
        <w:rPr>
          <w:rFonts w:ascii="Arial" w:eastAsia="Aptos" w:hAnsi="Arial" w:cs="Arial"/>
          <w:kern w:val="0"/>
          <w:sz w:val="24"/>
          <w:szCs w:val="24"/>
          <w:lang w:val="en-US" w:bidi="bn-BD"/>
        </w:rPr>
        <w:t xml:space="preserve"> on brand equity, innovation, and sustainability positioning. There are brands like Dove, Seventh Generation and Dermalogica that </w:t>
      </w:r>
      <w:r w:rsidR="00750398">
        <w:rPr>
          <w:rFonts w:ascii="Arial" w:eastAsia="Aptos" w:hAnsi="Arial" w:cs="Arial"/>
          <w:kern w:val="0"/>
          <w:sz w:val="24"/>
          <w:szCs w:val="24"/>
          <w:lang w:val="en-US" w:bidi="bn-BD"/>
        </w:rPr>
        <w:t>can</w:t>
      </w:r>
      <w:r w:rsidRPr="00D32803">
        <w:rPr>
          <w:rFonts w:ascii="Arial" w:eastAsia="Aptos" w:hAnsi="Arial" w:cs="Arial"/>
          <w:kern w:val="0"/>
          <w:sz w:val="24"/>
          <w:szCs w:val="24"/>
          <w:lang w:val="en-US" w:bidi="bn-BD"/>
        </w:rPr>
        <w:t xml:space="preserve"> charge higher prices depending on the quality, ethical orientation, and operational excellence. This is in line with the differentiation in terms of brand identity and product attributes.</w:t>
      </w:r>
    </w:p>
    <w:p w14:paraId="672A8A2E" w14:textId="77777777" w:rsidR="00AA48EB" w:rsidRPr="00D32803" w:rsidRDefault="00AA48EB" w:rsidP="00AA48EB">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 xml:space="preserve">Unilever is not a pure cost leader; however, it is enjoying the economies of scale, which help in maintaining margins. Nevertheless, the increased intensity of competition of the other labels by the largest retailers necessitates constant justification of value. The efficiency </w:t>
      </w:r>
      <w:proofErr w:type="spellStart"/>
      <w:r w:rsidRPr="00D32803">
        <w:rPr>
          <w:rFonts w:ascii="Arial" w:eastAsia="Aptos" w:hAnsi="Arial" w:cs="Arial"/>
          <w:kern w:val="0"/>
          <w:sz w:val="24"/>
          <w:szCs w:val="24"/>
          <w:lang w:val="en-US" w:bidi="bn-BD"/>
        </w:rPr>
        <w:t>programmes</w:t>
      </w:r>
      <w:proofErr w:type="spellEnd"/>
      <w:r w:rsidRPr="00D32803">
        <w:rPr>
          <w:rFonts w:ascii="Arial" w:eastAsia="Aptos" w:hAnsi="Arial" w:cs="Arial"/>
          <w:kern w:val="0"/>
          <w:sz w:val="24"/>
          <w:szCs w:val="24"/>
          <w:lang w:val="en-US" w:bidi="bn-BD"/>
        </w:rPr>
        <w:t xml:space="preserve"> have attempted to improve productivity without compromising on innovation and investment in marketing.</w:t>
      </w:r>
    </w:p>
    <w:p w14:paraId="6603FF6B" w14:textId="77777777" w:rsidR="00AA48EB" w:rsidRPr="00D32803" w:rsidRDefault="00AA48EB" w:rsidP="00AA48EB">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Aspects of focused differentiation are seen in prestige beauty and green segments.</w:t>
      </w:r>
    </w:p>
    <w:p w14:paraId="426A9D9D" w14:textId="77777777" w:rsidR="00AA48EB" w:rsidRPr="00D32803" w:rsidRDefault="00AA48EB" w:rsidP="00AA48EB">
      <w:pPr>
        <w:spacing w:line="360" w:lineRule="auto"/>
        <w:jc w:val="both"/>
        <w:rPr>
          <w:rFonts w:ascii="Arial" w:eastAsia="Aptos" w:hAnsi="Arial" w:cs="Arial"/>
          <w:b/>
          <w:bCs/>
          <w:kern w:val="0"/>
          <w:sz w:val="24"/>
          <w:szCs w:val="24"/>
          <w:lang w:val="en-US" w:bidi="bn-BD"/>
        </w:rPr>
      </w:pPr>
      <w:r w:rsidRPr="00D32803">
        <w:rPr>
          <w:rFonts w:ascii="Arial" w:eastAsia="Aptos" w:hAnsi="Arial" w:cs="Arial"/>
          <w:b/>
          <w:kern w:val="0"/>
          <w:sz w:val="24"/>
          <w:szCs w:val="24"/>
          <w:lang w:val="en-US" w:bidi="bn-BD"/>
        </w:rPr>
        <w:t>Recommendation:</w:t>
      </w:r>
      <w:r w:rsidRPr="00D32803">
        <w:rPr>
          <w:rFonts w:ascii="Arial" w:eastAsia="Aptos" w:hAnsi="Arial" w:cs="Arial"/>
          <w:kern w:val="0"/>
          <w:sz w:val="24"/>
          <w:szCs w:val="24"/>
          <w:lang w:val="en-US" w:bidi="bn-BD"/>
        </w:rPr>
        <w:t xml:space="preserve"> Unilever needs to increase focused differentiation- to focus more on the categories in which the brand equities and innovations can have a defensible premium and get rid of the underperforming ones. This is in line with the few, bigger, better innovation agenda of the CEO Hein Schumacher (Unilever, 2023a). It is clear </w:t>
      </w:r>
      <w:proofErr w:type="spellStart"/>
      <w:r w:rsidRPr="00D32803">
        <w:rPr>
          <w:rFonts w:ascii="Arial" w:eastAsia="Aptos" w:hAnsi="Arial" w:cs="Arial"/>
          <w:kern w:val="0"/>
          <w:sz w:val="24"/>
          <w:szCs w:val="24"/>
          <w:lang w:val="en-US" w:bidi="bn-BD"/>
        </w:rPr>
        <w:t>prioritisation</w:t>
      </w:r>
      <w:proofErr w:type="spellEnd"/>
      <w:r w:rsidRPr="00D32803">
        <w:rPr>
          <w:rFonts w:ascii="Arial" w:eastAsia="Aptos" w:hAnsi="Arial" w:cs="Arial"/>
          <w:kern w:val="0"/>
          <w:sz w:val="24"/>
          <w:szCs w:val="24"/>
          <w:lang w:val="en-US" w:bidi="bn-BD"/>
        </w:rPr>
        <w:t xml:space="preserve"> that prevents the risk of being stuck in the middle.</w:t>
      </w:r>
    </w:p>
    <w:p w14:paraId="0F2D5F8A"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5.2 Assessment of Corporate Level Strategy.</w:t>
      </w:r>
    </w:p>
    <w:p w14:paraId="5AB6D9E4"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Strategic opportunities of companies deal with the scope of portfolios and allocation of resources.</w:t>
      </w:r>
    </w:p>
    <w:p w14:paraId="33D1F8D7"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lastRenderedPageBreak/>
        <w:t>Unilever operates across three businesses: food, home care and beauty. Using the BCG logic by Henderson (1979), the beauty and well-being segment can be viewed as a star, whereas mature food lines can be a cash cow. The company has related diversification, with distribution facilities, consumer understanding, and branding capacities which are shared across classes.</w:t>
      </w:r>
    </w:p>
    <w:p w14:paraId="194410FF"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 xml:space="preserve">On a global scale, Unilever is a transnational </w:t>
      </w:r>
      <w:proofErr w:type="spellStart"/>
      <w:r w:rsidRPr="00D32803">
        <w:rPr>
          <w:rFonts w:ascii="Arial" w:eastAsia="Aptos" w:hAnsi="Arial" w:cs="Arial"/>
          <w:bCs/>
          <w:kern w:val="0"/>
          <w:sz w:val="24"/>
          <w:szCs w:val="24"/>
          <w:lang w:val="en-US" w:bidi="bn-BD"/>
        </w:rPr>
        <w:t>organisation</w:t>
      </w:r>
      <w:proofErr w:type="spellEnd"/>
      <w:r w:rsidRPr="00D32803">
        <w:rPr>
          <w:rFonts w:ascii="Arial" w:eastAsia="Aptos" w:hAnsi="Arial" w:cs="Arial"/>
          <w:bCs/>
          <w:kern w:val="0"/>
          <w:sz w:val="24"/>
          <w:szCs w:val="24"/>
          <w:lang w:val="en-US" w:bidi="bn-BD"/>
        </w:rPr>
        <w:t xml:space="preserve">, which is in line with Christopher Bartlett and Sumantra Ghoshal (1989), which balances </w:t>
      </w:r>
      <w:proofErr w:type="spellStart"/>
      <w:r w:rsidRPr="00D32803">
        <w:rPr>
          <w:rFonts w:ascii="Arial" w:eastAsia="Aptos" w:hAnsi="Arial" w:cs="Arial"/>
          <w:bCs/>
          <w:kern w:val="0"/>
          <w:sz w:val="24"/>
          <w:szCs w:val="24"/>
          <w:lang w:val="en-US" w:bidi="bn-BD"/>
        </w:rPr>
        <w:t>globalisation</w:t>
      </w:r>
      <w:proofErr w:type="spellEnd"/>
      <w:r w:rsidRPr="00D32803">
        <w:rPr>
          <w:rFonts w:ascii="Arial" w:eastAsia="Aptos" w:hAnsi="Arial" w:cs="Arial"/>
          <w:bCs/>
          <w:kern w:val="0"/>
          <w:sz w:val="24"/>
          <w:szCs w:val="24"/>
          <w:lang w:val="en-US" w:bidi="bn-BD"/>
        </w:rPr>
        <w:t xml:space="preserve"> with local sensitivity.</w:t>
      </w:r>
    </w:p>
    <w:p w14:paraId="634CC5A6"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Advice: It is possible to recommend selective portfolio concentration. This direction is shown in the latest news about the separation of the ice cream division (Unilever, 2024). The strategic priorities should involve:</w:t>
      </w:r>
    </w:p>
    <w:p w14:paraId="1347684B" w14:textId="77777777" w:rsidR="00AA48EB" w:rsidRPr="00D32803" w:rsidRDefault="00AA48EB" w:rsidP="00AA48EB">
      <w:pPr>
        <w:numPr>
          <w:ilvl w:val="0"/>
          <w:numId w:val="13"/>
        </w:numPr>
        <w:spacing w:line="360" w:lineRule="auto"/>
        <w:contextualSpacing/>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Sales of structurally sluggish non-core businesses.</w:t>
      </w:r>
    </w:p>
    <w:p w14:paraId="3578C9CE" w14:textId="77777777" w:rsidR="00AA48EB" w:rsidRPr="00D32803" w:rsidRDefault="00AA48EB" w:rsidP="00AA48EB">
      <w:pPr>
        <w:numPr>
          <w:ilvl w:val="0"/>
          <w:numId w:val="13"/>
        </w:numPr>
        <w:spacing w:line="360" w:lineRule="auto"/>
        <w:contextualSpacing/>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Premium beauty expansion by targeted acquisitions.</w:t>
      </w:r>
    </w:p>
    <w:p w14:paraId="75E2C564" w14:textId="77777777" w:rsidR="00AA48EB" w:rsidRPr="00D32803" w:rsidRDefault="00AA48EB" w:rsidP="00AA48EB">
      <w:pPr>
        <w:numPr>
          <w:ilvl w:val="0"/>
          <w:numId w:val="13"/>
        </w:numPr>
        <w:spacing w:line="360" w:lineRule="auto"/>
        <w:contextualSpacing/>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Enhancing the new market cutoff, where the volume can be expanded by demographic growth.</w:t>
      </w:r>
    </w:p>
    <w:p w14:paraId="17BB7A34"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 xml:space="preserve">These actions comply with the principles of portfolio coherence and synergy </w:t>
      </w:r>
      <w:proofErr w:type="spellStart"/>
      <w:r w:rsidRPr="00D32803">
        <w:rPr>
          <w:rFonts w:ascii="Arial" w:eastAsia="Aptos" w:hAnsi="Arial" w:cs="Arial"/>
          <w:bCs/>
          <w:kern w:val="0"/>
          <w:sz w:val="24"/>
          <w:szCs w:val="24"/>
          <w:lang w:val="en-US" w:bidi="bn-BD"/>
        </w:rPr>
        <w:t>optimisation</w:t>
      </w:r>
      <w:proofErr w:type="spellEnd"/>
      <w:r w:rsidRPr="00D32803">
        <w:rPr>
          <w:rFonts w:ascii="Arial" w:eastAsia="Aptos" w:hAnsi="Arial" w:cs="Arial"/>
          <w:bCs/>
          <w:kern w:val="0"/>
          <w:sz w:val="24"/>
          <w:szCs w:val="24"/>
          <w:lang w:val="en-US" w:bidi="bn-BD"/>
        </w:rPr>
        <w:t xml:space="preserve"> (Campbell et al., 1995).</w:t>
      </w:r>
    </w:p>
    <w:p w14:paraId="0E4BCD86"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5.3 Change Management and Strategic Implementation.</w:t>
      </w:r>
    </w:p>
    <w:p w14:paraId="0D183CBD"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The leadership has made transitions of Paul Polman to Alan Jope and then to Schumacher under strategic implementation. Finding equilibrium between the sustainability heritage and the reinvented financial discipline is a central conflict.</w:t>
      </w:r>
    </w:p>
    <w:p w14:paraId="75DED4D5"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Applying the force field analysis of Kurt Lewin (1951), investor activism and competition underperformance are seen as driving forces and cultural attachment to legacy sustainability positioning is seen as a restraining force. The model developed by John Kotter (1996) puts special emphasis on creating urgency, forming coalitions, and embedding culture.</w:t>
      </w:r>
    </w:p>
    <w:p w14:paraId="0097D5BC"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The complexity of implementation is still high. The geographic dispersion and matrix structures are additive to coordination costs. As Henry Mintzberg (1994) noted, execution is usually more challenging than formulation, especially in big multinational companies.</w:t>
      </w:r>
    </w:p>
    <w:p w14:paraId="5BEF4591"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lastRenderedPageBreak/>
        <w:t>6.0 strategic evaluation and recommendations</w:t>
      </w:r>
    </w:p>
    <w:p w14:paraId="054CB554"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6.1 SWOT Analysis</w:t>
      </w:r>
    </w:p>
    <w:p w14:paraId="6AD51ACD" w14:textId="77777777" w:rsidR="00AA48EB" w:rsidRPr="00D32803" w:rsidRDefault="00AA48EB" w:rsidP="00AA48EB">
      <w:pPr>
        <w:spacing w:line="360" w:lineRule="auto"/>
        <w:jc w:val="both"/>
        <w:rPr>
          <w:rFonts w:ascii="Arial" w:eastAsia="Aptos" w:hAnsi="Arial" w:cs="Arial"/>
          <w:kern w:val="0"/>
          <w:sz w:val="24"/>
          <w:szCs w:val="24"/>
          <w:lang w:val="en-US" w:bidi="bn-BD"/>
        </w:rPr>
      </w:pPr>
      <w:r w:rsidRPr="00D32803">
        <w:rPr>
          <w:rFonts w:ascii="Arial" w:eastAsia="Aptos" w:hAnsi="Arial" w:cs="Arial"/>
          <w:bCs/>
          <w:kern w:val="0"/>
          <w:sz w:val="24"/>
          <w:szCs w:val="24"/>
          <w:lang w:val="en-US" w:bidi="bn-BD"/>
        </w:rPr>
        <w:t>SWOT analysis is a synthesis of both internal and external forces on strategic positioning (Helms and Nixon, 2010).</w:t>
      </w:r>
    </w:p>
    <w:tbl>
      <w:tblPr>
        <w:tblStyle w:val="TableGrid1"/>
        <w:tblW w:w="9360" w:type="dxa"/>
        <w:tblLook w:val="04A0" w:firstRow="1" w:lastRow="0" w:firstColumn="1" w:lastColumn="0" w:noHBand="0" w:noVBand="1"/>
      </w:tblPr>
      <w:tblGrid>
        <w:gridCol w:w="4745"/>
        <w:gridCol w:w="4615"/>
      </w:tblGrid>
      <w:tr w:rsidR="00AA48EB" w:rsidRPr="00D32803" w14:paraId="0C2FDD38" w14:textId="77777777" w:rsidTr="004434E9">
        <w:tc>
          <w:tcPr>
            <w:tcW w:w="0" w:type="auto"/>
            <w:noWrap/>
            <w:hideMark/>
          </w:tcPr>
          <w:p w14:paraId="0C7208A9" w14:textId="77777777" w:rsidR="00AA48EB" w:rsidRPr="00D32803" w:rsidRDefault="00AA48EB" w:rsidP="004434E9">
            <w:pPr>
              <w:spacing w:line="360" w:lineRule="auto"/>
              <w:rPr>
                <w:rFonts w:ascii="Arial" w:eastAsia="Aptos" w:hAnsi="Arial" w:cs="Arial"/>
                <w:b/>
                <w:bCs/>
                <w:sz w:val="24"/>
                <w:szCs w:val="24"/>
              </w:rPr>
            </w:pPr>
            <w:r w:rsidRPr="00D32803">
              <w:rPr>
                <w:rFonts w:ascii="Arial" w:eastAsia="Aptos" w:hAnsi="Arial" w:cs="Arial"/>
                <w:b/>
                <w:bCs/>
                <w:sz w:val="24"/>
                <w:szCs w:val="24"/>
              </w:rPr>
              <w:t>Strengths</w:t>
            </w:r>
          </w:p>
        </w:tc>
        <w:tc>
          <w:tcPr>
            <w:tcW w:w="0" w:type="auto"/>
            <w:noWrap/>
            <w:hideMark/>
          </w:tcPr>
          <w:p w14:paraId="0DC2FB50" w14:textId="77777777" w:rsidR="00AA48EB" w:rsidRPr="00D32803" w:rsidRDefault="00AA48EB" w:rsidP="004434E9">
            <w:pPr>
              <w:spacing w:line="360" w:lineRule="auto"/>
              <w:rPr>
                <w:rFonts w:ascii="Arial" w:eastAsia="Aptos" w:hAnsi="Arial" w:cs="Arial"/>
                <w:b/>
                <w:bCs/>
                <w:sz w:val="24"/>
                <w:szCs w:val="24"/>
              </w:rPr>
            </w:pPr>
            <w:r w:rsidRPr="00D32803">
              <w:rPr>
                <w:rFonts w:ascii="Arial" w:eastAsia="Aptos" w:hAnsi="Arial" w:cs="Arial"/>
                <w:b/>
                <w:bCs/>
                <w:sz w:val="24"/>
                <w:szCs w:val="24"/>
              </w:rPr>
              <w:t>Weaknesses</w:t>
            </w:r>
          </w:p>
        </w:tc>
      </w:tr>
      <w:tr w:rsidR="00AA48EB" w:rsidRPr="00D32803" w14:paraId="4A40B302" w14:textId="77777777" w:rsidTr="004434E9">
        <w:tc>
          <w:tcPr>
            <w:tcW w:w="0" w:type="auto"/>
            <w:hideMark/>
          </w:tcPr>
          <w:p w14:paraId="234666D1"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Strong brand portfolio with global recognition</w:t>
            </w:r>
          </w:p>
        </w:tc>
        <w:tc>
          <w:tcPr>
            <w:tcW w:w="0" w:type="auto"/>
            <w:hideMark/>
          </w:tcPr>
          <w:p w14:paraId="5EE31F9D"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Portfolio complexity and brand proliferation</w:t>
            </w:r>
          </w:p>
        </w:tc>
      </w:tr>
      <w:tr w:rsidR="00AA48EB" w:rsidRPr="00D32803" w14:paraId="754EB7EE" w14:textId="77777777" w:rsidTr="004434E9">
        <w:tc>
          <w:tcPr>
            <w:tcW w:w="0" w:type="auto"/>
            <w:hideMark/>
          </w:tcPr>
          <w:p w14:paraId="2F203FED"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Extensive global distribution reach</w:t>
            </w:r>
          </w:p>
        </w:tc>
        <w:tc>
          <w:tcPr>
            <w:tcW w:w="0" w:type="auto"/>
            <w:hideMark/>
          </w:tcPr>
          <w:p w14:paraId="034125AB" w14:textId="77777777" w:rsidR="00AA48EB" w:rsidRPr="00D32803" w:rsidRDefault="00AA48EB" w:rsidP="004434E9">
            <w:pPr>
              <w:spacing w:line="360" w:lineRule="auto"/>
              <w:rPr>
                <w:rFonts w:ascii="Arial" w:eastAsia="Aptos" w:hAnsi="Arial" w:cs="Arial"/>
                <w:sz w:val="24"/>
                <w:szCs w:val="24"/>
              </w:rPr>
            </w:pPr>
            <w:proofErr w:type="spellStart"/>
            <w:r w:rsidRPr="00D32803">
              <w:rPr>
                <w:rFonts w:ascii="Arial" w:eastAsia="Aptos" w:hAnsi="Arial" w:cs="Arial"/>
                <w:sz w:val="24"/>
                <w:szCs w:val="24"/>
              </w:rPr>
              <w:t>Organisational</w:t>
            </w:r>
            <w:proofErr w:type="spellEnd"/>
            <w:r w:rsidRPr="00D32803">
              <w:rPr>
                <w:rFonts w:ascii="Arial" w:eastAsia="Aptos" w:hAnsi="Arial" w:cs="Arial"/>
                <w:sz w:val="24"/>
                <w:szCs w:val="24"/>
              </w:rPr>
              <w:t xml:space="preserve"> bureaucracy limiting agility</w:t>
            </w:r>
          </w:p>
        </w:tc>
      </w:tr>
      <w:tr w:rsidR="00AA48EB" w:rsidRPr="00D32803" w14:paraId="367B209E" w14:textId="77777777" w:rsidTr="004434E9">
        <w:tc>
          <w:tcPr>
            <w:tcW w:w="0" w:type="auto"/>
            <w:hideMark/>
          </w:tcPr>
          <w:p w14:paraId="67F3291C"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Sustainability, leadership and reputation</w:t>
            </w:r>
          </w:p>
        </w:tc>
        <w:tc>
          <w:tcPr>
            <w:tcW w:w="0" w:type="auto"/>
            <w:hideMark/>
          </w:tcPr>
          <w:p w14:paraId="767D0D7B"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Recent underperformance vs. competitors</w:t>
            </w:r>
          </w:p>
        </w:tc>
      </w:tr>
      <w:tr w:rsidR="00AA48EB" w:rsidRPr="00D32803" w14:paraId="3E79CB26" w14:textId="77777777" w:rsidTr="004434E9">
        <w:tc>
          <w:tcPr>
            <w:tcW w:w="0" w:type="auto"/>
            <w:hideMark/>
          </w:tcPr>
          <w:p w14:paraId="2C9F2DD5"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Emerging market presence and expertise</w:t>
            </w:r>
          </w:p>
        </w:tc>
        <w:tc>
          <w:tcPr>
            <w:tcW w:w="0" w:type="auto"/>
            <w:hideMark/>
          </w:tcPr>
          <w:p w14:paraId="71AE1573"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Margin pressure from input cost inflation</w:t>
            </w:r>
          </w:p>
        </w:tc>
      </w:tr>
      <w:tr w:rsidR="00AA48EB" w:rsidRPr="00D32803" w14:paraId="07677E23" w14:textId="77777777" w:rsidTr="004434E9">
        <w:tc>
          <w:tcPr>
            <w:tcW w:w="0" w:type="auto"/>
            <w:hideMark/>
          </w:tcPr>
          <w:p w14:paraId="617339B5"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R&amp;D capabilities and innovation heritage</w:t>
            </w:r>
          </w:p>
        </w:tc>
        <w:tc>
          <w:tcPr>
            <w:tcW w:w="0" w:type="auto"/>
            <w:hideMark/>
          </w:tcPr>
          <w:p w14:paraId="1C79CAD8"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Digital capability gaps vs. agile competitors</w:t>
            </w:r>
          </w:p>
        </w:tc>
      </w:tr>
    </w:tbl>
    <w:p w14:paraId="285ECB00" w14:textId="77777777" w:rsidR="00AA48EB" w:rsidRPr="00D32803" w:rsidRDefault="00AA48EB" w:rsidP="00AA48EB">
      <w:pPr>
        <w:spacing w:line="360" w:lineRule="auto"/>
        <w:rPr>
          <w:rFonts w:ascii="Arial" w:eastAsia="Aptos" w:hAnsi="Arial" w:cs="Arial"/>
          <w:vanish/>
          <w:kern w:val="0"/>
          <w:sz w:val="24"/>
          <w:szCs w:val="24"/>
          <w:lang w:val="en-US" w:bidi="bn-BD"/>
        </w:rPr>
      </w:pPr>
    </w:p>
    <w:tbl>
      <w:tblPr>
        <w:tblStyle w:val="TableGrid1"/>
        <w:tblW w:w="9360" w:type="dxa"/>
        <w:tblLook w:val="04A0" w:firstRow="1" w:lastRow="0" w:firstColumn="1" w:lastColumn="0" w:noHBand="0" w:noVBand="1"/>
      </w:tblPr>
      <w:tblGrid>
        <w:gridCol w:w="4482"/>
        <w:gridCol w:w="4878"/>
      </w:tblGrid>
      <w:tr w:rsidR="00AA48EB" w:rsidRPr="00D32803" w14:paraId="7822BF73" w14:textId="77777777" w:rsidTr="004434E9">
        <w:tc>
          <w:tcPr>
            <w:tcW w:w="0" w:type="auto"/>
            <w:noWrap/>
            <w:hideMark/>
          </w:tcPr>
          <w:p w14:paraId="579E8103" w14:textId="77777777" w:rsidR="00AA48EB" w:rsidRPr="00D32803" w:rsidRDefault="00AA48EB" w:rsidP="004434E9">
            <w:pPr>
              <w:spacing w:line="360" w:lineRule="auto"/>
              <w:rPr>
                <w:rFonts w:ascii="Arial" w:eastAsia="Aptos" w:hAnsi="Arial" w:cs="Arial"/>
                <w:b/>
                <w:bCs/>
                <w:sz w:val="24"/>
                <w:szCs w:val="24"/>
              </w:rPr>
            </w:pPr>
            <w:r w:rsidRPr="00D32803">
              <w:rPr>
                <w:rFonts w:ascii="Arial" w:eastAsia="Aptos" w:hAnsi="Arial" w:cs="Arial"/>
                <w:b/>
                <w:bCs/>
                <w:sz w:val="24"/>
                <w:szCs w:val="24"/>
              </w:rPr>
              <w:t>Opportunities</w:t>
            </w:r>
          </w:p>
        </w:tc>
        <w:tc>
          <w:tcPr>
            <w:tcW w:w="0" w:type="auto"/>
            <w:noWrap/>
            <w:hideMark/>
          </w:tcPr>
          <w:p w14:paraId="76C82AE6" w14:textId="77777777" w:rsidR="00AA48EB" w:rsidRPr="00D32803" w:rsidRDefault="00AA48EB" w:rsidP="004434E9">
            <w:pPr>
              <w:spacing w:line="360" w:lineRule="auto"/>
              <w:rPr>
                <w:rFonts w:ascii="Arial" w:eastAsia="Aptos" w:hAnsi="Arial" w:cs="Arial"/>
                <w:b/>
                <w:bCs/>
                <w:sz w:val="24"/>
                <w:szCs w:val="24"/>
              </w:rPr>
            </w:pPr>
            <w:r w:rsidRPr="00D32803">
              <w:rPr>
                <w:rFonts w:ascii="Arial" w:eastAsia="Aptos" w:hAnsi="Arial" w:cs="Arial"/>
                <w:b/>
                <w:bCs/>
                <w:sz w:val="24"/>
                <w:szCs w:val="24"/>
              </w:rPr>
              <w:t>Threats</w:t>
            </w:r>
          </w:p>
        </w:tc>
      </w:tr>
      <w:tr w:rsidR="00AA48EB" w:rsidRPr="00D32803" w14:paraId="6BD1858F" w14:textId="77777777" w:rsidTr="004434E9">
        <w:tc>
          <w:tcPr>
            <w:tcW w:w="0" w:type="auto"/>
            <w:hideMark/>
          </w:tcPr>
          <w:p w14:paraId="68178F64" w14:textId="77777777" w:rsidR="00AA48EB" w:rsidRPr="00D32803" w:rsidRDefault="00AA48EB" w:rsidP="004434E9">
            <w:pPr>
              <w:spacing w:line="360" w:lineRule="auto"/>
              <w:rPr>
                <w:rFonts w:ascii="Arial" w:eastAsia="Aptos" w:hAnsi="Arial" w:cs="Arial"/>
                <w:sz w:val="24"/>
                <w:szCs w:val="24"/>
              </w:rPr>
            </w:pPr>
            <w:proofErr w:type="spellStart"/>
            <w:r w:rsidRPr="00D32803">
              <w:rPr>
                <w:rFonts w:ascii="Arial" w:eastAsia="Aptos" w:hAnsi="Arial" w:cs="Arial"/>
                <w:sz w:val="24"/>
                <w:szCs w:val="24"/>
              </w:rPr>
              <w:t>Premiumisation</w:t>
            </w:r>
            <w:proofErr w:type="spellEnd"/>
            <w:r w:rsidRPr="00D32803">
              <w:rPr>
                <w:rFonts w:ascii="Arial" w:eastAsia="Aptos" w:hAnsi="Arial" w:cs="Arial"/>
                <w:sz w:val="24"/>
                <w:szCs w:val="24"/>
              </w:rPr>
              <w:t xml:space="preserve"> trends in beauty/personal care</w:t>
            </w:r>
          </w:p>
        </w:tc>
        <w:tc>
          <w:tcPr>
            <w:tcW w:w="0" w:type="auto"/>
            <w:hideMark/>
          </w:tcPr>
          <w:p w14:paraId="6AE4EFD4"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Intensifying private-label competition</w:t>
            </w:r>
          </w:p>
        </w:tc>
      </w:tr>
      <w:tr w:rsidR="00AA48EB" w:rsidRPr="00D32803" w14:paraId="6DAEA5DB" w14:textId="77777777" w:rsidTr="004434E9">
        <w:tc>
          <w:tcPr>
            <w:tcW w:w="0" w:type="auto"/>
            <w:hideMark/>
          </w:tcPr>
          <w:p w14:paraId="5FFDAE5E"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E-commerce and direct-to-consumer growth</w:t>
            </w:r>
          </w:p>
        </w:tc>
        <w:tc>
          <w:tcPr>
            <w:tcW w:w="0" w:type="auto"/>
            <w:hideMark/>
          </w:tcPr>
          <w:p w14:paraId="221729E3"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Commodity cost volatility</w:t>
            </w:r>
          </w:p>
        </w:tc>
      </w:tr>
      <w:tr w:rsidR="00AA48EB" w:rsidRPr="00D32803" w14:paraId="1451BC4F" w14:textId="77777777" w:rsidTr="004434E9">
        <w:tc>
          <w:tcPr>
            <w:tcW w:w="0" w:type="auto"/>
            <w:hideMark/>
          </w:tcPr>
          <w:p w14:paraId="601DABD5"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Emerging market middle-class expansion</w:t>
            </w:r>
          </w:p>
        </w:tc>
        <w:tc>
          <w:tcPr>
            <w:tcW w:w="0" w:type="auto"/>
            <w:hideMark/>
          </w:tcPr>
          <w:p w14:paraId="6D55EC28"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Regulatory complexity and sustainability requirements</w:t>
            </w:r>
          </w:p>
        </w:tc>
      </w:tr>
      <w:tr w:rsidR="00AA48EB" w:rsidRPr="00D32803" w14:paraId="13DF5588" w14:textId="77777777" w:rsidTr="004434E9">
        <w:tc>
          <w:tcPr>
            <w:tcW w:w="0" w:type="auto"/>
            <w:hideMark/>
          </w:tcPr>
          <w:p w14:paraId="1EB1ED41"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Sustainability-driven consumer preference shifts</w:t>
            </w:r>
          </w:p>
        </w:tc>
        <w:tc>
          <w:tcPr>
            <w:tcW w:w="0" w:type="auto"/>
            <w:hideMark/>
          </w:tcPr>
          <w:p w14:paraId="2AE7A630"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Challenger brand disruption</w:t>
            </w:r>
          </w:p>
        </w:tc>
      </w:tr>
      <w:tr w:rsidR="00AA48EB" w:rsidRPr="00D32803" w14:paraId="7BE6C7EC" w14:textId="77777777" w:rsidTr="004434E9">
        <w:tc>
          <w:tcPr>
            <w:tcW w:w="0" w:type="auto"/>
            <w:hideMark/>
          </w:tcPr>
          <w:p w14:paraId="79E110EE"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Acquisition opportunities in premium segments</w:t>
            </w:r>
          </w:p>
        </w:tc>
        <w:tc>
          <w:tcPr>
            <w:tcW w:w="0" w:type="auto"/>
            <w:hideMark/>
          </w:tcPr>
          <w:p w14:paraId="4A536216"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Economic downturn affecting consumer spending</w:t>
            </w:r>
          </w:p>
        </w:tc>
      </w:tr>
    </w:tbl>
    <w:p w14:paraId="5F909215" w14:textId="77777777" w:rsidR="00AA48EB" w:rsidRPr="00750398" w:rsidRDefault="00AA48EB" w:rsidP="00750398">
      <w:pPr>
        <w:spacing w:line="360" w:lineRule="auto"/>
        <w:jc w:val="center"/>
        <w:rPr>
          <w:rFonts w:ascii="Arial" w:eastAsia="Aptos" w:hAnsi="Arial" w:cs="Arial"/>
          <w:b/>
          <w:bCs/>
          <w:i/>
          <w:iCs/>
          <w:kern w:val="0"/>
          <w:sz w:val="24"/>
          <w:szCs w:val="24"/>
          <w:u w:val="single"/>
          <w:lang w:val="en-US" w:bidi="bn-BD"/>
        </w:rPr>
      </w:pPr>
      <w:r w:rsidRPr="00750398">
        <w:rPr>
          <w:rFonts w:ascii="Arial" w:eastAsia="Aptos" w:hAnsi="Arial" w:cs="Arial"/>
          <w:b/>
          <w:bCs/>
          <w:i/>
          <w:iCs/>
          <w:kern w:val="0"/>
          <w:sz w:val="24"/>
          <w:szCs w:val="24"/>
          <w:u w:val="single"/>
          <w:lang w:val="en-US" w:bidi="bn-BD"/>
        </w:rPr>
        <w:t>Table 3: SWOT Analysis of Unilever</w:t>
      </w:r>
    </w:p>
    <w:p w14:paraId="48411874" w14:textId="77777777" w:rsidR="00AA48EB" w:rsidRPr="005E7AB5"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6.2 Ansoff Matrix Application</w:t>
      </w:r>
    </w:p>
    <w:p w14:paraId="0453F868" w14:textId="77777777" w:rsidR="00AA48EB" w:rsidRPr="00750398" w:rsidRDefault="00AA48EB" w:rsidP="00750398">
      <w:pPr>
        <w:spacing w:line="360" w:lineRule="auto"/>
        <w:jc w:val="both"/>
        <w:rPr>
          <w:rFonts w:ascii="Arial" w:eastAsia="Aptos" w:hAnsi="Arial" w:cs="Arial"/>
          <w:b/>
          <w:kern w:val="0"/>
          <w:sz w:val="24"/>
          <w:szCs w:val="24"/>
          <w:lang w:val="en-US" w:bidi="bn-BD"/>
        </w:rPr>
      </w:pPr>
      <w:r w:rsidRPr="00750398">
        <w:rPr>
          <w:rFonts w:ascii="Arial" w:eastAsia="Aptos" w:hAnsi="Arial" w:cs="Arial"/>
          <w:b/>
          <w:kern w:val="0"/>
          <w:sz w:val="24"/>
          <w:szCs w:val="24"/>
          <w:lang w:val="en-US" w:bidi="bn-BD"/>
        </w:rPr>
        <w:t>Market Penetration</w:t>
      </w:r>
    </w:p>
    <w:p w14:paraId="246D4E3A" w14:textId="5A78CE5B" w:rsidR="00AA48EB" w:rsidRPr="005E7AB5" w:rsidRDefault="00AA48EB" w:rsidP="00750398">
      <w:pPr>
        <w:spacing w:line="360" w:lineRule="auto"/>
        <w:jc w:val="both"/>
        <w:rPr>
          <w:rFonts w:ascii="Arial" w:eastAsia="Aptos" w:hAnsi="Arial" w:cs="Arial"/>
          <w:bCs/>
          <w:kern w:val="0"/>
          <w:sz w:val="24"/>
          <w:szCs w:val="24"/>
          <w:lang w:val="en-US" w:bidi="bn-BD"/>
        </w:rPr>
      </w:pPr>
      <w:r w:rsidRPr="005E7AB5">
        <w:rPr>
          <w:rFonts w:ascii="Arial" w:eastAsia="Aptos" w:hAnsi="Arial" w:cs="Arial"/>
          <w:bCs/>
          <w:kern w:val="0"/>
          <w:sz w:val="24"/>
          <w:szCs w:val="24"/>
          <w:lang w:val="en-US" w:bidi="bn-BD"/>
        </w:rPr>
        <w:t xml:space="preserve">Market penetration aims at gaining market share in the current markets with the current products. In the case of Unilever, this will entail the </w:t>
      </w:r>
      <w:r w:rsidR="00750398">
        <w:rPr>
          <w:rFonts w:ascii="Arial" w:eastAsia="Aptos" w:hAnsi="Arial" w:cs="Arial"/>
          <w:bCs/>
          <w:kern w:val="0"/>
          <w:sz w:val="24"/>
          <w:szCs w:val="24"/>
          <w:lang w:val="en-US" w:bidi="bn-BD"/>
        </w:rPr>
        <w:t>empowerment</w:t>
      </w:r>
      <w:r w:rsidRPr="005E7AB5">
        <w:rPr>
          <w:rFonts w:ascii="Arial" w:eastAsia="Aptos" w:hAnsi="Arial" w:cs="Arial"/>
          <w:bCs/>
          <w:kern w:val="0"/>
          <w:sz w:val="24"/>
          <w:szCs w:val="24"/>
          <w:lang w:val="en-US" w:bidi="bn-BD"/>
        </w:rPr>
        <w:t xml:space="preserve"> of the power </w:t>
      </w:r>
      <w:r w:rsidRPr="005E7AB5">
        <w:rPr>
          <w:rFonts w:ascii="Arial" w:eastAsia="Aptos" w:hAnsi="Arial" w:cs="Arial"/>
          <w:bCs/>
          <w:kern w:val="0"/>
          <w:sz w:val="24"/>
          <w:szCs w:val="24"/>
          <w:lang w:val="en-US" w:bidi="bn-BD"/>
        </w:rPr>
        <w:lastRenderedPageBreak/>
        <w:t>brands, promotions, retailer partnership and online presence, especially in c</w:t>
      </w:r>
      <w:r>
        <w:rPr>
          <w:rFonts w:ascii="Arial" w:eastAsia="Aptos" w:hAnsi="Arial" w:cs="Arial"/>
          <w:bCs/>
          <w:kern w:val="0"/>
          <w:sz w:val="24"/>
          <w:szCs w:val="24"/>
          <w:lang w:val="en-US" w:bidi="bn-BD"/>
        </w:rPr>
        <w:t xml:space="preserve">ompetitive and </w:t>
      </w:r>
      <w:r w:rsidR="00750398">
        <w:rPr>
          <w:rFonts w:ascii="Arial" w:eastAsia="Aptos" w:hAnsi="Arial" w:cs="Arial"/>
          <w:bCs/>
          <w:kern w:val="0"/>
          <w:sz w:val="24"/>
          <w:szCs w:val="24"/>
          <w:lang w:val="en-US" w:bidi="bn-BD"/>
        </w:rPr>
        <w:t>older</w:t>
      </w:r>
      <w:r>
        <w:rPr>
          <w:rFonts w:ascii="Arial" w:eastAsia="Aptos" w:hAnsi="Arial" w:cs="Arial"/>
          <w:bCs/>
          <w:kern w:val="0"/>
          <w:sz w:val="24"/>
          <w:szCs w:val="24"/>
          <w:lang w:val="en-US" w:bidi="bn-BD"/>
        </w:rPr>
        <w:t xml:space="preserve"> age markets.</w:t>
      </w:r>
    </w:p>
    <w:p w14:paraId="105ED380" w14:textId="77777777" w:rsidR="00AA48EB" w:rsidRPr="00750398" w:rsidRDefault="00AA48EB" w:rsidP="00750398">
      <w:pPr>
        <w:spacing w:line="360" w:lineRule="auto"/>
        <w:jc w:val="both"/>
        <w:rPr>
          <w:rFonts w:ascii="Arial" w:eastAsia="Aptos" w:hAnsi="Arial" w:cs="Arial"/>
          <w:b/>
          <w:kern w:val="0"/>
          <w:sz w:val="24"/>
          <w:szCs w:val="24"/>
          <w:lang w:val="en-US" w:bidi="bn-BD"/>
        </w:rPr>
      </w:pPr>
      <w:r w:rsidRPr="00750398">
        <w:rPr>
          <w:rFonts w:ascii="Arial" w:eastAsia="Aptos" w:hAnsi="Arial" w:cs="Arial"/>
          <w:b/>
          <w:kern w:val="0"/>
          <w:sz w:val="24"/>
          <w:szCs w:val="24"/>
          <w:lang w:val="en-US" w:bidi="bn-BD"/>
        </w:rPr>
        <w:t>Market Development</w:t>
      </w:r>
    </w:p>
    <w:p w14:paraId="20E49378" w14:textId="10CCBCC7" w:rsidR="00AA48EB" w:rsidRPr="005E7AB5" w:rsidRDefault="00AA48EB" w:rsidP="00750398">
      <w:pPr>
        <w:spacing w:line="360" w:lineRule="auto"/>
        <w:jc w:val="both"/>
        <w:rPr>
          <w:rFonts w:ascii="Arial" w:eastAsia="Aptos" w:hAnsi="Arial" w:cs="Arial"/>
          <w:bCs/>
          <w:kern w:val="0"/>
          <w:sz w:val="24"/>
          <w:szCs w:val="24"/>
          <w:lang w:val="en-US" w:bidi="bn-BD"/>
        </w:rPr>
      </w:pPr>
      <w:r w:rsidRPr="005E7AB5">
        <w:rPr>
          <w:rFonts w:ascii="Arial" w:eastAsia="Aptos" w:hAnsi="Arial" w:cs="Arial"/>
          <w:bCs/>
          <w:kern w:val="0"/>
          <w:sz w:val="24"/>
          <w:szCs w:val="24"/>
          <w:lang w:val="en-US" w:bidi="bn-BD"/>
        </w:rPr>
        <w:t xml:space="preserve">Market development is the expansion of the current products into new markets or those not sufficiently covered. Unilever has the potential </w:t>
      </w:r>
      <w:r w:rsidR="00750398">
        <w:rPr>
          <w:rFonts w:ascii="Arial" w:eastAsia="Aptos" w:hAnsi="Arial" w:cs="Arial"/>
          <w:bCs/>
          <w:kern w:val="0"/>
          <w:sz w:val="24"/>
          <w:szCs w:val="24"/>
          <w:lang w:val="en-US" w:bidi="bn-BD"/>
        </w:rPr>
        <w:t>to use</w:t>
      </w:r>
      <w:r w:rsidRPr="005E7AB5">
        <w:rPr>
          <w:rFonts w:ascii="Arial" w:eastAsia="Aptos" w:hAnsi="Arial" w:cs="Arial"/>
          <w:bCs/>
          <w:kern w:val="0"/>
          <w:sz w:val="24"/>
          <w:szCs w:val="24"/>
          <w:lang w:val="en-US" w:bidi="bn-BD"/>
        </w:rPr>
        <w:t xml:space="preserve"> its high local strengths to expand in emerging economies where deman</w:t>
      </w:r>
      <w:r>
        <w:rPr>
          <w:rFonts w:ascii="Arial" w:eastAsia="Aptos" w:hAnsi="Arial" w:cs="Arial"/>
          <w:bCs/>
          <w:kern w:val="0"/>
          <w:sz w:val="24"/>
          <w:szCs w:val="24"/>
          <w:lang w:val="en-US" w:bidi="bn-BD"/>
        </w:rPr>
        <w:t>d is increasing (Ansoff, 1957).</w:t>
      </w:r>
    </w:p>
    <w:p w14:paraId="7BFA1E62" w14:textId="77777777" w:rsidR="00AA48EB" w:rsidRPr="00750398" w:rsidRDefault="00AA48EB" w:rsidP="00750398">
      <w:pPr>
        <w:spacing w:line="360" w:lineRule="auto"/>
        <w:jc w:val="both"/>
        <w:rPr>
          <w:rFonts w:ascii="Arial" w:eastAsia="Aptos" w:hAnsi="Arial" w:cs="Arial"/>
          <w:b/>
          <w:kern w:val="0"/>
          <w:sz w:val="24"/>
          <w:szCs w:val="24"/>
          <w:lang w:val="en-US" w:bidi="bn-BD"/>
        </w:rPr>
      </w:pPr>
      <w:r w:rsidRPr="00750398">
        <w:rPr>
          <w:rFonts w:ascii="Arial" w:eastAsia="Aptos" w:hAnsi="Arial" w:cs="Arial"/>
          <w:b/>
          <w:kern w:val="0"/>
          <w:sz w:val="24"/>
          <w:szCs w:val="24"/>
          <w:lang w:val="en-US" w:bidi="bn-BD"/>
        </w:rPr>
        <w:t>Product Development</w:t>
      </w:r>
    </w:p>
    <w:p w14:paraId="456C93DB" w14:textId="53721866" w:rsidR="00AA48EB" w:rsidRPr="005E7AB5" w:rsidRDefault="00AA48EB" w:rsidP="00750398">
      <w:pPr>
        <w:spacing w:line="360" w:lineRule="auto"/>
        <w:jc w:val="both"/>
        <w:rPr>
          <w:rFonts w:ascii="Arial" w:eastAsia="Aptos" w:hAnsi="Arial" w:cs="Arial"/>
          <w:bCs/>
          <w:kern w:val="0"/>
          <w:sz w:val="24"/>
          <w:szCs w:val="24"/>
          <w:lang w:val="en-US" w:bidi="bn-BD"/>
        </w:rPr>
      </w:pPr>
      <w:r w:rsidRPr="005E7AB5">
        <w:rPr>
          <w:rFonts w:ascii="Arial" w:eastAsia="Aptos" w:hAnsi="Arial" w:cs="Arial"/>
          <w:bCs/>
          <w:kern w:val="0"/>
          <w:sz w:val="24"/>
          <w:szCs w:val="24"/>
          <w:lang w:val="en-US" w:bidi="bn-BD"/>
        </w:rPr>
        <w:t>Product development makes the introduction of better or new products</w:t>
      </w:r>
      <w:r w:rsidR="00750398">
        <w:rPr>
          <w:rFonts w:ascii="Arial" w:eastAsia="Aptos" w:hAnsi="Arial" w:cs="Arial"/>
          <w:bCs/>
          <w:kern w:val="0"/>
          <w:sz w:val="24"/>
          <w:szCs w:val="24"/>
          <w:lang w:val="en-US" w:bidi="bn-BD"/>
        </w:rPr>
        <w:t>,</w:t>
      </w:r>
      <w:r w:rsidRPr="005E7AB5">
        <w:rPr>
          <w:rFonts w:ascii="Arial" w:eastAsia="Aptos" w:hAnsi="Arial" w:cs="Arial"/>
          <w:bCs/>
          <w:kern w:val="0"/>
          <w:sz w:val="24"/>
          <w:szCs w:val="24"/>
          <w:lang w:val="en-US" w:bidi="bn-BD"/>
        </w:rPr>
        <w:t xml:space="preserve"> which may be the case of the premium beauty, healthier foods and sustainable packaging to suit the changing consumer preferences.</w:t>
      </w:r>
    </w:p>
    <w:p w14:paraId="717114F1" w14:textId="77777777" w:rsidR="00AA48EB" w:rsidRPr="00750398" w:rsidRDefault="00AA48EB" w:rsidP="00750398">
      <w:pPr>
        <w:spacing w:line="360" w:lineRule="auto"/>
        <w:jc w:val="both"/>
        <w:rPr>
          <w:rFonts w:ascii="Arial" w:eastAsia="Aptos" w:hAnsi="Arial" w:cs="Arial"/>
          <w:b/>
          <w:kern w:val="0"/>
          <w:sz w:val="24"/>
          <w:szCs w:val="24"/>
          <w:lang w:val="en-US" w:bidi="bn-BD"/>
        </w:rPr>
      </w:pPr>
      <w:r w:rsidRPr="00750398">
        <w:rPr>
          <w:rFonts w:ascii="Arial" w:eastAsia="Aptos" w:hAnsi="Arial" w:cs="Arial"/>
          <w:b/>
          <w:kern w:val="0"/>
          <w:sz w:val="24"/>
          <w:szCs w:val="24"/>
          <w:lang w:val="en-US" w:bidi="bn-BD"/>
        </w:rPr>
        <w:t>Diversification</w:t>
      </w:r>
    </w:p>
    <w:p w14:paraId="1A3D6055" w14:textId="4B9E980A" w:rsidR="00AA48EB" w:rsidRDefault="00AA48EB" w:rsidP="00750398">
      <w:pPr>
        <w:spacing w:line="360" w:lineRule="auto"/>
        <w:jc w:val="both"/>
        <w:rPr>
          <w:rFonts w:ascii="Arial" w:eastAsia="Aptos" w:hAnsi="Arial" w:cs="Arial"/>
          <w:bCs/>
          <w:kern w:val="0"/>
          <w:sz w:val="24"/>
          <w:szCs w:val="24"/>
          <w:lang w:val="en-US" w:bidi="bn-BD"/>
        </w:rPr>
      </w:pPr>
      <w:r w:rsidRPr="005E7AB5">
        <w:rPr>
          <w:rFonts w:ascii="Arial" w:eastAsia="Aptos" w:hAnsi="Arial" w:cs="Arial"/>
          <w:bCs/>
          <w:kern w:val="0"/>
          <w:sz w:val="24"/>
          <w:szCs w:val="24"/>
          <w:lang w:val="en-US" w:bidi="bn-BD"/>
        </w:rPr>
        <w:t xml:space="preserve">Diversification is the venture </w:t>
      </w:r>
      <w:r w:rsidR="00750398">
        <w:rPr>
          <w:rFonts w:ascii="Arial" w:eastAsia="Aptos" w:hAnsi="Arial" w:cs="Arial"/>
          <w:bCs/>
          <w:kern w:val="0"/>
          <w:sz w:val="24"/>
          <w:szCs w:val="24"/>
          <w:lang w:val="en-US" w:bidi="bn-BD"/>
        </w:rPr>
        <w:t>into</w:t>
      </w:r>
      <w:r w:rsidRPr="005E7AB5">
        <w:rPr>
          <w:rFonts w:ascii="Arial" w:eastAsia="Aptos" w:hAnsi="Arial" w:cs="Arial"/>
          <w:bCs/>
          <w:kern w:val="0"/>
          <w:sz w:val="24"/>
          <w:szCs w:val="24"/>
          <w:lang w:val="en-US" w:bidi="bn-BD"/>
        </w:rPr>
        <w:t xml:space="preserve"> new products and markets. Unilever needs to be selective and concentrate on related diversification</w:t>
      </w:r>
      <w:r w:rsidR="00750398">
        <w:rPr>
          <w:rFonts w:ascii="Arial" w:eastAsia="Aptos" w:hAnsi="Arial" w:cs="Arial"/>
          <w:bCs/>
          <w:kern w:val="0"/>
          <w:sz w:val="24"/>
          <w:szCs w:val="24"/>
          <w:lang w:val="en-US" w:bidi="bn-BD"/>
        </w:rPr>
        <w:t>,</w:t>
      </w:r>
      <w:r w:rsidRPr="005E7AB5">
        <w:rPr>
          <w:rFonts w:ascii="Arial" w:eastAsia="Aptos" w:hAnsi="Arial" w:cs="Arial"/>
          <w:bCs/>
          <w:kern w:val="0"/>
          <w:sz w:val="24"/>
          <w:szCs w:val="24"/>
          <w:lang w:val="en-US" w:bidi="bn-BD"/>
        </w:rPr>
        <w:t xml:space="preserve"> which is in line with core competencies, but not become complex (Unilever, 2024c).</w:t>
      </w:r>
    </w:p>
    <w:p w14:paraId="3FA55D3E"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6.3 Strategic Recommendations</w:t>
      </w:r>
    </w:p>
    <w:p w14:paraId="45F6EE7D"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In light of the extensive analysis, it has been proposed to introduce the following recommendations to retain and improve the competitive advantage of Unilever:</w:t>
      </w:r>
    </w:p>
    <w:p w14:paraId="2D27F885"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750398">
        <w:rPr>
          <w:rFonts w:ascii="Arial" w:eastAsia="Aptos" w:hAnsi="Arial" w:cs="Arial"/>
          <w:b/>
          <w:kern w:val="0"/>
          <w:sz w:val="24"/>
          <w:szCs w:val="24"/>
          <w:lang w:val="en-US" w:bidi="bn-BD"/>
        </w:rPr>
        <w:t>Recommendation 1: Acceleration of Portfolio Simplification</w:t>
      </w:r>
      <w:r w:rsidRPr="00D32803">
        <w:rPr>
          <w:rFonts w:ascii="Arial" w:eastAsia="Aptos" w:hAnsi="Arial" w:cs="Arial"/>
          <w:bCs/>
          <w:kern w:val="0"/>
          <w:sz w:val="24"/>
          <w:szCs w:val="24"/>
          <w:lang w:val="en-US" w:bidi="bn-BD"/>
        </w:rPr>
        <w:t>.</w:t>
      </w:r>
    </w:p>
    <w:p w14:paraId="7175C840"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Unilever ought to accelerate the sales of non-core categories and concentrate its efforts on categories having a sustainable competitive advantage. The declared division of ice cream is a proper course of action which needs to be implemented. Premium beauty purchases and investment in the emerging markets should be financed by proceeds (Campbell et al., 1995).</w:t>
      </w:r>
    </w:p>
    <w:p w14:paraId="4E903975"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750398">
        <w:rPr>
          <w:rFonts w:ascii="Arial" w:eastAsia="Aptos" w:hAnsi="Arial" w:cs="Arial"/>
          <w:b/>
          <w:kern w:val="0"/>
          <w:sz w:val="24"/>
          <w:szCs w:val="24"/>
          <w:lang w:val="en-US" w:bidi="bn-BD"/>
        </w:rPr>
        <w:t>Recommendation 2: Improve the velocity of innovations</w:t>
      </w:r>
      <w:r w:rsidRPr="00D32803">
        <w:rPr>
          <w:rFonts w:ascii="Arial" w:eastAsia="Aptos" w:hAnsi="Arial" w:cs="Arial"/>
          <w:bCs/>
          <w:kern w:val="0"/>
          <w:sz w:val="24"/>
          <w:szCs w:val="24"/>
          <w:lang w:val="en-US" w:bidi="bn-BD"/>
        </w:rPr>
        <w:t>.</w:t>
      </w:r>
    </w:p>
    <w:p w14:paraId="0DF9213D" w14:textId="26FC03BE"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Speed-to-market innovation needs to be enhanced to compete with agents of agility</w:t>
      </w:r>
      <w:r w:rsidR="00750398">
        <w:rPr>
          <w:rFonts w:ascii="Arial" w:eastAsia="Aptos" w:hAnsi="Arial" w:cs="Arial"/>
          <w:bCs/>
          <w:kern w:val="0"/>
          <w:sz w:val="24"/>
          <w:szCs w:val="24"/>
          <w:lang w:val="en-US" w:bidi="bn-BD"/>
        </w:rPr>
        <w:t>,</w:t>
      </w:r>
      <w:r w:rsidRPr="00D32803">
        <w:rPr>
          <w:rFonts w:ascii="Arial" w:eastAsia="Aptos" w:hAnsi="Arial" w:cs="Arial"/>
          <w:bCs/>
          <w:kern w:val="0"/>
          <w:sz w:val="24"/>
          <w:szCs w:val="24"/>
          <w:lang w:val="en-US" w:bidi="bn-BD"/>
        </w:rPr>
        <w:t xml:space="preserve"> such as challenger brands. Introducing specific innovative departments that have the characteristics of a start-up, acquiring other innovative smaller brands and adopting agile development styles would speed up responsiveness. This deals with weaknesses that are found in internal analysis (Christensen, 1997).</w:t>
      </w:r>
    </w:p>
    <w:p w14:paraId="297CCB92"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750398">
        <w:rPr>
          <w:rFonts w:ascii="Arial" w:eastAsia="Aptos" w:hAnsi="Arial" w:cs="Arial"/>
          <w:b/>
          <w:kern w:val="0"/>
          <w:sz w:val="24"/>
          <w:szCs w:val="24"/>
          <w:lang w:val="en-US" w:bidi="bn-BD"/>
        </w:rPr>
        <w:lastRenderedPageBreak/>
        <w:t>Recommendation 3: Build Digital Capabilities</w:t>
      </w:r>
      <w:r w:rsidRPr="00D32803">
        <w:rPr>
          <w:rFonts w:ascii="Arial" w:eastAsia="Aptos" w:hAnsi="Arial" w:cs="Arial"/>
          <w:bCs/>
          <w:kern w:val="0"/>
          <w:sz w:val="24"/>
          <w:szCs w:val="24"/>
          <w:lang w:val="en-US" w:bidi="bn-BD"/>
        </w:rPr>
        <w:t>.</w:t>
      </w:r>
    </w:p>
    <w:p w14:paraId="339A7289"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 xml:space="preserve">Addressing capabilities identified gaps, the construction of advanced data analytics, e-commerce excellence, and direct-to-consumer capabilities will be built. It would be more competitive in the changing channel environment by investing in digital marketing, </w:t>
      </w:r>
      <w:proofErr w:type="spellStart"/>
      <w:r w:rsidRPr="00D32803">
        <w:rPr>
          <w:rFonts w:ascii="Arial" w:eastAsia="Aptos" w:hAnsi="Arial" w:cs="Arial"/>
          <w:bCs/>
          <w:kern w:val="0"/>
          <w:sz w:val="24"/>
          <w:szCs w:val="24"/>
          <w:lang w:val="en-US" w:bidi="bn-BD"/>
        </w:rPr>
        <w:t>personalisation</w:t>
      </w:r>
      <w:proofErr w:type="spellEnd"/>
      <w:r w:rsidRPr="00D32803">
        <w:rPr>
          <w:rFonts w:ascii="Arial" w:eastAsia="Aptos" w:hAnsi="Arial" w:cs="Arial"/>
          <w:bCs/>
          <w:kern w:val="0"/>
          <w:sz w:val="24"/>
          <w:szCs w:val="24"/>
          <w:lang w:val="en-US" w:bidi="bn-BD"/>
        </w:rPr>
        <w:t xml:space="preserve"> technologies, and digital talent acquisition (Westerman et al., 2014).</w:t>
      </w:r>
    </w:p>
    <w:p w14:paraId="4728CB15"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750398">
        <w:rPr>
          <w:rFonts w:ascii="Arial" w:eastAsia="Aptos" w:hAnsi="Arial" w:cs="Arial"/>
          <w:b/>
          <w:kern w:val="0"/>
          <w:sz w:val="24"/>
          <w:szCs w:val="24"/>
          <w:lang w:val="en-US" w:bidi="bn-BD"/>
        </w:rPr>
        <w:t xml:space="preserve">Recommendation 4: </w:t>
      </w:r>
      <w:proofErr w:type="spellStart"/>
      <w:r w:rsidRPr="00750398">
        <w:rPr>
          <w:rFonts w:ascii="Arial" w:eastAsia="Aptos" w:hAnsi="Arial" w:cs="Arial"/>
          <w:b/>
          <w:kern w:val="0"/>
          <w:sz w:val="24"/>
          <w:szCs w:val="24"/>
          <w:lang w:val="en-US" w:bidi="bn-BD"/>
        </w:rPr>
        <w:t>Optimisation</w:t>
      </w:r>
      <w:proofErr w:type="spellEnd"/>
      <w:r w:rsidRPr="00750398">
        <w:rPr>
          <w:rFonts w:ascii="Arial" w:eastAsia="Aptos" w:hAnsi="Arial" w:cs="Arial"/>
          <w:b/>
          <w:kern w:val="0"/>
          <w:sz w:val="24"/>
          <w:szCs w:val="24"/>
          <w:lang w:val="en-US" w:bidi="bn-BD"/>
        </w:rPr>
        <w:t xml:space="preserve"> of Sustainability Integration</w:t>
      </w:r>
      <w:r w:rsidRPr="00D32803">
        <w:rPr>
          <w:rFonts w:ascii="Arial" w:eastAsia="Aptos" w:hAnsi="Arial" w:cs="Arial"/>
          <w:bCs/>
          <w:kern w:val="0"/>
          <w:sz w:val="24"/>
          <w:szCs w:val="24"/>
          <w:lang w:val="en-US" w:bidi="bn-BD"/>
        </w:rPr>
        <w:t>.</w:t>
      </w:r>
    </w:p>
    <w:p w14:paraId="0303D241" w14:textId="17AC13FC"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Instead of withdrawing its sustainability positioning, Unilever ought to show the financial benefits of sustainability investments in a more overt manner. Measuring brand premium as a result of sustainability, reporting efficiency because of resource cutback, and integrating sustainability in the innovation standards would be a solution to the concerns of investors</w:t>
      </w:r>
      <w:r w:rsidR="00750398">
        <w:rPr>
          <w:rFonts w:ascii="Arial" w:eastAsia="Aptos" w:hAnsi="Arial" w:cs="Arial"/>
          <w:bCs/>
          <w:kern w:val="0"/>
          <w:sz w:val="24"/>
          <w:szCs w:val="24"/>
          <w:lang w:val="en-US" w:bidi="bn-BD"/>
        </w:rPr>
        <w:t>, while</w:t>
      </w:r>
      <w:r w:rsidRPr="00D32803">
        <w:rPr>
          <w:rFonts w:ascii="Arial" w:eastAsia="Aptos" w:hAnsi="Arial" w:cs="Arial"/>
          <w:bCs/>
          <w:kern w:val="0"/>
          <w:sz w:val="24"/>
          <w:szCs w:val="24"/>
          <w:lang w:val="en-US" w:bidi="bn-BD"/>
        </w:rPr>
        <w:t xml:space="preserve"> still offering strategic differentiation (Porter and Kramer, 2011).</w:t>
      </w:r>
    </w:p>
    <w:p w14:paraId="44A5B120"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750398">
        <w:rPr>
          <w:rFonts w:ascii="Arial" w:eastAsia="Aptos" w:hAnsi="Arial" w:cs="Arial"/>
          <w:b/>
          <w:kern w:val="0"/>
          <w:sz w:val="24"/>
          <w:szCs w:val="24"/>
          <w:lang w:val="en-US" w:bidi="bn-BD"/>
        </w:rPr>
        <w:t xml:space="preserve">Recommendation 5: </w:t>
      </w:r>
      <w:proofErr w:type="spellStart"/>
      <w:r w:rsidRPr="00750398">
        <w:rPr>
          <w:rFonts w:ascii="Arial" w:eastAsia="Aptos" w:hAnsi="Arial" w:cs="Arial"/>
          <w:b/>
          <w:kern w:val="0"/>
          <w:sz w:val="24"/>
          <w:szCs w:val="24"/>
          <w:lang w:val="en-US" w:bidi="bn-BD"/>
        </w:rPr>
        <w:t>Organisational</w:t>
      </w:r>
      <w:proofErr w:type="spellEnd"/>
      <w:r w:rsidRPr="00750398">
        <w:rPr>
          <w:rFonts w:ascii="Arial" w:eastAsia="Aptos" w:hAnsi="Arial" w:cs="Arial"/>
          <w:b/>
          <w:kern w:val="0"/>
          <w:sz w:val="24"/>
          <w:szCs w:val="24"/>
          <w:lang w:val="en-US" w:bidi="bn-BD"/>
        </w:rPr>
        <w:t xml:space="preserve"> Simplification</w:t>
      </w:r>
      <w:r w:rsidRPr="00D32803">
        <w:rPr>
          <w:rFonts w:ascii="Arial" w:eastAsia="Aptos" w:hAnsi="Arial" w:cs="Arial"/>
          <w:bCs/>
          <w:kern w:val="0"/>
          <w:sz w:val="24"/>
          <w:szCs w:val="24"/>
          <w:lang w:val="en-US" w:bidi="bn-BD"/>
        </w:rPr>
        <w:t>.</w:t>
      </w:r>
    </w:p>
    <w:p w14:paraId="2388E43B"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 xml:space="preserve">Agility would be improved by reducing layers within the </w:t>
      </w:r>
      <w:proofErr w:type="spellStart"/>
      <w:r w:rsidRPr="00D32803">
        <w:rPr>
          <w:rFonts w:ascii="Arial" w:eastAsia="Aptos" w:hAnsi="Arial" w:cs="Arial"/>
          <w:bCs/>
          <w:kern w:val="0"/>
          <w:sz w:val="24"/>
          <w:szCs w:val="24"/>
          <w:lang w:val="en-US" w:bidi="bn-BD"/>
        </w:rPr>
        <w:t>organisation</w:t>
      </w:r>
      <w:proofErr w:type="spellEnd"/>
      <w:r w:rsidRPr="00D32803">
        <w:rPr>
          <w:rFonts w:ascii="Arial" w:eastAsia="Aptos" w:hAnsi="Arial" w:cs="Arial"/>
          <w:bCs/>
          <w:kern w:val="0"/>
          <w:sz w:val="24"/>
          <w:szCs w:val="24"/>
          <w:lang w:val="en-US" w:bidi="bn-BD"/>
        </w:rPr>
        <w:t xml:space="preserve">, abolishing the complexity of the matrix, and </w:t>
      </w:r>
      <w:proofErr w:type="spellStart"/>
      <w:r w:rsidRPr="00D32803">
        <w:rPr>
          <w:rFonts w:ascii="Arial" w:eastAsia="Aptos" w:hAnsi="Arial" w:cs="Arial"/>
          <w:bCs/>
          <w:kern w:val="0"/>
          <w:sz w:val="24"/>
          <w:szCs w:val="24"/>
          <w:lang w:val="en-US" w:bidi="bn-BD"/>
        </w:rPr>
        <w:t>decentralising</w:t>
      </w:r>
      <w:proofErr w:type="spellEnd"/>
      <w:r w:rsidRPr="00D32803">
        <w:rPr>
          <w:rFonts w:ascii="Arial" w:eastAsia="Aptos" w:hAnsi="Arial" w:cs="Arial"/>
          <w:bCs/>
          <w:kern w:val="0"/>
          <w:sz w:val="24"/>
          <w:szCs w:val="24"/>
          <w:lang w:val="en-US" w:bidi="bn-BD"/>
        </w:rPr>
        <w:t xml:space="preserve"> decision-making. This is in line with the intentions announced by CEO Schumacher, and it will deal with the bureaucratic weaknesses identified during analysis.</w:t>
      </w:r>
    </w:p>
    <w:p w14:paraId="55A8807A"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6.4 Theoretical Justification</w:t>
      </w:r>
    </w:p>
    <w:p w14:paraId="3C55A861" w14:textId="1B03246B"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 xml:space="preserve">These suggestions are in line with the strategic management theory. Portfolio focus on areas where resources are beneficial is backed by the resource-based view (Barney, 1991). The capability building in digital and innovation areas is justified by the use of the dynamic </w:t>
      </w:r>
      <w:proofErr w:type="gramStart"/>
      <w:r w:rsidR="00750398">
        <w:rPr>
          <w:rFonts w:ascii="Arial" w:eastAsia="Aptos" w:hAnsi="Arial" w:cs="Arial"/>
          <w:bCs/>
          <w:kern w:val="0"/>
          <w:sz w:val="24"/>
          <w:szCs w:val="24"/>
          <w:lang w:val="en-US" w:bidi="bn-BD"/>
        </w:rPr>
        <w:t>capabilities</w:t>
      </w:r>
      <w:proofErr w:type="gramEnd"/>
      <w:r w:rsidRPr="00D32803">
        <w:rPr>
          <w:rFonts w:ascii="Arial" w:eastAsia="Aptos" w:hAnsi="Arial" w:cs="Arial"/>
          <w:bCs/>
          <w:kern w:val="0"/>
          <w:sz w:val="24"/>
          <w:szCs w:val="24"/>
          <w:lang w:val="en-US" w:bidi="bn-BD"/>
        </w:rPr>
        <w:t xml:space="preserve"> theory (Teece et al., 1997). The sustainability commitment is maintained under the stakeholder theory (Freeman, 1984) whilst value creation is shown.</w:t>
      </w:r>
    </w:p>
    <w:p w14:paraId="3D2965D5" w14:textId="7EF7D278"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 xml:space="preserve">Recommendation viability is supported by real-life examples. In 2014-2017, Procter and Gamble managed to simplify its brand portfolio and sell more than 100 brands (P&amp;G, 2017). The digital transformation of L’Oreal offers a preliminary of capabilities development in the conventional FMCG </w:t>
      </w:r>
      <w:r w:rsidR="00750398">
        <w:rPr>
          <w:rFonts w:ascii="Arial" w:eastAsia="Aptos" w:hAnsi="Arial" w:cs="Arial"/>
          <w:bCs/>
          <w:kern w:val="0"/>
          <w:sz w:val="24"/>
          <w:szCs w:val="24"/>
          <w:lang w:val="en-US" w:bidi="bn-BD"/>
        </w:rPr>
        <w:t>environment</w:t>
      </w:r>
      <w:r w:rsidRPr="00D32803">
        <w:rPr>
          <w:rFonts w:ascii="Arial" w:eastAsia="Aptos" w:hAnsi="Arial" w:cs="Arial"/>
          <w:bCs/>
          <w:kern w:val="0"/>
          <w:sz w:val="24"/>
          <w:szCs w:val="24"/>
          <w:lang w:val="en-US" w:bidi="bn-BD"/>
        </w:rPr>
        <w:t>. The strategic refocusing can be traced in the change of Nestlé's portfolio to health and nutrition.</w:t>
      </w:r>
    </w:p>
    <w:p w14:paraId="783478FD"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lastRenderedPageBreak/>
        <w:t>SECTION 2:0 REFLECTIVE ACCOUNT</w:t>
      </w:r>
    </w:p>
    <w:p w14:paraId="10126F3C"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The Gibbs Reflective Cycle was used.</w:t>
      </w:r>
    </w:p>
    <w:p w14:paraId="2E4204E0"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The Reflective Cycle by Gibbs (1988) is a structured six-stage model, the Descriptions, Feeling, Evaluation, Analysis, Conclusion and Action Plan, which provides a systematic analysis of the learning experiences. The reflection uses the model in reference to my experience in conducting research, analysis and a strategic management assessment of Unilever.</w:t>
      </w:r>
    </w:p>
    <w:p w14:paraId="35C1C211" w14:textId="77777777" w:rsidR="00AA48EB" w:rsidRPr="00D32803" w:rsidRDefault="00AA48EB" w:rsidP="00750398">
      <w:pPr>
        <w:spacing w:line="360" w:lineRule="auto"/>
        <w:jc w:val="both"/>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Description</w:t>
      </w:r>
    </w:p>
    <w:p w14:paraId="653EE4F5" w14:textId="77777777" w:rsidR="00AA48EB" w:rsidRPr="00D32803" w:rsidRDefault="00AA48EB" w:rsidP="00750398">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It included a thorough strategic analysis, incorporating an external and internal environmental evaluation, CSR analysis, application of a Balanced Scorecard, corporate and business-level strategy analysis, and evidence-based recommendations. I chose Unilever because it is a global company, has a diversified portfolio, positions itself as sustainable and the recent change of leadership offered analytical dimensions.</w:t>
      </w:r>
    </w:p>
    <w:p w14:paraId="38E28297" w14:textId="77777777" w:rsidR="00AA48EB" w:rsidRPr="00D32803" w:rsidRDefault="00AA48EB" w:rsidP="00750398">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 xml:space="preserve">The research was done through the synthesis of academic literature, annual reports, analyst comments and industry publications. I used several models, which included PESTEL, VRIO, SWOT, the Matrix of Ansoff, and the Balanced Scorecard. The writing process entailed the translation of this research into coherent argumentation backed by Harvard referencing, which guaranteed conceptual </w:t>
      </w:r>
      <w:proofErr w:type="spellStart"/>
      <w:r w:rsidRPr="00D32803">
        <w:rPr>
          <w:rFonts w:ascii="Arial" w:eastAsia="Aptos" w:hAnsi="Arial" w:cs="Arial"/>
          <w:bCs/>
          <w:kern w:val="0"/>
          <w:sz w:val="24"/>
          <w:szCs w:val="24"/>
          <w:lang w:val="en-US" w:bidi="bn-BD"/>
        </w:rPr>
        <w:t>rigour</w:t>
      </w:r>
      <w:proofErr w:type="spellEnd"/>
      <w:r w:rsidRPr="00D32803">
        <w:rPr>
          <w:rFonts w:ascii="Arial" w:eastAsia="Aptos" w:hAnsi="Arial" w:cs="Arial"/>
          <w:bCs/>
          <w:kern w:val="0"/>
          <w:sz w:val="24"/>
          <w:szCs w:val="24"/>
          <w:lang w:val="en-US" w:bidi="bn-BD"/>
        </w:rPr>
        <w:t xml:space="preserve"> and not a descriptive report.</w:t>
      </w:r>
    </w:p>
    <w:p w14:paraId="64B8B0CC" w14:textId="77777777" w:rsidR="00AA48EB" w:rsidRPr="00D32803" w:rsidRDefault="00AA48EB" w:rsidP="00750398">
      <w:pPr>
        <w:spacing w:line="360" w:lineRule="auto"/>
        <w:jc w:val="both"/>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Feelings</w:t>
      </w:r>
    </w:p>
    <w:p w14:paraId="1C636910" w14:textId="77777777" w:rsidR="00AA48EB" w:rsidRPr="00D32803" w:rsidRDefault="00AA48EB" w:rsidP="00750398">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 xml:space="preserve">Firstly, I felt lost when it came to the choice of </w:t>
      </w:r>
      <w:proofErr w:type="spellStart"/>
      <w:r w:rsidRPr="00D32803">
        <w:rPr>
          <w:rFonts w:ascii="Arial" w:eastAsia="Aptos" w:hAnsi="Arial" w:cs="Arial"/>
          <w:bCs/>
          <w:kern w:val="0"/>
          <w:sz w:val="24"/>
          <w:szCs w:val="24"/>
          <w:lang w:val="en-US" w:bidi="bn-BD"/>
        </w:rPr>
        <w:t>organisation</w:t>
      </w:r>
      <w:proofErr w:type="spellEnd"/>
      <w:r w:rsidRPr="00D32803">
        <w:rPr>
          <w:rFonts w:ascii="Arial" w:eastAsia="Aptos" w:hAnsi="Arial" w:cs="Arial"/>
          <w:bCs/>
          <w:kern w:val="0"/>
          <w:sz w:val="24"/>
          <w:szCs w:val="24"/>
          <w:lang w:val="en-US" w:bidi="bn-BD"/>
        </w:rPr>
        <w:t xml:space="preserve"> and was afraid of going beyond the analysis that describes. The depth of structures to be used was intellectually challenging. I wondered whether I could fit them together in a coherent system of words.</w:t>
      </w:r>
    </w:p>
    <w:p w14:paraId="2CC25452" w14:textId="77777777" w:rsidR="00AA48EB" w:rsidRPr="00D32803" w:rsidRDefault="00AA48EB" w:rsidP="00750398">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 xml:space="preserve">With the advancement in research, participants expanded. The creation of analytical interest was in uncovering the tensions between sustainability commitments and financial performance. The findings of the literature connect strategic theory to the dynamics of FMCG resulted in increased confidence. Nevertheless, it took discipline to handle the volume of information and focus. Word count restrictions during the </w:t>
      </w:r>
      <w:r w:rsidRPr="00D32803">
        <w:rPr>
          <w:rFonts w:ascii="Arial" w:eastAsia="Aptos" w:hAnsi="Arial" w:cs="Arial"/>
          <w:bCs/>
          <w:kern w:val="0"/>
          <w:sz w:val="24"/>
          <w:szCs w:val="24"/>
          <w:lang w:val="en-US" w:bidi="bn-BD"/>
        </w:rPr>
        <w:lastRenderedPageBreak/>
        <w:t>drafting process caused frustration, especially in the condensing of external analysis. The satisfaction created was completion in reaching an integrated analysis and defensible recommendations.</w:t>
      </w:r>
    </w:p>
    <w:p w14:paraId="36298889" w14:textId="77777777" w:rsidR="00AA48EB" w:rsidRPr="00D32803" w:rsidRDefault="00AA48EB" w:rsidP="00750398">
      <w:pPr>
        <w:spacing w:line="360" w:lineRule="auto"/>
        <w:jc w:val="both"/>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Evaluation</w:t>
      </w:r>
    </w:p>
    <w:p w14:paraId="7267B2D4" w14:textId="408A9D45" w:rsidR="00AA48EB" w:rsidRDefault="00AA48EB" w:rsidP="00750398">
      <w:pPr>
        <w:spacing w:line="360" w:lineRule="auto"/>
        <w:jc w:val="both"/>
        <w:rPr>
          <w:rFonts w:ascii="Arial" w:eastAsia="Aptos" w:hAnsi="Arial" w:cs="Arial"/>
          <w:kern w:val="0"/>
          <w:sz w:val="24"/>
          <w:szCs w:val="24"/>
          <w:lang w:val="en-US" w:bidi="bn-BD"/>
        </w:rPr>
      </w:pPr>
      <w:r w:rsidRPr="005E7AB5">
        <w:rPr>
          <w:rFonts w:ascii="Arial" w:eastAsia="Aptos" w:hAnsi="Arial" w:cs="Arial"/>
          <w:kern w:val="0"/>
          <w:sz w:val="24"/>
          <w:szCs w:val="24"/>
          <w:lang w:val="en-US" w:bidi="bn-BD"/>
        </w:rPr>
        <w:t>It was both a challenging and a valuable assignment</w:t>
      </w:r>
      <w:r w:rsidR="00750398">
        <w:rPr>
          <w:rFonts w:ascii="Arial" w:eastAsia="Aptos" w:hAnsi="Arial" w:cs="Arial"/>
          <w:kern w:val="0"/>
          <w:sz w:val="24"/>
          <w:szCs w:val="24"/>
          <w:lang w:val="en-US" w:bidi="bn-BD"/>
        </w:rPr>
        <w:t>,</w:t>
      </w:r>
      <w:r w:rsidRPr="005E7AB5">
        <w:rPr>
          <w:rFonts w:ascii="Arial" w:eastAsia="Aptos" w:hAnsi="Arial" w:cs="Arial"/>
          <w:kern w:val="0"/>
          <w:sz w:val="24"/>
          <w:szCs w:val="24"/>
          <w:lang w:val="en-US" w:bidi="bn-BD"/>
        </w:rPr>
        <w:t xml:space="preserve"> enabling me to put several strategic frameworks at Unilever and relate theory </w:t>
      </w:r>
      <w:r w:rsidR="00750398">
        <w:rPr>
          <w:rFonts w:ascii="Arial" w:eastAsia="Aptos" w:hAnsi="Arial" w:cs="Arial"/>
          <w:kern w:val="0"/>
          <w:sz w:val="24"/>
          <w:szCs w:val="24"/>
          <w:lang w:val="en-US" w:bidi="bn-BD"/>
        </w:rPr>
        <w:t>to</w:t>
      </w:r>
      <w:r w:rsidRPr="005E7AB5">
        <w:rPr>
          <w:rFonts w:ascii="Arial" w:eastAsia="Aptos" w:hAnsi="Arial" w:cs="Arial"/>
          <w:kern w:val="0"/>
          <w:sz w:val="24"/>
          <w:szCs w:val="24"/>
          <w:lang w:val="en-US" w:bidi="bn-BD"/>
        </w:rPr>
        <w:t xml:space="preserve"> business practice. I learned more about such areas as sustainability, strength of the brand and market competition, and enhanced my skills in </w:t>
      </w:r>
      <w:proofErr w:type="spellStart"/>
      <w:r w:rsidR="00750398">
        <w:rPr>
          <w:rFonts w:ascii="Arial" w:eastAsia="Aptos" w:hAnsi="Arial" w:cs="Arial"/>
          <w:kern w:val="0"/>
          <w:sz w:val="24"/>
          <w:szCs w:val="24"/>
          <w:lang w:val="en-US" w:bidi="bn-BD"/>
        </w:rPr>
        <w:t>utilising</w:t>
      </w:r>
      <w:proofErr w:type="spellEnd"/>
      <w:r w:rsidRPr="005E7AB5">
        <w:rPr>
          <w:rFonts w:ascii="Arial" w:eastAsia="Aptos" w:hAnsi="Arial" w:cs="Arial"/>
          <w:kern w:val="0"/>
          <w:sz w:val="24"/>
          <w:szCs w:val="24"/>
          <w:lang w:val="en-US" w:bidi="bn-BD"/>
        </w:rPr>
        <w:t xml:space="preserve"> such models as PESTEL, SWOT and the Balanced Scorecard in an analytical but not in a descriptive manner. Nonetheless, I also understand that at the beginning I devoted too much attention to information gathering rather than to choosing the more applicable insights, which a lowered level of critical discussion in certain parts. My reflection had also been over-academic as opposed to personal</w:t>
      </w:r>
      <w:r w:rsidR="00750398">
        <w:rPr>
          <w:rFonts w:ascii="Arial" w:eastAsia="Aptos" w:hAnsi="Arial" w:cs="Arial"/>
          <w:kern w:val="0"/>
          <w:sz w:val="24"/>
          <w:szCs w:val="24"/>
          <w:lang w:val="en-US" w:bidi="bn-BD"/>
        </w:rPr>
        <w:t>,</w:t>
      </w:r>
      <w:r w:rsidRPr="005E7AB5">
        <w:rPr>
          <w:rFonts w:ascii="Arial" w:eastAsia="Aptos" w:hAnsi="Arial" w:cs="Arial"/>
          <w:kern w:val="0"/>
          <w:sz w:val="24"/>
          <w:szCs w:val="24"/>
          <w:lang w:val="en-US" w:bidi="bn-BD"/>
        </w:rPr>
        <w:t xml:space="preserve"> and some of the references were too old. On the whole, this experience increased my analytical skills but pointed to the necessity of more selectivity, critical thinking and reflective depth.</w:t>
      </w:r>
    </w:p>
    <w:p w14:paraId="0F445EA9" w14:textId="77777777" w:rsidR="00AA48EB" w:rsidRPr="00D32803" w:rsidRDefault="00AA48EB" w:rsidP="00750398">
      <w:pPr>
        <w:spacing w:line="360" w:lineRule="auto"/>
        <w:jc w:val="both"/>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Analysis</w:t>
      </w:r>
    </w:p>
    <w:p w14:paraId="4CF045BF"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To think further, the initial confusion can be interpreted as the lack of previous experience in multi-framework integration. Based on the experiential learning model created by David Kolb (1984), the assignment was a real-life experience that elicited reflective feedback and synthesis of ideas.</w:t>
      </w:r>
    </w:p>
    <w:p w14:paraId="38B08DC0"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The presence of too much information was due to research on a large multinational that is well-documented. Developing cognitive structures that sift relevance is necessary, as Jennifer Moon (2004) points out, in effective learning. I eventually became better at determining what data each framework used.</w:t>
      </w:r>
    </w:p>
    <w:p w14:paraId="683ABEA9"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The challenge of integration is an indication of what Donald Schon (1983) referred to as reflective practice, a shift in the application of the mechanical framework to interpretive judgement. As an illustration, contextual evaluation of rarity in FMCG markets and non-generic evaluation was necessitated in the application of VRIO.</w:t>
      </w:r>
    </w:p>
    <w:p w14:paraId="30B15746"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Synthesis advances in line with the higher-order thinking that was proposed by Benjamin Bloom (1956). The transition between the description and the evaluation and recommendation was analytical progress.</w:t>
      </w:r>
    </w:p>
    <w:p w14:paraId="1E6DF844" w14:textId="77777777" w:rsidR="00AA48EB" w:rsidRPr="00D32803" w:rsidRDefault="00AA48EB" w:rsidP="00750398">
      <w:pPr>
        <w:spacing w:line="360" w:lineRule="auto"/>
        <w:jc w:val="both"/>
        <w:rPr>
          <w:rFonts w:ascii="Arial" w:eastAsia="Aptos" w:hAnsi="Arial" w:cs="Arial"/>
          <w:b/>
          <w:kern w:val="0"/>
          <w:sz w:val="24"/>
          <w:szCs w:val="24"/>
          <w:lang w:val="en-US" w:bidi="bn-BD"/>
        </w:rPr>
      </w:pPr>
      <w:r w:rsidRPr="00D32803">
        <w:rPr>
          <w:rFonts w:ascii="Arial" w:eastAsia="Aptos" w:hAnsi="Arial" w:cs="Arial"/>
          <w:b/>
          <w:kern w:val="0"/>
          <w:sz w:val="24"/>
          <w:szCs w:val="24"/>
          <w:lang w:val="en-US" w:bidi="bn-BD"/>
        </w:rPr>
        <w:lastRenderedPageBreak/>
        <w:t>Conclusion</w:t>
      </w:r>
    </w:p>
    <w:p w14:paraId="7BDA0864"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 xml:space="preserve">Several conclusions emerge. First, the selection of </w:t>
      </w:r>
      <w:proofErr w:type="spellStart"/>
      <w:r w:rsidRPr="00D32803">
        <w:rPr>
          <w:rFonts w:ascii="Arial" w:eastAsia="Aptos" w:hAnsi="Arial" w:cs="Arial"/>
          <w:kern w:val="0"/>
          <w:sz w:val="24"/>
          <w:szCs w:val="24"/>
          <w:lang w:val="en-US" w:bidi="bn-BD"/>
        </w:rPr>
        <w:t>organisations</w:t>
      </w:r>
      <w:proofErr w:type="spellEnd"/>
      <w:r w:rsidRPr="00D32803">
        <w:rPr>
          <w:rFonts w:ascii="Arial" w:eastAsia="Aptos" w:hAnsi="Arial" w:cs="Arial"/>
          <w:kern w:val="0"/>
          <w:sz w:val="24"/>
          <w:szCs w:val="24"/>
          <w:lang w:val="en-US" w:bidi="bn-BD"/>
        </w:rPr>
        <w:t xml:space="preserve"> is of critical importance to analytical depth; a strategically complex firm provides an opportunity to carry out substantial analysis. Second, strategic analysis is an iterative process: knowledge of structures and realities within </w:t>
      </w:r>
      <w:proofErr w:type="spellStart"/>
      <w:r w:rsidRPr="00D32803">
        <w:rPr>
          <w:rFonts w:ascii="Arial" w:eastAsia="Aptos" w:hAnsi="Arial" w:cs="Arial"/>
          <w:kern w:val="0"/>
          <w:sz w:val="24"/>
          <w:szCs w:val="24"/>
          <w:lang w:val="en-US" w:bidi="bn-BD"/>
        </w:rPr>
        <w:t>organisations</w:t>
      </w:r>
      <w:proofErr w:type="spellEnd"/>
      <w:r w:rsidRPr="00D32803">
        <w:rPr>
          <w:rFonts w:ascii="Arial" w:eastAsia="Aptos" w:hAnsi="Arial" w:cs="Arial"/>
          <w:kern w:val="0"/>
          <w:sz w:val="24"/>
          <w:szCs w:val="24"/>
          <w:lang w:val="en-US" w:bidi="bn-BD"/>
        </w:rPr>
        <w:t xml:space="preserve"> evolves at the same time. Third, critical thinking requires working with oppositional worldviews instead of corporate narratives.</w:t>
      </w:r>
    </w:p>
    <w:p w14:paraId="7680CD4D"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I am now aware that frameworks are heuristic, rather than prescriptive templates. They are valued in terms of context. Also, the plausible recommendations should be logically based on the previous analysis; the theory and practice should be combined, but not considered separately.</w:t>
      </w:r>
    </w:p>
    <w:p w14:paraId="4650EF3E" w14:textId="77777777" w:rsidR="00AA48EB" w:rsidRPr="00D32803" w:rsidRDefault="00AA48EB" w:rsidP="00750398">
      <w:pPr>
        <w:spacing w:line="360" w:lineRule="auto"/>
        <w:jc w:val="both"/>
        <w:rPr>
          <w:rFonts w:ascii="Arial" w:eastAsia="Aptos" w:hAnsi="Arial" w:cs="Arial"/>
          <w:b/>
          <w:kern w:val="0"/>
          <w:sz w:val="24"/>
          <w:szCs w:val="24"/>
          <w:lang w:val="en-US" w:bidi="bn-BD"/>
        </w:rPr>
      </w:pPr>
      <w:r w:rsidRPr="00D32803">
        <w:rPr>
          <w:rFonts w:ascii="Arial" w:eastAsia="Aptos" w:hAnsi="Arial" w:cs="Arial"/>
          <w:b/>
          <w:kern w:val="0"/>
          <w:sz w:val="24"/>
          <w:szCs w:val="24"/>
          <w:lang w:val="en-US" w:bidi="bn-BD"/>
        </w:rPr>
        <w:t>Action Plan</w:t>
      </w:r>
    </w:p>
    <w:p w14:paraId="29F7097F"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To do future assignments, I will:</w:t>
      </w:r>
    </w:p>
    <w:p w14:paraId="05341D2A" w14:textId="77777777" w:rsidR="00AA48EB" w:rsidRPr="00D32803" w:rsidRDefault="00AA48EB" w:rsidP="00750398">
      <w:pPr>
        <w:numPr>
          <w:ilvl w:val="0"/>
          <w:numId w:val="14"/>
        </w:numPr>
        <w:spacing w:line="360" w:lineRule="auto"/>
        <w:contextualSpacing/>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 xml:space="preserve">Set up </w:t>
      </w:r>
      <w:proofErr w:type="spellStart"/>
      <w:r w:rsidRPr="00D32803">
        <w:rPr>
          <w:rFonts w:ascii="Arial" w:eastAsia="Aptos" w:hAnsi="Arial" w:cs="Arial"/>
          <w:kern w:val="0"/>
          <w:sz w:val="24"/>
          <w:szCs w:val="24"/>
          <w:lang w:val="en-US" w:bidi="bn-BD"/>
        </w:rPr>
        <w:t>organised</w:t>
      </w:r>
      <w:proofErr w:type="spellEnd"/>
      <w:r w:rsidRPr="00D32803">
        <w:rPr>
          <w:rFonts w:ascii="Arial" w:eastAsia="Aptos" w:hAnsi="Arial" w:cs="Arial"/>
          <w:kern w:val="0"/>
          <w:sz w:val="24"/>
          <w:szCs w:val="24"/>
          <w:lang w:val="en-US" w:bidi="bn-BD"/>
        </w:rPr>
        <w:t xml:space="preserve"> rules for selecting </w:t>
      </w:r>
      <w:proofErr w:type="spellStart"/>
      <w:r w:rsidRPr="00D32803">
        <w:rPr>
          <w:rFonts w:ascii="Arial" w:eastAsia="Aptos" w:hAnsi="Arial" w:cs="Arial"/>
          <w:kern w:val="0"/>
          <w:sz w:val="24"/>
          <w:szCs w:val="24"/>
          <w:lang w:val="en-US" w:bidi="bn-BD"/>
        </w:rPr>
        <w:t>organisations</w:t>
      </w:r>
      <w:proofErr w:type="spellEnd"/>
      <w:r w:rsidRPr="00D32803">
        <w:rPr>
          <w:rFonts w:ascii="Arial" w:eastAsia="Aptos" w:hAnsi="Arial" w:cs="Arial"/>
          <w:kern w:val="0"/>
          <w:sz w:val="24"/>
          <w:szCs w:val="24"/>
          <w:lang w:val="en-US" w:bidi="bn-BD"/>
        </w:rPr>
        <w:t>.</w:t>
      </w:r>
    </w:p>
    <w:p w14:paraId="3B4F876F" w14:textId="77777777" w:rsidR="00AA48EB" w:rsidRPr="00D32803" w:rsidRDefault="00AA48EB" w:rsidP="00750398">
      <w:pPr>
        <w:numPr>
          <w:ilvl w:val="0"/>
          <w:numId w:val="14"/>
        </w:numPr>
        <w:spacing w:line="360" w:lineRule="auto"/>
        <w:contextualSpacing/>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Write framework-specific research templates prior to massive data collection.</w:t>
      </w:r>
    </w:p>
    <w:p w14:paraId="750B897C" w14:textId="77777777" w:rsidR="00AA48EB" w:rsidRPr="00D32803" w:rsidRDefault="00AA48EB" w:rsidP="00750398">
      <w:pPr>
        <w:numPr>
          <w:ilvl w:val="0"/>
          <w:numId w:val="14"/>
        </w:numPr>
        <w:spacing w:line="360" w:lineRule="auto"/>
        <w:contextualSpacing/>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Designate a specific time to find disagreeing and contradictory views.</w:t>
      </w:r>
    </w:p>
    <w:p w14:paraId="56A643EB" w14:textId="77777777" w:rsidR="00AA48EB" w:rsidRPr="00D32803" w:rsidRDefault="00AA48EB" w:rsidP="00750398">
      <w:pPr>
        <w:numPr>
          <w:ilvl w:val="0"/>
          <w:numId w:val="14"/>
        </w:numPr>
        <w:spacing w:line="360" w:lineRule="auto"/>
        <w:contextualSpacing/>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Pre-write Map interconnections between the sections of analysis.</w:t>
      </w:r>
    </w:p>
    <w:p w14:paraId="43888189" w14:textId="77777777" w:rsidR="00AA48EB" w:rsidRPr="00D32803" w:rsidRDefault="00AA48EB" w:rsidP="00750398">
      <w:pPr>
        <w:numPr>
          <w:ilvl w:val="0"/>
          <w:numId w:val="14"/>
        </w:numPr>
        <w:spacing w:line="360" w:lineRule="auto"/>
        <w:contextualSpacing/>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Get the input of peers to enhance clarity and argument coherence.</w:t>
      </w:r>
    </w:p>
    <w:p w14:paraId="66DE4593" w14:textId="77777777" w:rsidR="00AA48EB" w:rsidRPr="00D32803" w:rsidRDefault="00AA48EB" w:rsidP="00750398">
      <w:pPr>
        <w:numPr>
          <w:ilvl w:val="0"/>
          <w:numId w:val="14"/>
        </w:numPr>
        <w:spacing w:line="360" w:lineRule="auto"/>
        <w:contextualSpacing/>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Keep reflective materials during the research process in order to increase metacognitive awareness.</w:t>
      </w:r>
    </w:p>
    <w:p w14:paraId="78200C50"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Overall, this assignment enhanced my strategic analysis skills to a considerable extent. Using the Gibbs model has facilitated systematic reflection, which has made it clear which competencies were gained and what areas need improvement to be able to develop professionally in the future.</w:t>
      </w:r>
    </w:p>
    <w:p w14:paraId="00855932" w14:textId="77777777" w:rsidR="00AA48EB" w:rsidRPr="00D32803" w:rsidRDefault="00AA48EB" w:rsidP="00750398">
      <w:pPr>
        <w:spacing w:line="360" w:lineRule="auto"/>
        <w:jc w:val="both"/>
        <w:rPr>
          <w:rFonts w:ascii="Arial" w:eastAsia="Aptos" w:hAnsi="Arial" w:cs="Arial"/>
          <w:b/>
          <w:bCs/>
          <w:kern w:val="0"/>
          <w:sz w:val="24"/>
          <w:szCs w:val="24"/>
          <w:lang w:val="en-US" w:bidi="bn-BD"/>
        </w:rPr>
      </w:pPr>
    </w:p>
    <w:p w14:paraId="16BB77A8" w14:textId="77777777" w:rsidR="00AA48EB" w:rsidRDefault="00AA48EB" w:rsidP="00750398">
      <w:pPr>
        <w:jc w:val="both"/>
        <w:rPr>
          <w:rFonts w:ascii="Arial" w:eastAsia="Aptos" w:hAnsi="Arial" w:cs="Arial"/>
          <w:b/>
          <w:bCs/>
          <w:kern w:val="0"/>
          <w:sz w:val="24"/>
          <w:szCs w:val="24"/>
          <w:lang w:val="en-US" w:bidi="bn-BD"/>
        </w:rPr>
      </w:pPr>
      <w:r>
        <w:rPr>
          <w:rFonts w:ascii="Arial" w:eastAsia="Aptos" w:hAnsi="Arial" w:cs="Arial"/>
          <w:b/>
          <w:bCs/>
          <w:kern w:val="0"/>
          <w:sz w:val="24"/>
          <w:szCs w:val="24"/>
          <w:lang w:val="en-US" w:bidi="bn-BD"/>
        </w:rPr>
        <w:br w:type="page"/>
      </w:r>
    </w:p>
    <w:p w14:paraId="30EA2D1E" w14:textId="77777777" w:rsidR="00AA48EB" w:rsidRPr="00D32803" w:rsidRDefault="00AA48EB" w:rsidP="00F13708">
      <w:pPr>
        <w:spacing w:line="360" w:lineRule="auto"/>
        <w:jc w:val="both"/>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lastRenderedPageBreak/>
        <w:t>REFERENCE</w:t>
      </w:r>
    </w:p>
    <w:p w14:paraId="22D1A903"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Aaker, D.A. (1991) </w:t>
      </w:r>
      <w:r w:rsidRPr="00D32803">
        <w:rPr>
          <w:rFonts w:ascii="Arial" w:eastAsia="Aptos" w:hAnsi="Arial" w:cs="Arial"/>
          <w:i/>
          <w:iCs/>
          <w:kern w:val="0"/>
          <w:sz w:val="24"/>
          <w:szCs w:val="24"/>
          <w:lang w:val="en-US" w:bidi="bn-BD"/>
        </w:rPr>
        <w:t>Managing Brand Equity: Capitalizing on the Value of a Brand Name</w:t>
      </w:r>
      <w:r w:rsidRPr="00D32803">
        <w:rPr>
          <w:rFonts w:ascii="Arial" w:eastAsia="Aptos" w:hAnsi="Arial" w:cs="Arial"/>
          <w:kern w:val="0"/>
          <w:sz w:val="24"/>
          <w:szCs w:val="24"/>
          <w:lang w:val="en-US" w:bidi="bn-BD"/>
        </w:rPr>
        <w:t>. New York: Free Press.</w:t>
      </w:r>
    </w:p>
    <w:p w14:paraId="604D9066"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Ansoff, H.I. (1957) 'Strategies for diversification', </w:t>
      </w:r>
      <w:r w:rsidRPr="00D32803">
        <w:rPr>
          <w:rFonts w:ascii="Arial" w:eastAsia="Aptos" w:hAnsi="Arial" w:cs="Arial"/>
          <w:i/>
          <w:iCs/>
          <w:kern w:val="0"/>
          <w:sz w:val="24"/>
          <w:szCs w:val="24"/>
          <w:lang w:val="en-US" w:bidi="bn-BD"/>
        </w:rPr>
        <w:t>Harvard Business Review</w:t>
      </w:r>
      <w:r w:rsidRPr="00D32803">
        <w:rPr>
          <w:rFonts w:ascii="Arial" w:eastAsia="Aptos" w:hAnsi="Arial" w:cs="Arial"/>
          <w:kern w:val="0"/>
          <w:sz w:val="24"/>
          <w:szCs w:val="24"/>
          <w:lang w:val="en-US" w:bidi="bn-BD"/>
        </w:rPr>
        <w:t>, 35(5), pp. 113-124.</w:t>
      </w:r>
    </w:p>
    <w:p w14:paraId="1AA97302"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Bank of England (2023) </w:t>
      </w:r>
      <w:r w:rsidRPr="00D32803">
        <w:rPr>
          <w:rFonts w:ascii="Arial" w:eastAsia="Aptos" w:hAnsi="Arial" w:cs="Arial"/>
          <w:i/>
          <w:iCs/>
          <w:kern w:val="0"/>
          <w:sz w:val="24"/>
          <w:szCs w:val="24"/>
          <w:lang w:val="en-US" w:bidi="bn-BD"/>
        </w:rPr>
        <w:t>Monetary Policy Report: November 2023</w:t>
      </w:r>
      <w:r w:rsidRPr="00D32803">
        <w:rPr>
          <w:rFonts w:ascii="Arial" w:eastAsia="Aptos" w:hAnsi="Arial" w:cs="Arial"/>
          <w:kern w:val="0"/>
          <w:sz w:val="24"/>
          <w:szCs w:val="24"/>
          <w:lang w:val="en-US" w:bidi="bn-BD"/>
        </w:rPr>
        <w:t>. London: Bank of England.</w:t>
      </w:r>
    </w:p>
    <w:p w14:paraId="71ADDCB4"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Barney, J.B. (1991) 'Firm resources and sustained competitive advantage', </w:t>
      </w:r>
      <w:r w:rsidRPr="00D32803">
        <w:rPr>
          <w:rFonts w:ascii="Arial" w:eastAsia="Aptos" w:hAnsi="Arial" w:cs="Arial"/>
          <w:i/>
          <w:iCs/>
          <w:kern w:val="0"/>
          <w:sz w:val="24"/>
          <w:szCs w:val="24"/>
          <w:lang w:val="en-US" w:bidi="bn-BD"/>
        </w:rPr>
        <w:t>Journal of Management</w:t>
      </w:r>
      <w:r w:rsidRPr="00D32803">
        <w:rPr>
          <w:rFonts w:ascii="Arial" w:eastAsia="Aptos" w:hAnsi="Arial" w:cs="Arial"/>
          <w:kern w:val="0"/>
          <w:sz w:val="24"/>
          <w:szCs w:val="24"/>
          <w:lang w:val="en-US" w:bidi="bn-BD"/>
        </w:rPr>
        <w:t>, 17(1), pp. 99-120.</w:t>
      </w:r>
    </w:p>
    <w:p w14:paraId="35F8E272"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Bartlett, C.A. and Ghoshal, S. (1989) </w:t>
      </w:r>
      <w:r w:rsidRPr="00D32803">
        <w:rPr>
          <w:rFonts w:ascii="Arial" w:eastAsia="Aptos" w:hAnsi="Arial" w:cs="Arial"/>
          <w:i/>
          <w:iCs/>
          <w:kern w:val="0"/>
          <w:sz w:val="24"/>
          <w:szCs w:val="24"/>
          <w:lang w:val="en-US" w:bidi="bn-BD"/>
        </w:rPr>
        <w:t>Managing Across Borders: The Transnational Solution</w:t>
      </w:r>
      <w:r w:rsidRPr="00D32803">
        <w:rPr>
          <w:rFonts w:ascii="Arial" w:eastAsia="Aptos" w:hAnsi="Arial" w:cs="Arial"/>
          <w:kern w:val="0"/>
          <w:sz w:val="24"/>
          <w:szCs w:val="24"/>
          <w:lang w:val="en-US" w:bidi="bn-BD"/>
        </w:rPr>
        <w:t>. Boston: Harvard Business School Press.</w:t>
      </w:r>
    </w:p>
    <w:p w14:paraId="28140F66"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Bernstein Research (2023) </w:t>
      </w:r>
      <w:r w:rsidRPr="00D32803">
        <w:rPr>
          <w:rFonts w:ascii="Arial" w:eastAsia="Aptos" w:hAnsi="Arial" w:cs="Arial"/>
          <w:i/>
          <w:iCs/>
          <w:kern w:val="0"/>
          <w:sz w:val="24"/>
          <w:szCs w:val="24"/>
          <w:lang w:val="en-US" w:bidi="bn-BD"/>
        </w:rPr>
        <w:t>Unilever: Operational Improvement Required</w:t>
      </w:r>
      <w:r w:rsidRPr="00D32803">
        <w:rPr>
          <w:rFonts w:ascii="Arial" w:eastAsia="Aptos" w:hAnsi="Arial" w:cs="Arial"/>
          <w:kern w:val="0"/>
          <w:sz w:val="24"/>
          <w:szCs w:val="24"/>
          <w:lang w:val="en-US" w:bidi="bn-BD"/>
        </w:rPr>
        <w:t>. London: Sanford C. Bernstein.</w:t>
      </w:r>
    </w:p>
    <w:p w14:paraId="249F89AF"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Bloom, B.S. (1956) </w:t>
      </w:r>
      <w:r w:rsidRPr="00D32803">
        <w:rPr>
          <w:rFonts w:ascii="Arial" w:eastAsia="Aptos" w:hAnsi="Arial" w:cs="Arial"/>
          <w:i/>
          <w:iCs/>
          <w:kern w:val="0"/>
          <w:sz w:val="24"/>
          <w:szCs w:val="24"/>
          <w:lang w:val="en-US" w:bidi="bn-BD"/>
        </w:rPr>
        <w:t>Taxonomy of Educational Objectives: The Classification of Educational Goals</w:t>
      </w:r>
      <w:r w:rsidRPr="00D32803">
        <w:rPr>
          <w:rFonts w:ascii="Arial" w:eastAsia="Aptos" w:hAnsi="Arial" w:cs="Arial"/>
          <w:kern w:val="0"/>
          <w:sz w:val="24"/>
          <w:szCs w:val="24"/>
          <w:lang w:val="en-US" w:bidi="bn-BD"/>
        </w:rPr>
        <w:t>. New York: Longman.</w:t>
      </w:r>
    </w:p>
    <w:p w14:paraId="1771B8F2" w14:textId="77777777" w:rsidR="00AA48EB" w:rsidRPr="00D32803" w:rsidRDefault="00AA48EB" w:rsidP="00F13708">
      <w:pPr>
        <w:spacing w:line="360" w:lineRule="auto"/>
        <w:jc w:val="both"/>
        <w:rPr>
          <w:rFonts w:ascii="Arial" w:eastAsia="Aptos" w:hAnsi="Arial" w:cs="Arial"/>
          <w:kern w:val="0"/>
          <w:sz w:val="24"/>
          <w:szCs w:val="24"/>
          <w:lang w:val="en-US" w:bidi="bn-BD"/>
        </w:rPr>
      </w:pPr>
      <w:proofErr w:type="spellStart"/>
      <w:r w:rsidRPr="00D32803">
        <w:rPr>
          <w:rFonts w:ascii="Arial" w:eastAsia="Aptos" w:hAnsi="Arial" w:cs="Arial"/>
          <w:kern w:val="0"/>
          <w:sz w:val="24"/>
          <w:szCs w:val="24"/>
          <w:lang w:val="en-US" w:bidi="bn-BD"/>
        </w:rPr>
        <w:t>Boddewyn</w:t>
      </w:r>
      <w:proofErr w:type="spellEnd"/>
      <w:r w:rsidRPr="00D32803">
        <w:rPr>
          <w:rFonts w:ascii="Arial" w:eastAsia="Aptos" w:hAnsi="Arial" w:cs="Arial"/>
          <w:kern w:val="0"/>
          <w:sz w:val="24"/>
          <w:szCs w:val="24"/>
          <w:lang w:val="en-US" w:bidi="bn-BD"/>
        </w:rPr>
        <w:t>, J.J. and Brewer, T.L. (1994) 'International-business political behavior: New theoretical directions', </w:t>
      </w:r>
      <w:r w:rsidRPr="00D32803">
        <w:rPr>
          <w:rFonts w:ascii="Arial" w:eastAsia="Aptos" w:hAnsi="Arial" w:cs="Arial"/>
          <w:i/>
          <w:iCs/>
          <w:kern w:val="0"/>
          <w:sz w:val="24"/>
          <w:szCs w:val="24"/>
          <w:lang w:val="en-US" w:bidi="bn-BD"/>
        </w:rPr>
        <w:t>Academy of Management Review</w:t>
      </w:r>
      <w:r w:rsidRPr="00D32803">
        <w:rPr>
          <w:rFonts w:ascii="Arial" w:eastAsia="Aptos" w:hAnsi="Arial" w:cs="Arial"/>
          <w:kern w:val="0"/>
          <w:sz w:val="24"/>
          <w:szCs w:val="24"/>
          <w:lang w:val="en-US" w:bidi="bn-BD"/>
        </w:rPr>
        <w:t>, 19(1), pp. 119-143.</w:t>
      </w:r>
    </w:p>
    <w:p w14:paraId="00D0E280"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Boud, D., Keogh, R. and Walker, D. (1985) </w:t>
      </w:r>
      <w:r w:rsidRPr="00D32803">
        <w:rPr>
          <w:rFonts w:ascii="Arial" w:eastAsia="Aptos" w:hAnsi="Arial" w:cs="Arial"/>
          <w:i/>
          <w:iCs/>
          <w:kern w:val="0"/>
          <w:sz w:val="24"/>
          <w:szCs w:val="24"/>
          <w:lang w:val="en-US" w:bidi="bn-BD"/>
        </w:rPr>
        <w:t>Reflection: Turning Experience into Learning</w:t>
      </w:r>
      <w:r w:rsidRPr="00D32803">
        <w:rPr>
          <w:rFonts w:ascii="Arial" w:eastAsia="Aptos" w:hAnsi="Arial" w:cs="Arial"/>
          <w:kern w:val="0"/>
          <w:sz w:val="24"/>
          <w:szCs w:val="24"/>
          <w:lang w:val="en-US" w:bidi="bn-BD"/>
        </w:rPr>
        <w:t>. London: Kogan Page.</w:t>
      </w:r>
    </w:p>
    <w:p w14:paraId="688E0005"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Brand Finance (2023) </w:t>
      </w:r>
      <w:r w:rsidRPr="00D32803">
        <w:rPr>
          <w:rFonts w:ascii="Arial" w:eastAsia="Aptos" w:hAnsi="Arial" w:cs="Arial"/>
          <w:i/>
          <w:iCs/>
          <w:kern w:val="0"/>
          <w:sz w:val="24"/>
          <w:szCs w:val="24"/>
          <w:lang w:val="en-US" w:bidi="bn-BD"/>
        </w:rPr>
        <w:t>Global 500 2023: The Annual Report on the World's Most Valuable and Strongest Brands</w:t>
      </w:r>
      <w:r w:rsidRPr="00D32803">
        <w:rPr>
          <w:rFonts w:ascii="Arial" w:eastAsia="Aptos" w:hAnsi="Arial" w:cs="Arial"/>
          <w:kern w:val="0"/>
          <w:sz w:val="24"/>
          <w:szCs w:val="24"/>
          <w:lang w:val="en-US" w:bidi="bn-BD"/>
        </w:rPr>
        <w:t>. London: Brand Finance.</w:t>
      </w:r>
    </w:p>
    <w:p w14:paraId="2AA3B083"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Campbell, A., Goold, M. and Alexander, M. (1995) 'Corporate strategy: The quest for parenting advantage', </w:t>
      </w:r>
      <w:r w:rsidRPr="00D32803">
        <w:rPr>
          <w:rFonts w:ascii="Arial" w:eastAsia="Aptos" w:hAnsi="Arial" w:cs="Arial"/>
          <w:i/>
          <w:iCs/>
          <w:kern w:val="0"/>
          <w:sz w:val="24"/>
          <w:szCs w:val="24"/>
          <w:lang w:val="en-US" w:bidi="bn-BD"/>
        </w:rPr>
        <w:t>Harvard Business Review</w:t>
      </w:r>
      <w:r w:rsidRPr="00D32803">
        <w:rPr>
          <w:rFonts w:ascii="Arial" w:eastAsia="Aptos" w:hAnsi="Arial" w:cs="Arial"/>
          <w:kern w:val="0"/>
          <w:sz w:val="24"/>
          <w:szCs w:val="24"/>
          <w:lang w:val="en-US" w:bidi="bn-BD"/>
        </w:rPr>
        <w:t>, 73(2), pp. 120-132.</w:t>
      </w:r>
    </w:p>
    <w:p w14:paraId="64B757B9"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Carroll, A.B. (1991) 'The pyramid of corporate social responsibility: Toward the moral management of organizational stakeholders', </w:t>
      </w:r>
      <w:r w:rsidRPr="00D32803">
        <w:rPr>
          <w:rFonts w:ascii="Arial" w:eastAsia="Aptos" w:hAnsi="Arial" w:cs="Arial"/>
          <w:i/>
          <w:iCs/>
          <w:kern w:val="0"/>
          <w:sz w:val="24"/>
          <w:szCs w:val="24"/>
          <w:lang w:val="en-US" w:bidi="bn-BD"/>
        </w:rPr>
        <w:t>Business Horizons</w:t>
      </w:r>
      <w:r w:rsidRPr="00D32803">
        <w:rPr>
          <w:rFonts w:ascii="Arial" w:eastAsia="Aptos" w:hAnsi="Arial" w:cs="Arial"/>
          <w:kern w:val="0"/>
          <w:sz w:val="24"/>
          <w:szCs w:val="24"/>
          <w:lang w:val="en-US" w:bidi="bn-BD"/>
        </w:rPr>
        <w:t>, 34(4), pp. 39-48.</w:t>
      </w:r>
    </w:p>
    <w:p w14:paraId="68AD2EA5"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Christensen, C.M. (1997) </w:t>
      </w:r>
      <w:r w:rsidRPr="00D32803">
        <w:rPr>
          <w:rFonts w:ascii="Arial" w:eastAsia="Aptos" w:hAnsi="Arial" w:cs="Arial"/>
          <w:i/>
          <w:iCs/>
          <w:kern w:val="0"/>
          <w:sz w:val="24"/>
          <w:szCs w:val="24"/>
          <w:lang w:val="en-US" w:bidi="bn-BD"/>
        </w:rPr>
        <w:t>The Innovator's Dilemma: When New Technologies Cause Great Firms to Fail</w:t>
      </w:r>
      <w:r w:rsidRPr="00D32803">
        <w:rPr>
          <w:rFonts w:ascii="Arial" w:eastAsia="Aptos" w:hAnsi="Arial" w:cs="Arial"/>
          <w:kern w:val="0"/>
          <w:sz w:val="24"/>
          <w:szCs w:val="24"/>
          <w:lang w:val="en-US" w:bidi="bn-BD"/>
        </w:rPr>
        <w:t>. Boston: Harvard Business School Press.</w:t>
      </w:r>
    </w:p>
    <w:p w14:paraId="56E352FF"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lastRenderedPageBreak/>
        <w:t>Collins, J.C. and Porras, J.I. (1996) 'Building your company's vision', </w:t>
      </w:r>
      <w:r w:rsidRPr="00D32803">
        <w:rPr>
          <w:rFonts w:ascii="Arial" w:eastAsia="Aptos" w:hAnsi="Arial" w:cs="Arial"/>
          <w:i/>
          <w:iCs/>
          <w:kern w:val="0"/>
          <w:sz w:val="24"/>
          <w:szCs w:val="24"/>
          <w:lang w:val="en-US" w:bidi="bn-BD"/>
        </w:rPr>
        <w:t>Harvard Business Review</w:t>
      </w:r>
      <w:r w:rsidRPr="00D32803">
        <w:rPr>
          <w:rFonts w:ascii="Arial" w:eastAsia="Aptos" w:hAnsi="Arial" w:cs="Arial"/>
          <w:kern w:val="0"/>
          <w:sz w:val="24"/>
          <w:szCs w:val="24"/>
          <w:lang w:val="en-US" w:bidi="bn-BD"/>
        </w:rPr>
        <w:t>, 74(5), pp. 65-77.</w:t>
      </w:r>
    </w:p>
    <w:p w14:paraId="69F3DF6B"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Coombs, W.T. (2019) </w:t>
      </w:r>
      <w:r w:rsidRPr="00D32803">
        <w:rPr>
          <w:rFonts w:ascii="Arial" w:eastAsia="Aptos" w:hAnsi="Arial" w:cs="Arial"/>
          <w:i/>
          <w:iCs/>
          <w:kern w:val="0"/>
          <w:sz w:val="24"/>
          <w:szCs w:val="24"/>
          <w:lang w:val="en-US" w:bidi="bn-BD"/>
        </w:rPr>
        <w:t>Ongoing Crisis Communication: Planning, Managing, and Responding</w:t>
      </w:r>
      <w:r w:rsidRPr="00D32803">
        <w:rPr>
          <w:rFonts w:ascii="Arial" w:eastAsia="Aptos" w:hAnsi="Arial" w:cs="Arial"/>
          <w:kern w:val="0"/>
          <w:sz w:val="24"/>
          <w:szCs w:val="24"/>
          <w:lang w:val="en-US" w:bidi="bn-BD"/>
        </w:rPr>
        <w:t xml:space="preserve">. 5th </w:t>
      </w:r>
      <w:proofErr w:type="spellStart"/>
      <w:r w:rsidRPr="00D32803">
        <w:rPr>
          <w:rFonts w:ascii="Arial" w:eastAsia="Aptos" w:hAnsi="Arial" w:cs="Arial"/>
          <w:kern w:val="0"/>
          <w:sz w:val="24"/>
          <w:szCs w:val="24"/>
          <w:lang w:val="en-US" w:bidi="bn-BD"/>
        </w:rPr>
        <w:t>edn</w:t>
      </w:r>
      <w:proofErr w:type="spellEnd"/>
      <w:r w:rsidRPr="00D32803">
        <w:rPr>
          <w:rFonts w:ascii="Arial" w:eastAsia="Aptos" w:hAnsi="Arial" w:cs="Arial"/>
          <w:kern w:val="0"/>
          <w:sz w:val="24"/>
          <w:szCs w:val="24"/>
          <w:lang w:val="en-US" w:bidi="bn-BD"/>
        </w:rPr>
        <w:t>. Thousand Oaks: SAGE Publications.</w:t>
      </w:r>
    </w:p>
    <w:p w14:paraId="4BCF0375"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 xml:space="preserve">Davenport, T.H. and </w:t>
      </w:r>
      <w:proofErr w:type="spellStart"/>
      <w:r w:rsidRPr="00D32803">
        <w:rPr>
          <w:rFonts w:ascii="Arial" w:eastAsia="Aptos" w:hAnsi="Arial" w:cs="Arial"/>
          <w:kern w:val="0"/>
          <w:sz w:val="24"/>
          <w:szCs w:val="24"/>
          <w:lang w:val="en-US" w:bidi="bn-BD"/>
        </w:rPr>
        <w:t>Ronanki</w:t>
      </w:r>
      <w:proofErr w:type="spellEnd"/>
      <w:r w:rsidRPr="00D32803">
        <w:rPr>
          <w:rFonts w:ascii="Arial" w:eastAsia="Aptos" w:hAnsi="Arial" w:cs="Arial"/>
          <w:kern w:val="0"/>
          <w:sz w:val="24"/>
          <w:szCs w:val="24"/>
          <w:lang w:val="en-US" w:bidi="bn-BD"/>
        </w:rPr>
        <w:t>, R. (2018) 'Artificial intelligence for the real world', </w:t>
      </w:r>
      <w:r w:rsidRPr="00D32803">
        <w:rPr>
          <w:rFonts w:ascii="Arial" w:eastAsia="Aptos" w:hAnsi="Arial" w:cs="Arial"/>
          <w:i/>
          <w:iCs/>
          <w:kern w:val="0"/>
          <w:sz w:val="24"/>
          <w:szCs w:val="24"/>
          <w:lang w:val="en-US" w:bidi="bn-BD"/>
        </w:rPr>
        <w:t>Harvard Business Review</w:t>
      </w:r>
      <w:r w:rsidRPr="00D32803">
        <w:rPr>
          <w:rFonts w:ascii="Arial" w:eastAsia="Aptos" w:hAnsi="Arial" w:cs="Arial"/>
          <w:kern w:val="0"/>
          <w:sz w:val="24"/>
          <w:szCs w:val="24"/>
          <w:lang w:val="en-US" w:bidi="bn-BD"/>
        </w:rPr>
        <w:t>, 96(1), pp. 108-116.</w:t>
      </w:r>
    </w:p>
    <w:p w14:paraId="5FC47572"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Elkington, J. (1997) </w:t>
      </w:r>
      <w:r w:rsidRPr="00D32803">
        <w:rPr>
          <w:rFonts w:ascii="Arial" w:eastAsia="Aptos" w:hAnsi="Arial" w:cs="Arial"/>
          <w:i/>
          <w:iCs/>
          <w:kern w:val="0"/>
          <w:sz w:val="24"/>
          <w:szCs w:val="24"/>
          <w:lang w:val="en-US" w:bidi="bn-BD"/>
        </w:rPr>
        <w:t>Cannibals with Forks: The Triple Bottom Line of 21st Century Business</w:t>
      </w:r>
      <w:r w:rsidRPr="00D32803">
        <w:rPr>
          <w:rFonts w:ascii="Arial" w:eastAsia="Aptos" w:hAnsi="Arial" w:cs="Arial"/>
          <w:kern w:val="0"/>
          <w:sz w:val="24"/>
          <w:szCs w:val="24"/>
          <w:lang w:val="en-US" w:bidi="bn-BD"/>
        </w:rPr>
        <w:t>. Oxford: Capstone Publishing.</w:t>
      </w:r>
    </w:p>
    <w:p w14:paraId="0EDA7D5E"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European Commission (2023) </w:t>
      </w:r>
      <w:r w:rsidRPr="00D32803">
        <w:rPr>
          <w:rFonts w:ascii="Arial" w:eastAsia="Aptos" w:hAnsi="Arial" w:cs="Arial"/>
          <w:i/>
          <w:iCs/>
          <w:kern w:val="0"/>
          <w:sz w:val="24"/>
          <w:szCs w:val="24"/>
          <w:lang w:val="en-US" w:bidi="bn-BD"/>
        </w:rPr>
        <w:t>Corporate Sustainability Reporting Directive</w:t>
      </w:r>
      <w:r w:rsidRPr="00D32803">
        <w:rPr>
          <w:rFonts w:ascii="Arial" w:eastAsia="Aptos" w:hAnsi="Arial" w:cs="Arial"/>
          <w:kern w:val="0"/>
          <w:sz w:val="24"/>
          <w:szCs w:val="24"/>
          <w:lang w:val="en-US" w:bidi="bn-BD"/>
        </w:rPr>
        <w:t>. Brussels: European Commission.</w:t>
      </w:r>
    </w:p>
    <w:p w14:paraId="6F0848A7"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European Medicines Agency (2023) </w:t>
      </w:r>
      <w:r w:rsidRPr="00D32803">
        <w:rPr>
          <w:rFonts w:ascii="Arial" w:eastAsia="Aptos" w:hAnsi="Arial" w:cs="Arial"/>
          <w:i/>
          <w:iCs/>
          <w:kern w:val="0"/>
          <w:sz w:val="24"/>
          <w:szCs w:val="24"/>
          <w:lang w:val="en-US" w:bidi="bn-BD"/>
        </w:rPr>
        <w:t>Cosmetics Regulation (EC) No 1223/2009</w:t>
      </w:r>
      <w:r w:rsidRPr="00D32803">
        <w:rPr>
          <w:rFonts w:ascii="Arial" w:eastAsia="Aptos" w:hAnsi="Arial" w:cs="Arial"/>
          <w:kern w:val="0"/>
          <w:sz w:val="24"/>
          <w:szCs w:val="24"/>
          <w:lang w:val="en-US" w:bidi="bn-BD"/>
        </w:rPr>
        <w:t>. Amsterdam: EMA.</w:t>
      </w:r>
    </w:p>
    <w:p w14:paraId="2BD80FC7"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Euromonitor (2023) </w:t>
      </w:r>
      <w:r w:rsidRPr="00D32803">
        <w:rPr>
          <w:rFonts w:ascii="Arial" w:eastAsia="Aptos" w:hAnsi="Arial" w:cs="Arial"/>
          <w:i/>
          <w:iCs/>
          <w:kern w:val="0"/>
          <w:sz w:val="24"/>
          <w:szCs w:val="24"/>
          <w:lang w:val="en-US" w:bidi="bn-BD"/>
        </w:rPr>
        <w:t>Global FMCG Industry Analysis</w:t>
      </w:r>
      <w:r w:rsidRPr="00D32803">
        <w:rPr>
          <w:rFonts w:ascii="Arial" w:eastAsia="Aptos" w:hAnsi="Arial" w:cs="Arial"/>
          <w:kern w:val="0"/>
          <w:sz w:val="24"/>
          <w:szCs w:val="24"/>
          <w:lang w:val="en-US" w:bidi="bn-BD"/>
        </w:rPr>
        <w:t>. London: Euromonitor International.</w:t>
      </w:r>
    </w:p>
    <w:p w14:paraId="1AE2085B"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Financial Times (2023) 'Unilever's new CEO signals shift from sustainability focus', </w:t>
      </w:r>
      <w:r w:rsidRPr="00D32803">
        <w:rPr>
          <w:rFonts w:ascii="Arial" w:eastAsia="Aptos" w:hAnsi="Arial" w:cs="Arial"/>
          <w:i/>
          <w:iCs/>
          <w:kern w:val="0"/>
          <w:sz w:val="24"/>
          <w:szCs w:val="24"/>
          <w:lang w:val="en-US" w:bidi="bn-BD"/>
        </w:rPr>
        <w:t>Financial Times</w:t>
      </w:r>
      <w:r w:rsidRPr="00D32803">
        <w:rPr>
          <w:rFonts w:ascii="Arial" w:eastAsia="Aptos" w:hAnsi="Arial" w:cs="Arial"/>
          <w:kern w:val="0"/>
          <w:sz w:val="24"/>
          <w:szCs w:val="24"/>
          <w:lang w:val="en-US" w:bidi="bn-BD"/>
        </w:rPr>
        <w:t>, 15 October, p. 14.</w:t>
      </w:r>
    </w:p>
    <w:p w14:paraId="6C675456"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Fortune Business Insights (2024) </w:t>
      </w:r>
      <w:r w:rsidRPr="00D32803">
        <w:rPr>
          <w:rFonts w:ascii="Arial" w:eastAsia="Aptos" w:hAnsi="Arial" w:cs="Arial"/>
          <w:i/>
          <w:iCs/>
          <w:kern w:val="0"/>
          <w:sz w:val="24"/>
          <w:szCs w:val="24"/>
          <w:lang w:val="en-US" w:bidi="bn-BD"/>
        </w:rPr>
        <w:t>Fast Moving Consumer Goods Market Size, Share &amp; Industry Analysis</w:t>
      </w:r>
      <w:r w:rsidRPr="00D32803">
        <w:rPr>
          <w:rFonts w:ascii="Arial" w:eastAsia="Aptos" w:hAnsi="Arial" w:cs="Arial"/>
          <w:kern w:val="0"/>
          <w:sz w:val="24"/>
          <w:szCs w:val="24"/>
          <w:lang w:val="en-US" w:bidi="bn-BD"/>
        </w:rPr>
        <w:t>. Pune: Fortune Business Insights.</w:t>
      </w:r>
    </w:p>
    <w:p w14:paraId="531B59CF"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Freeman, R.E. (1984) </w:t>
      </w:r>
      <w:r w:rsidRPr="00D32803">
        <w:rPr>
          <w:rFonts w:ascii="Arial" w:eastAsia="Aptos" w:hAnsi="Arial" w:cs="Arial"/>
          <w:i/>
          <w:iCs/>
          <w:kern w:val="0"/>
          <w:sz w:val="24"/>
          <w:szCs w:val="24"/>
          <w:lang w:val="en-US" w:bidi="bn-BD"/>
        </w:rPr>
        <w:t>Strategic Management: A Stakeholder Approach</w:t>
      </w:r>
      <w:r w:rsidRPr="00D32803">
        <w:rPr>
          <w:rFonts w:ascii="Arial" w:eastAsia="Aptos" w:hAnsi="Arial" w:cs="Arial"/>
          <w:kern w:val="0"/>
          <w:sz w:val="24"/>
          <w:szCs w:val="24"/>
          <w:lang w:val="en-US" w:bidi="bn-BD"/>
        </w:rPr>
        <w:t>. Boston: Pitman.</w:t>
      </w:r>
    </w:p>
    <w:p w14:paraId="5B5129B2"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Gibbs, G. (1988) </w:t>
      </w:r>
      <w:r w:rsidRPr="00D32803">
        <w:rPr>
          <w:rFonts w:ascii="Arial" w:eastAsia="Aptos" w:hAnsi="Arial" w:cs="Arial"/>
          <w:i/>
          <w:iCs/>
          <w:kern w:val="0"/>
          <w:sz w:val="24"/>
          <w:szCs w:val="24"/>
          <w:lang w:val="en-US" w:bidi="bn-BD"/>
        </w:rPr>
        <w:t>Learning by Doing: A Guide to Teaching and Learning Methods</w:t>
      </w:r>
      <w:r w:rsidRPr="00D32803">
        <w:rPr>
          <w:rFonts w:ascii="Arial" w:eastAsia="Aptos" w:hAnsi="Arial" w:cs="Arial"/>
          <w:kern w:val="0"/>
          <w:sz w:val="24"/>
          <w:szCs w:val="24"/>
          <w:lang w:val="en-US" w:bidi="bn-BD"/>
        </w:rPr>
        <w:t>. Oxford: Further Education Unit, Oxford Polytechnic.</w:t>
      </w:r>
    </w:p>
    <w:p w14:paraId="53B98727"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Grant, R.M. (2019) </w:t>
      </w:r>
      <w:r w:rsidRPr="00D32803">
        <w:rPr>
          <w:rFonts w:ascii="Arial" w:eastAsia="Aptos" w:hAnsi="Arial" w:cs="Arial"/>
          <w:i/>
          <w:iCs/>
          <w:kern w:val="0"/>
          <w:sz w:val="24"/>
          <w:szCs w:val="24"/>
          <w:lang w:val="en-US" w:bidi="bn-BD"/>
        </w:rPr>
        <w:t>Contemporary Strategy Analysis</w:t>
      </w:r>
      <w:r w:rsidRPr="00D32803">
        <w:rPr>
          <w:rFonts w:ascii="Arial" w:eastAsia="Aptos" w:hAnsi="Arial" w:cs="Arial"/>
          <w:kern w:val="0"/>
          <w:sz w:val="24"/>
          <w:szCs w:val="24"/>
          <w:lang w:val="en-US" w:bidi="bn-BD"/>
        </w:rPr>
        <w:t xml:space="preserve">. 10th </w:t>
      </w:r>
      <w:proofErr w:type="spellStart"/>
      <w:r w:rsidRPr="00D32803">
        <w:rPr>
          <w:rFonts w:ascii="Arial" w:eastAsia="Aptos" w:hAnsi="Arial" w:cs="Arial"/>
          <w:kern w:val="0"/>
          <w:sz w:val="24"/>
          <w:szCs w:val="24"/>
          <w:lang w:val="en-US" w:bidi="bn-BD"/>
        </w:rPr>
        <w:t>edn</w:t>
      </w:r>
      <w:proofErr w:type="spellEnd"/>
      <w:r w:rsidRPr="00D32803">
        <w:rPr>
          <w:rFonts w:ascii="Arial" w:eastAsia="Aptos" w:hAnsi="Arial" w:cs="Arial"/>
          <w:kern w:val="0"/>
          <w:sz w:val="24"/>
          <w:szCs w:val="24"/>
          <w:lang w:val="en-US" w:bidi="bn-BD"/>
        </w:rPr>
        <w:t>. Chichester: John Wiley &amp; Sons.</w:t>
      </w:r>
    </w:p>
    <w:p w14:paraId="0F82B5D1"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Greenpeace (2022) </w:t>
      </w:r>
      <w:r w:rsidRPr="00D32803">
        <w:rPr>
          <w:rFonts w:ascii="Arial" w:eastAsia="Aptos" w:hAnsi="Arial" w:cs="Arial"/>
          <w:i/>
          <w:iCs/>
          <w:kern w:val="0"/>
          <w:sz w:val="24"/>
          <w:szCs w:val="24"/>
          <w:lang w:val="en-US" w:bidi="bn-BD"/>
        </w:rPr>
        <w:t>Destruction: Certified - How Some of the Biggest Brands Are Selling Rainforest Destruction</w:t>
      </w:r>
      <w:r w:rsidRPr="00D32803">
        <w:rPr>
          <w:rFonts w:ascii="Arial" w:eastAsia="Aptos" w:hAnsi="Arial" w:cs="Arial"/>
          <w:kern w:val="0"/>
          <w:sz w:val="24"/>
          <w:szCs w:val="24"/>
          <w:lang w:val="en-US" w:bidi="bn-BD"/>
        </w:rPr>
        <w:t>. Amsterdam: Greenpeace International.</w:t>
      </w:r>
    </w:p>
    <w:p w14:paraId="2485D3D1"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Hart, S.L. (1995) 'A natural-resource-based view of the firm', </w:t>
      </w:r>
      <w:r w:rsidRPr="00D32803">
        <w:rPr>
          <w:rFonts w:ascii="Arial" w:eastAsia="Aptos" w:hAnsi="Arial" w:cs="Arial"/>
          <w:i/>
          <w:iCs/>
          <w:kern w:val="0"/>
          <w:sz w:val="24"/>
          <w:szCs w:val="24"/>
          <w:lang w:val="en-US" w:bidi="bn-BD"/>
        </w:rPr>
        <w:t>Academy of Management Review</w:t>
      </w:r>
      <w:r w:rsidRPr="00D32803">
        <w:rPr>
          <w:rFonts w:ascii="Arial" w:eastAsia="Aptos" w:hAnsi="Arial" w:cs="Arial"/>
          <w:kern w:val="0"/>
          <w:sz w:val="24"/>
          <w:szCs w:val="24"/>
          <w:lang w:val="en-US" w:bidi="bn-BD"/>
        </w:rPr>
        <w:t>, 20(4), pp. 986-1014.</w:t>
      </w:r>
    </w:p>
    <w:p w14:paraId="3D1BB7F1"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lastRenderedPageBreak/>
        <w:t>Helms, M.M. and Nixon, J. (2010) 'Exploring SWOT analysis – where are we now? A review of academic research from the last decade', </w:t>
      </w:r>
      <w:r w:rsidRPr="00D32803">
        <w:rPr>
          <w:rFonts w:ascii="Arial" w:eastAsia="Aptos" w:hAnsi="Arial" w:cs="Arial"/>
          <w:i/>
          <w:iCs/>
          <w:kern w:val="0"/>
          <w:sz w:val="24"/>
          <w:szCs w:val="24"/>
          <w:lang w:val="en-US" w:bidi="bn-BD"/>
        </w:rPr>
        <w:t>Journal of Strategy and Management</w:t>
      </w:r>
      <w:r w:rsidRPr="00D32803">
        <w:rPr>
          <w:rFonts w:ascii="Arial" w:eastAsia="Aptos" w:hAnsi="Arial" w:cs="Arial"/>
          <w:kern w:val="0"/>
          <w:sz w:val="24"/>
          <w:szCs w:val="24"/>
          <w:lang w:val="en-US" w:bidi="bn-BD"/>
        </w:rPr>
        <w:t>, 3(3), pp. 215-251.</w:t>
      </w:r>
    </w:p>
    <w:p w14:paraId="6B6C692C"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Henderson, B.D. (1979) </w:t>
      </w:r>
      <w:r w:rsidRPr="00D32803">
        <w:rPr>
          <w:rFonts w:ascii="Arial" w:eastAsia="Aptos" w:hAnsi="Arial" w:cs="Arial"/>
          <w:i/>
          <w:iCs/>
          <w:kern w:val="0"/>
          <w:sz w:val="24"/>
          <w:szCs w:val="24"/>
          <w:lang w:val="en-US" w:bidi="bn-BD"/>
        </w:rPr>
        <w:t>Henderson on Corporate Strategy</w:t>
      </w:r>
      <w:r w:rsidRPr="00D32803">
        <w:rPr>
          <w:rFonts w:ascii="Arial" w:eastAsia="Aptos" w:hAnsi="Arial" w:cs="Arial"/>
          <w:kern w:val="0"/>
          <w:sz w:val="24"/>
          <w:szCs w:val="24"/>
          <w:lang w:val="en-US" w:bidi="bn-BD"/>
        </w:rPr>
        <w:t>. Cambridge: Abt Books.</w:t>
      </w:r>
    </w:p>
    <w:p w14:paraId="390BA7E8"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HM Revenue &amp; Customs (2022) </w:t>
      </w:r>
      <w:r w:rsidRPr="00D32803">
        <w:rPr>
          <w:rFonts w:ascii="Arial" w:eastAsia="Aptos" w:hAnsi="Arial" w:cs="Arial"/>
          <w:i/>
          <w:iCs/>
          <w:kern w:val="0"/>
          <w:sz w:val="24"/>
          <w:szCs w:val="24"/>
          <w:lang w:val="en-US" w:bidi="bn-BD"/>
        </w:rPr>
        <w:t>Plastic Packaging Tax: Policy Paper</w:t>
      </w:r>
      <w:r w:rsidRPr="00D32803">
        <w:rPr>
          <w:rFonts w:ascii="Arial" w:eastAsia="Aptos" w:hAnsi="Arial" w:cs="Arial"/>
          <w:kern w:val="0"/>
          <w:sz w:val="24"/>
          <w:szCs w:val="24"/>
          <w:lang w:val="en-US" w:bidi="bn-BD"/>
        </w:rPr>
        <w:t>. London: HMRC.</w:t>
      </w:r>
    </w:p>
    <w:p w14:paraId="0F3550EB"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House of Commons (2022) </w:t>
      </w:r>
      <w:r w:rsidRPr="00D32803">
        <w:rPr>
          <w:rFonts w:ascii="Arial" w:eastAsia="Aptos" w:hAnsi="Arial" w:cs="Arial"/>
          <w:i/>
          <w:iCs/>
          <w:kern w:val="0"/>
          <w:sz w:val="24"/>
          <w:szCs w:val="24"/>
          <w:lang w:val="en-US" w:bidi="bn-BD"/>
        </w:rPr>
        <w:t>UK-EU Trade: Supply Chain Issues</w:t>
      </w:r>
      <w:r w:rsidRPr="00D32803">
        <w:rPr>
          <w:rFonts w:ascii="Arial" w:eastAsia="Aptos" w:hAnsi="Arial" w:cs="Arial"/>
          <w:kern w:val="0"/>
          <w:sz w:val="24"/>
          <w:szCs w:val="24"/>
          <w:lang w:val="en-US" w:bidi="bn-BD"/>
        </w:rPr>
        <w:t>. London: House of Commons Library.</w:t>
      </w:r>
    </w:p>
    <w:p w14:paraId="0B6DEE7D"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IBM (2022) </w:t>
      </w:r>
      <w:r w:rsidRPr="00D32803">
        <w:rPr>
          <w:rFonts w:ascii="Arial" w:eastAsia="Aptos" w:hAnsi="Arial" w:cs="Arial"/>
          <w:i/>
          <w:iCs/>
          <w:kern w:val="0"/>
          <w:sz w:val="24"/>
          <w:szCs w:val="24"/>
          <w:lang w:val="en-US" w:bidi="bn-BD"/>
        </w:rPr>
        <w:t>Meet the 2022 Consumers Driving Change</w:t>
      </w:r>
      <w:r w:rsidRPr="00D32803">
        <w:rPr>
          <w:rFonts w:ascii="Arial" w:eastAsia="Aptos" w:hAnsi="Arial" w:cs="Arial"/>
          <w:kern w:val="0"/>
          <w:sz w:val="24"/>
          <w:szCs w:val="24"/>
          <w:lang w:val="en-US" w:bidi="bn-BD"/>
        </w:rPr>
        <w:t>. Armonk: IBM Institute for Business Value.</w:t>
      </w:r>
    </w:p>
    <w:p w14:paraId="1362DDD8"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Information Commissioner's Office (2023) </w:t>
      </w:r>
      <w:r w:rsidRPr="00D32803">
        <w:rPr>
          <w:rFonts w:ascii="Arial" w:eastAsia="Aptos" w:hAnsi="Arial" w:cs="Arial"/>
          <w:i/>
          <w:iCs/>
          <w:kern w:val="0"/>
          <w:sz w:val="24"/>
          <w:szCs w:val="24"/>
          <w:lang w:val="en-US" w:bidi="bn-BD"/>
        </w:rPr>
        <w:t>Guide to the UK General Data Protection Regulation</w:t>
      </w:r>
      <w:r w:rsidRPr="00D32803">
        <w:rPr>
          <w:rFonts w:ascii="Arial" w:eastAsia="Aptos" w:hAnsi="Arial" w:cs="Arial"/>
          <w:kern w:val="0"/>
          <w:sz w:val="24"/>
          <w:szCs w:val="24"/>
          <w:lang w:val="en-US" w:bidi="bn-BD"/>
        </w:rPr>
        <w:t>. Wilmslow: ICO.</w:t>
      </w:r>
    </w:p>
    <w:p w14:paraId="52E5764B"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Intergovernmental Panel on Climate Change (2023) </w:t>
      </w:r>
      <w:r w:rsidRPr="00D32803">
        <w:rPr>
          <w:rFonts w:ascii="Arial" w:eastAsia="Aptos" w:hAnsi="Arial" w:cs="Arial"/>
          <w:i/>
          <w:iCs/>
          <w:kern w:val="0"/>
          <w:sz w:val="24"/>
          <w:szCs w:val="24"/>
          <w:lang w:val="en-US" w:bidi="bn-BD"/>
        </w:rPr>
        <w:t>Climate Change 2023: Synthesis Report</w:t>
      </w:r>
      <w:r w:rsidRPr="00D32803">
        <w:rPr>
          <w:rFonts w:ascii="Arial" w:eastAsia="Aptos" w:hAnsi="Arial" w:cs="Arial"/>
          <w:kern w:val="0"/>
          <w:sz w:val="24"/>
          <w:szCs w:val="24"/>
          <w:lang w:val="en-US" w:bidi="bn-BD"/>
        </w:rPr>
        <w:t>. Geneva: IPCC.</w:t>
      </w:r>
    </w:p>
    <w:p w14:paraId="47F7F862"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Johnson, G., Scholes, K. and Whittington, R. (2017) </w:t>
      </w:r>
      <w:r w:rsidRPr="00D32803">
        <w:rPr>
          <w:rFonts w:ascii="Arial" w:eastAsia="Aptos" w:hAnsi="Arial" w:cs="Arial"/>
          <w:i/>
          <w:iCs/>
          <w:kern w:val="0"/>
          <w:sz w:val="24"/>
          <w:szCs w:val="24"/>
          <w:lang w:val="en-US" w:bidi="bn-BD"/>
        </w:rPr>
        <w:t>Exploring Strategy</w:t>
      </w:r>
      <w:r w:rsidRPr="00D32803">
        <w:rPr>
          <w:rFonts w:ascii="Arial" w:eastAsia="Aptos" w:hAnsi="Arial" w:cs="Arial"/>
          <w:kern w:val="0"/>
          <w:sz w:val="24"/>
          <w:szCs w:val="24"/>
          <w:lang w:val="en-US" w:bidi="bn-BD"/>
        </w:rPr>
        <w:t xml:space="preserve">. 11th </w:t>
      </w:r>
      <w:proofErr w:type="spellStart"/>
      <w:r w:rsidRPr="00D32803">
        <w:rPr>
          <w:rFonts w:ascii="Arial" w:eastAsia="Aptos" w:hAnsi="Arial" w:cs="Arial"/>
          <w:kern w:val="0"/>
          <w:sz w:val="24"/>
          <w:szCs w:val="24"/>
          <w:lang w:val="en-US" w:bidi="bn-BD"/>
        </w:rPr>
        <w:t>edn</w:t>
      </w:r>
      <w:proofErr w:type="spellEnd"/>
      <w:r w:rsidRPr="00D32803">
        <w:rPr>
          <w:rFonts w:ascii="Arial" w:eastAsia="Aptos" w:hAnsi="Arial" w:cs="Arial"/>
          <w:kern w:val="0"/>
          <w:sz w:val="24"/>
          <w:szCs w:val="24"/>
          <w:lang w:val="en-US" w:bidi="bn-BD"/>
        </w:rPr>
        <w:t>. Harlow: Pearson.</w:t>
      </w:r>
    </w:p>
    <w:p w14:paraId="0F0098FA"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Jones, G. (2005) </w:t>
      </w:r>
      <w:r w:rsidRPr="00D32803">
        <w:rPr>
          <w:rFonts w:ascii="Arial" w:eastAsia="Aptos" w:hAnsi="Arial" w:cs="Arial"/>
          <w:i/>
          <w:iCs/>
          <w:kern w:val="0"/>
          <w:sz w:val="24"/>
          <w:szCs w:val="24"/>
          <w:lang w:val="en-US" w:bidi="bn-BD"/>
        </w:rPr>
        <w:t>Renewing Unilever: Transformation and Tradition</w:t>
      </w:r>
      <w:r w:rsidRPr="00D32803">
        <w:rPr>
          <w:rFonts w:ascii="Arial" w:eastAsia="Aptos" w:hAnsi="Arial" w:cs="Arial"/>
          <w:kern w:val="0"/>
          <w:sz w:val="24"/>
          <w:szCs w:val="24"/>
          <w:lang w:val="en-US" w:bidi="bn-BD"/>
        </w:rPr>
        <w:t>. Oxford: Oxford University Press.</w:t>
      </w:r>
    </w:p>
    <w:p w14:paraId="24F96C57"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Kantar (2023) </w:t>
      </w:r>
      <w:r w:rsidRPr="00D32803">
        <w:rPr>
          <w:rFonts w:ascii="Arial" w:eastAsia="Aptos" w:hAnsi="Arial" w:cs="Arial"/>
          <w:i/>
          <w:iCs/>
          <w:kern w:val="0"/>
          <w:sz w:val="24"/>
          <w:szCs w:val="24"/>
          <w:lang w:val="en-US" w:bidi="bn-BD"/>
        </w:rPr>
        <w:t>Brand Footprint Report 2023</w:t>
      </w:r>
      <w:r w:rsidRPr="00D32803">
        <w:rPr>
          <w:rFonts w:ascii="Arial" w:eastAsia="Aptos" w:hAnsi="Arial" w:cs="Arial"/>
          <w:kern w:val="0"/>
          <w:sz w:val="24"/>
          <w:szCs w:val="24"/>
          <w:lang w:val="en-US" w:bidi="bn-BD"/>
        </w:rPr>
        <w:t>. London: Kantar.</w:t>
      </w:r>
    </w:p>
    <w:p w14:paraId="0FBDFDF4"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 xml:space="preserve">Kantar </w:t>
      </w:r>
      <w:proofErr w:type="spellStart"/>
      <w:r w:rsidRPr="00D32803">
        <w:rPr>
          <w:rFonts w:ascii="Arial" w:eastAsia="Aptos" w:hAnsi="Arial" w:cs="Arial"/>
          <w:kern w:val="0"/>
          <w:sz w:val="24"/>
          <w:szCs w:val="24"/>
          <w:lang w:val="en-US" w:bidi="bn-BD"/>
        </w:rPr>
        <w:t>BrandZ</w:t>
      </w:r>
      <w:proofErr w:type="spellEnd"/>
      <w:r w:rsidRPr="00D32803">
        <w:rPr>
          <w:rFonts w:ascii="Arial" w:eastAsia="Aptos" w:hAnsi="Arial" w:cs="Arial"/>
          <w:kern w:val="0"/>
          <w:sz w:val="24"/>
          <w:szCs w:val="24"/>
          <w:lang w:val="en-US" w:bidi="bn-BD"/>
        </w:rPr>
        <w:t xml:space="preserve"> (2023) </w:t>
      </w:r>
      <w:r w:rsidRPr="00D32803">
        <w:rPr>
          <w:rFonts w:ascii="Arial" w:eastAsia="Aptos" w:hAnsi="Arial" w:cs="Arial"/>
          <w:i/>
          <w:iCs/>
          <w:kern w:val="0"/>
          <w:sz w:val="24"/>
          <w:szCs w:val="24"/>
          <w:lang w:val="en-US" w:bidi="bn-BD"/>
        </w:rPr>
        <w:t>Most Valuable Global Brands 2023</w:t>
      </w:r>
      <w:r w:rsidRPr="00D32803">
        <w:rPr>
          <w:rFonts w:ascii="Arial" w:eastAsia="Aptos" w:hAnsi="Arial" w:cs="Arial"/>
          <w:kern w:val="0"/>
          <w:sz w:val="24"/>
          <w:szCs w:val="24"/>
          <w:lang w:val="en-US" w:bidi="bn-BD"/>
        </w:rPr>
        <w:t>. London: Kantar.</w:t>
      </w:r>
    </w:p>
    <w:p w14:paraId="06C443E6"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Kaplan, R.S. and Norton, D.P. (1992) 'The balanced scorecard – measures that drive performance', </w:t>
      </w:r>
      <w:r w:rsidRPr="00D32803">
        <w:rPr>
          <w:rFonts w:ascii="Arial" w:eastAsia="Aptos" w:hAnsi="Arial" w:cs="Arial"/>
          <w:i/>
          <w:iCs/>
          <w:kern w:val="0"/>
          <w:sz w:val="24"/>
          <w:szCs w:val="24"/>
          <w:lang w:val="en-US" w:bidi="bn-BD"/>
        </w:rPr>
        <w:t>Harvard Business Review</w:t>
      </w:r>
      <w:r w:rsidRPr="00D32803">
        <w:rPr>
          <w:rFonts w:ascii="Arial" w:eastAsia="Aptos" w:hAnsi="Arial" w:cs="Arial"/>
          <w:kern w:val="0"/>
          <w:sz w:val="24"/>
          <w:szCs w:val="24"/>
          <w:lang w:val="en-US" w:bidi="bn-BD"/>
        </w:rPr>
        <w:t>, 70(1), pp. 71-79.</w:t>
      </w:r>
    </w:p>
    <w:p w14:paraId="326D8242"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Kaplan, R.S. and Norton, D.P. (1996) </w:t>
      </w:r>
      <w:r w:rsidRPr="00D32803">
        <w:rPr>
          <w:rFonts w:ascii="Arial" w:eastAsia="Aptos" w:hAnsi="Arial" w:cs="Arial"/>
          <w:i/>
          <w:iCs/>
          <w:kern w:val="0"/>
          <w:sz w:val="24"/>
          <w:szCs w:val="24"/>
          <w:lang w:val="en-US" w:bidi="bn-BD"/>
        </w:rPr>
        <w:t>The Balanced Scorecard: Translating Strategy into Action</w:t>
      </w:r>
      <w:r w:rsidRPr="00D32803">
        <w:rPr>
          <w:rFonts w:ascii="Arial" w:eastAsia="Aptos" w:hAnsi="Arial" w:cs="Arial"/>
          <w:kern w:val="0"/>
          <w:sz w:val="24"/>
          <w:szCs w:val="24"/>
          <w:lang w:val="en-US" w:bidi="bn-BD"/>
        </w:rPr>
        <w:t>. Boston: Harvard Business School Press.</w:t>
      </w:r>
    </w:p>
    <w:p w14:paraId="2E2ADE31"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Kapferer, J.N. (2012) </w:t>
      </w:r>
      <w:r w:rsidRPr="00D32803">
        <w:rPr>
          <w:rFonts w:ascii="Arial" w:eastAsia="Aptos" w:hAnsi="Arial" w:cs="Arial"/>
          <w:i/>
          <w:iCs/>
          <w:kern w:val="0"/>
          <w:sz w:val="24"/>
          <w:szCs w:val="24"/>
          <w:lang w:val="en-US" w:bidi="bn-BD"/>
        </w:rPr>
        <w:t>The New Strategic Brand Management: Advanced Insights and Strategic Thinking</w:t>
      </w:r>
      <w:r w:rsidRPr="00D32803">
        <w:rPr>
          <w:rFonts w:ascii="Arial" w:eastAsia="Aptos" w:hAnsi="Arial" w:cs="Arial"/>
          <w:kern w:val="0"/>
          <w:sz w:val="24"/>
          <w:szCs w:val="24"/>
          <w:lang w:val="en-US" w:bidi="bn-BD"/>
        </w:rPr>
        <w:t xml:space="preserve">. 5th </w:t>
      </w:r>
      <w:proofErr w:type="spellStart"/>
      <w:r w:rsidRPr="00D32803">
        <w:rPr>
          <w:rFonts w:ascii="Arial" w:eastAsia="Aptos" w:hAnsi="Arial" w:cs="Arial"/>
          <w:kern w:val="0"/>
          <w:sz w:val="24"/>
          <w:szCs w:val="24"/>
          <w:lang w:val="en-US" w:bidi="bn-BD"/>
        </w:rPr>
        <w:t>edn</w:t>
      </w:r>
      <w:proofErr w:type="spellEnd"/>
      <w:r w:rsidRPr="00D32803">
        <w:rPr>
          <w:rFonts w:ascii="Arial" w:eastAsia="Aptos" w:hAnsi="Arial" w:cs="Arial"/>
          <w:kern w:val="0"/>
          <w:sz w:val="24"/>
          <w:szCs w:val="24"/>
          <w:lang w:val="en-US" w:bidi="bn-BD"/>
        </w:rPr>
        <w:t>. London: Kogan Page.</w:t>
      </w:r>
    </w:p>
    <w:p w14:paraId="3D9ACAD4"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Keller, K.L. (2013) </w:t>
      </w:r>
      <w:r w:rsidRPr="00D32803">
        <w:rPr>
          <w:rFonts w:ascii="Arial" w:eastAsia="Aptos" w:hAnsi="Arial" w:cs="Arial"/>
          <w:i/>
          <w:iCs/>
          <w:kern w:val="0"/>
          <w:sz w:val="24"/>
          <w:szCs w:val="24"/>
          <w:lang w:val="en-US" w:bidi="bn-BD"/>
        </w:rPr>
        <w:t>Strategic Brand Management: Building, Measuring, and Managing Brand Equity</w:t>
      </w:r>
      <w:r w:rsidRPr="00D32803">
        <w:rPr>
          <w:rFonts w:ascii="Arial" w:eastAsia="Aptos" w:hAnsi="Arial" w:cs="Arial"/>
          <w:kern w:val="0"/>
          <w:sz w:val="24"/>
          <w:szCs w:val="24"/>
          <w:lang w:val="en-US" w:bidi="bn-BD"/>
        </w:rPr>
        <w:t xml:space="preserve">. 4th </w:t>
      </w:r>
      <w:proofErr w:type="spellStart"/>
      <w:r w:rsidRPr="00D32803">
        <w:rPr>
          <w:rFonts w:ascii="Arial" w:eastAsia="Aptos" w:hAnsi="Arial" w:cs="Arial"/>
          <w:kern w:val="0"/>
          <w:sz w:val="24"/>
          <w:szCs w:val="24"/>
          <w:lang w:val="en-US" w:bidi="bn-BD"/>
        </w:rPr>
        <w:t>edn</w:t>
      </w:r>
      <w:proofErr w:type="spellEnd"/>
      <w:r w:rsidRPr="00D32803">
        <w:rPr>
          <w:rFonts w:ascii="Arial" w:eastAsia="Aptos" w:hAnsi="Arial" w:cs="Arial"/>
          <w:kern w:val="0"/>
          <w:sz w:val="24"/>
          <w:szCs w:val="24"/>
          <w:lang w:val="en-US" w:bidi="bn-BD"/>
        </w:rPr>
        <w:t>. Harlow: Pearson.</w:t>
      </w:r>
    </w:p>
    <w:p w14:paraId="7663F65D"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lastRenderedPageBreak/>
        <w:t>Khanna, T. and Palepu, K.G. (2010) </w:t>
      </w:r>
      <w:r w:rsidRPr="00D32803">
        <w:rPr>
          <w:rFonts w:ascii="Arial" w:eastAsia="Aptos" w:hAnsi="Arial" w:cs="Arial"/>
          <w:i/>
          <w:iCs/>
          <w:kern w:val="0"/>
          <w:sz w:val="24"/>
          <w:szCs w:val="24"/>
          <w:lang w:val="en-US" w:bidi="bn-BD"/>
        </w:rPr>
        <w:t>Winning in Emerging Markets: A Road Map for Strategy and Execution</w:t>
      </w:r>
      <w:r w:rsidRPr="00D32803">
        <w:rPr>
          <w:rFonts w:ascii="Arial" w:eastAsia="Aptos" w:hAnsi="Arial" w:cs="Arial"/>
          <w:kern w:val="0"/>
          <w:sz w:val="24"/>
          <w:szCs w:val="24"/>
          <w:lang w:val="en-US" w:bidi="bn-BD"/>
        </w:rPr>
        <w:t>. Boston: Harvard Business Press.</w:t>
      </w:r>
    </w:p>
    <w:p w14:paraId="73EF3555"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Kolb, D.A. (1984) </w:t>
      </w:r>
      <w:r w:rsidRPr="00D32803">
        <w:rPr>
          <w:rFonts w:ascii="Arial" w:eastAsia="Aptos" w:hAnsi="Arial" w:cs="Arial"/>
          <w:i/>
          <w:iCs/>
          <w:kern w:val="0"/>
          <w:sz w:val="24"/>
          <w:szCs w:val="24"/>
          <w:lang w:val="en-US" w:bidi="bn-BD"/>
        </w:rPr>
        <w:t>Experiential Learning: Experience as the Source of Learning and Development</w:t>
      </w:r>
      <w:r w:rsidRPr="00D32803">
        <w:rPr>
          <w:rFonts w:ascii="Arial" w:eastAsia="Aptos" w:hAnsi="Arial" w:cs="Arial"/>
          <w:kern w:val="0"/>
          <w:sz w:val="24"/>
          <w:szCs w:val="24"/>
          <w:lang w:val="en-US" w:bidi="bn-BD"/>
        </w:rPr>
        <w:t>. Englewood Cliffs: Prentice-Hall.</w:t>
      </w:r>
    </w:p>
    <w:p w14:paraId="3ADDFF48"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Kotter, J.P. (1996) </w:t>
      </w:r>
      <w:r w:rsidRPr="00D32803">
        <w:rPr>
          <w:rFonts w:ascii="Arial" w:eastAsia="Aptos" w:hAnsi="Arial" w:cs="Arial"/>
          <w:i/>
          <w:iCs/>
          <w:kern w:val="0"/>
          <w:sz w:val="24"/>
          <w:szCs w:val="24"/>
          <w:lang w:val="en-US" w:bidi="bn-BD"/>
        </w:rPr>
        <w:t>Leading Change</w:t>
      </w:r>
      <w:r w:rsidRPr="00D32803">
        <w:rPr>
          <w:rFonts w:ascii="Arial" w:eastAsia="Aptos" w:hAnsi="Arial" w:cs="Arial"/>
          <w:kern w:val="0"/>
          <w:sz w:val="24"/>
          <w:szCs w:val="24"/>
          <w:lang w:val="en-US" w:bidi="bn-BD"/>
        </w:rPr>
        <w:t>. Boston: Harvard Business School Press.</w:t>
      </w:r>
    </w:p>
    <w:p w14:paraId="71973B4E"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Lewin, K. (1951) </w:t>
      </w:r>
      <w:r w:rsidRPr="00D32803">
        <w:rPr>
          <w:rFonts w:ascii="Arial" w:eastAsia="Aptos" w:hAnsi="Arial" w:cs="Arial"/>
          <w:i/>
          <w:iCs/>
          <w:kern w:val="0"/>
          <w:sz w:val="24"/>
          <w:szCs w:val="24"/>
          <w:lang w:val="en-US" w:bidi="bn-BD"/>
        </w:rPr>
        <w:t>Field Theory in Social Science</w:t>
      </w:r>
      <w:r w:rsidRPr="00D32803">
        <w:rPr>
          <w:rFonts w:ascii="Arial" w:eastAsia="Aptos" w:hAnsi="Arial" w:cs="Arial"/>
          <w:kern w:val="0"/>
          <w:sz w:val="24"/>
          <w:szCs w:val="24"/>
          <w:lang w:val="en-US" w:bidi="bn-BD"/>
        </w:rPr>
        <w:t>. New York: Harper &amp; Row.</w:t>
      </w:r>
    </w:p>
    <w:p w14:paraId="51CB0A7C"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McKinsey &amp; Company (2023) </w:t>
      </w:r>
      <w:r w:rsidRPr="00D32803">
        <w:rPr>
          <w:rFonts w:ascii="Arial" w:eastAsia="Aptos" w:hAnsi="Arial" w:cs="Arial"/>
          <w:i/>
          <w:iCs/>
          <w:kern w:val="0"/>
          <w:sz w:val="24"/>
          <w:szCs w:val="24"/>
          <w:lang w:val="en-US" w:bidi="bn-BD"/>
        </w:rPr>
        <w:t>The State of Consumer Goods</w:t>
      </w:r>
      <w:r w:rsidRPr="00D32803">
        <w:rPr>
          <w:rFonts w:ascii="Arial" w:eastAsia="Aptos" w:hAnsi="Arial" w:cs="Arial"/>
          <w:kern w:val="0"/>
          <w:sz w:val="24"/>
          <w:szCs w:val="24"/>
          <w:lang w:val="en-US" w:bidi="bn-BD"/>
        </w:rPr>
        <w:t>. New York: McKinsey.</w:t>
      </w:r>
    </w:p>
    <w:p w14:paraId="755E074B"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Mintzberg, H. (1994) </w:t>
      </w:r>
      <w:r w:rsidRPr="00D32803">
        <w:rPr>
          <w:rFonts w:ascii="Arial" w:eastAsia="Aptos" w:hAnsi="Arial" w:cs="Arial"/>
          <w:i/>
          <w:iCs/>
          <w:kern w:val="0"/>
          <w:sz w:val="24"/>
          <w:szCs w:val="24"/>
          <w:lang w:val="en-US" w:bidi="bn-BD"/>
        </w:rPr>
        <w:t>The Rise and Fall of Strategic Planning</w:t>
      </w:r>
      <w:r w:rsidRPr="00D32803">
        <w:rPr>
          <w:rFonts w:ascii="Arial" w:eastAsia="Aptos" w:hAnsi="Arial" w:cs="Arial"/>
          <w:kern w:val="0"/>
          <w:sz w:val="24"/>
          <w:szCs w:val="24"/>
          <w:lang w:val="en-US" w:bidi="bn-BD"/>
        </w:rPr>
        <w:t>. New York: Free Press.</w:t>
      </w:r>
    </w:p>
    <w:p w14:paraId="334AB6B1"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Moon, J.A. (2004) </w:t>
      </w:r>
      <w:r w:rsidRPr="00D32803">
        <w:rPr>
          <w:rFonts w:ascii="Arial" w:eastAsia="Aptos" w:hAnsi="Arial" w:cs="Arial"/>
          <w:i/>
          <w:iCs/>
          <w:kern w:val="0"/>
          <w:sz w:val="24"/>
          <w:szCs w:val="24"/>
          <w:lang w:val="en-US" w:bidi="bn-BD"/>
        </w:rPr>
        <w:t>A Handbook of Reflective and Experiential Learning: Theory and Practice</w:t>
      </w:r>
      <w:r w:rsidRPr="00D32803">
        <w:rPr>
          <w:rFonts w:ascii="Arial" w:eastAsia="Aptos" w:hAnsi="Arial" w:cs="Arial"/>
          <w:kern w:val="0"/>
          <w:sz w:val="24"/>
          <w:szCs w:val="24"/>
          <w:lang w:val="en-US" w:bidi="bn-BD"/>
        </w:rPr>
        <w:t xml:space="preserve">. London: </w:t>
      </w:r>
      <w:proofErr w:type="spellStart"/>
      <w:r w:rsidRPr="00D32803">
        <w:rPr>
          <w:rFonts w:ascii="Arial" w:eastAsia="Aptos" w:hAnsi="Arial" w:cs="Arial"/>
          <w:kern w:val="0"/>
          <w:sz w:val="24"/>
          <w:szCs w:val="24"/>
          <w:lang w:val="en-US" w:bidi="bn-BD"/>
        </w:rPr>
        <w:t>RoutledgeFalmer</w:t>
      </w:r>
      <w:proofErr w:type="spellEnd"/>
      <w:r w:rsidRPr="00D32803">
        <w:rPr>
          <w:rFonts w:ascii="Arial" w:eastAsia="Aptos" w:hAnsi="Arial" w:cs="Arial"/>
          <w:kern w:val="0"/>
          <w:sz w:val="24"/>
          <w:szCs w:val="24"/>
          <w:lang w:val="en-US" w:bidi="bn-BD"/>
        </w:rPr>
        <w:t>.</w:t>
      </w:r>
    </w:p>
    <w:p w14:paraId="544F7440"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Nielsen (2023) </w:t>
      </w:r>
      <w:r w:rsidRPr="00D32803">
        <w:rPr>
          <w:rFonts w:ascii="Arial" w:eastAsia="Aptos" w:hAnsi="Arial" w:cs="Arial"/>
          <w:i/>
          <w:iCs/>
          <w:kern w:val="0"/>
          <w:sz w:val="24"/>
          <w:szCs w:val="24"/>
          <w:lang w:val="en-US" w:bidi="bn-BD"/>
        </w:rPr>
        <w:t>Global Health and Wellness Survey</w:t>
      </w:r>
      <w:r w:rsidRPr="00D32803">
        <w:rPr>
          <w:rFonts w:ascii="Arial" w:eastAsia="Aptos" w:hAnsi="Arial" w:cs="Arial"/>
          <w:kern w:val="0"/>
          <w:sz w:val="24"/>
          <w:szCs w:val="24"/>
          <w:lang w:val="en-US" w:bidi="bn-BD"/>
        </w:rPr>
        <w:t>. New York: Nielsen.</w:t>
      </w:r>
    </w:p>
    <w:p w14:paraId="072B8DD3"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P&amp;G (2017) </w:t>
      </w:r>
      <w:r w:rsidRPr="00D32803">
        <w:rPr>
          <w:rFonts w:ascii="Arial" w:eastAsia="Aptos" w:hAnsi="Arial" w:cs="Arial"/>
          <w:i/>
          <w:iCs/>
          <w:kern w:val="0"/>
          <w:sz w:val="24"/>
          <w:szCs w:val="24"/>
          <w:lang w:val="en-US" w:bidi="bn-BD"/>
        </w:rPr>
        <w:t>Procter &amp; Gamble Annual Report 2017</w:t>
      </w:r>
      <w:r w:rsidRPr="00D32803">
        <w:rPr>
          <w:rFonts w:ascii="Arial" w:eastAsia="Aptos" w:hAnsi="Arial" w:cs="Arial"/>
          <w:kern w:val="0"/>
          <w:sz w:val="24"/>
          <w:szCs w:val="24"/>
          <w:lang w:val="en-US" w:bidi="bn-BD"/>
        </w:rPr>
        <w:t>. Cincinnati: Procter &amp; Gamble.</w:t>
      </w:r>
    </w:p>
    <w:p w14:paraId="2CEC9193"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Polman, P. and Winston, A. (2021) </w:t>
      </w:r>
      <w:r w:rsidRPr="00D32803">
        <w:rPr>
          <w:rFonts w:ascii="Arial" w:eastAsia="Aptos" w:hAnsi="Arial" w:cs="Arial"/>
          <w:i/>
          <w:iCs/>
          <w:kern w:val="0"/>
          <w:sz w:val="24"/>
          <w:szCs w:val="24"/>
          <w:lang w:val="en-US" w:bidi="bn-BD"/>
        </w:rPr>
        <w:t>Net Positive: How Courageous Companies Thrive by Giving More Than They Take</w:t>
      </w:r>
      <w:r w:rsidRPr="00D32803">
        <w:rPr>
          <w:rFonts w:ascii="Arial" w:eastAsia="Aptos" w:hAnsi="Arial" w:cs="Arial"/>
          <w:kern w:val="0"/>
          <w:sz w:val="24"/>
          <w:szCs w:val="24"/>
          <w:lang w:val="en-US" w:bidi="bn-BD"/>
        </w:rPr>
        <w:t>. Boston: Harvard Business Review Press.</w:t>
      </w:r>
    </w:p>
    <w:p w14:paraId="0A99778B"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Porter, M.E. (1980) </w:t>
      </w:r>
      <w:r w:rsidRPr="00D32803">
        <w:rPr>
          <w:rFonts w:ascii="Arial" w:eastAsia="Aptos" w:hAnsi="Arial" w:cs="Arial"/>
          <w:i/>
          <w:iCs/>
          <w:kern w:val="0"/>
          <w:sz w:val="24"/>
          <w:szCs w:val="24"/>
          <w:lang w:val="en-US" w:bidi="bn-BD"/>
        </w:rPr>
        <w:t>Competitive Strategy: Techniques for Analyzing Industries and Competitors</w:t>
      </w:r>
      <w:r w:rsidRPr="00D32803">
        <w:rPr>
          <w:rFonts w:ascii="Arial" w:eastAsia="Aptos" w:hAnsi="Arial" w:cs="Arial"/>
          <w:kern w:val="0"/>
          <w:sz w:val="24"/>
          <w:szCs w:val="24"/>
          <w:lang w:val="en-US" w:bidi="bn-BD"/>
        </w:rPr>
        <w:t>. New York: Free Press.</w:t>
      </w:r>
    </w:p>
    <w:p w14:paraId="3C8BB962"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Porter, M.E. (1985) </w:t>
      </w:r>
      <w:r w:rsidRPr="00D32803">
        <w:rPr>
          <w:rFonts w:ascii="Arial" w:eastAsia="Aptos" w:hAnsi="Arial" w:cs="Arial"/>
          <w:i/>
          <w:iCs/>
          <w:kern w:val="0"/>
          <w:sz w:val="24"/>
          <w:szCs w:val="24"/>
          <w:lang w:val="en-US" w:bidi="bn-BD"/>
        </w:rPr>
        <w:t>Competitive Advantage: Creating and Sustaining Superior Performance</w:t>
      </w:r>
      <w:r w:rsidRPr="00D32803">
        <w:rPr>
          <w:rFonts w:ascii="Arial" w:eastAsia="Aptos" w:hAnsi="Arial" w:cs="Arial"/>
          <w:kern w:val="0"/>
          <w:sz w:val="24"/>
          <w:szCs w:val="24"/>
          <w:lang w:val="en-US" w:bidi="bn-BD"/>
        </w:rPr>
        <w:t>. New York: Free Press.</w:t>
      </w:r>
    </w:p>
    <w:p w14:paraId="5753ACAE"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Porter, M.E. and Kramer, M.R. (2011) 'Creating shared value', </w:t>
      </w:r>
      <w:r w:rsidRPr="00D32803">
        <w:rPr>
          <w:rFonts w:ascii="Arial" w:eastAsia="Aptos" w:hAnsi="Arial" w:cs="Arial"/>
          <w:i/>
          <w:iCs/>
          <w:kern w:val="0"/>
          <w:sz w:val="24"/>
          <w:szCs w:val="24"/>
          <w:lang w:val="en-US" w:bidi="bn-BD"/>
        </w:rPr>
        <w:t>Harvard Business Review</w:t>
      </w:r>
      <w:r w:rsidRPr="00D32803">
        <w:rPr>
          <w:rFonts w:ascii="Arial" w:eastAsia="Aptos" w:hAnsi="Arial" w:cs="Arial"/>
          <w:kern w:val="0"/>
          <w:sz w:val="24"/>
          <w:szCs w:val="24"/>
          <w:lang w:val="en-US" w:bidi="bn-BD"/>
        </w:rPr>
        <w:t>, 89(1/2), pp. 62-77.</w:t>
      </w:r>
    </w:p>
    <w:p w14:paraId="40148560"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Prahalad, C.K. and Hamel, G. (1990) 'The core competence of the corporation', </w:t>
      </w:r>
      <w:r w:rsidRPr="00D32803">
        <w:rPr>
          <w:rFonts w:ascii="Arial" w:eastAsia="Aptos" w:hAnsi="Arial" w:cs="Arial"/>
          <w:i/>
          <w:iCs/>
          <w:kern w:val="0"/>
          <w:sz w:val="24"/>
          <w:szCs w:val="24"/>
          <w:lang w:val="en-US" w:bidi="bn-BD"/>
        </w:rPr>
        <w:t>Harvard Business Review</w:t>
      </w:r>
      <w:r w:rsidRPr="00D32803">
        <w:rPr>
          <w:rFonts w:ascii="Arial" w:eastAsia="Aptos" w:hAnsi="Arial" w:cs="Arial"/>
          <w:kern w:val="0"/>
          <w:sz w:val="24"/>
          <w:szCs w:val="24"/>
          <w:lang w:val="en-US" w:bidi="bn-BD"/>
        </w:rPr>
        <w:t>, 68(3), pp. 79-91.</w:t>
      </w:r>
    </w:p>
    <w:p w14:paraId="6E4D7882"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Reuters (2022) 'Activist investor Trian takes stake in Unilever', </w:t>
      </w:r>
      <w:r w:rsidRPr="00D32803">
        <w:rPr>
          <w:rFonts w:ascii="Arial" w:eastAsia="Aptos" w:hAnsi="Arial" w:cs="Arial"/>
          <w:i/>
          <w:iCs/>
          <w:kern w:val="0"/>
          <w:sz w:val="24"/>
          <w:szCs w:val="24"/>
          <w:lang w:val="en-US" w:bidi="bn-BD"/>
        </w:rPr>
        <w:t>Reuters</w:t>
      </w:r>
      <w:r w:rsidRPr="00D32803">
        <w:rPr>
          <w:rFonts w:ascii="Arial" w:eastAsia="Aptos" w:hAnsi="Arial" w:cs="Arial"/>
          <w:kern w:val="0"/>
          <w:sz w:val="24"/>
          <w:szCs w:val="24"/>
          <w:lang w:val="en-US" w:bidi="bn-BD"/>
        </w:rPr>
        <w:t>, 23 January.</w:t>
      </w:r>
    </w:p>
    <w:p w14:paraId="2D14FBC1"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Schön, D.A. (1983) </w:t>
      </w:r>
      <w:r w:rsidRPr="00D32803">
        <w:rPr>
          <w:rFonts w:ascii="Arial" w:eastAsia="Aptos" w:hAnsi="Arial" w:cs="Arial"/>
          <w:i/>
          <w:iCs/>
          <w:kern w:val="0"/>
          <w:sz w:val="24"/>
          <w:szCs w:val="24"/>
          <w:lang w:val="en-US" w:bidi="bn-BD"/>
        </w:rPr>
        <w:t>The Reflective Practitioner: How Professionals Think in Action</w:t>
      </w:r>
      <w:r w:rsidRPr="00D32803">
        <w:rPr>
          <w:rFonts w:ascii="Arial" w:eastAsia="Aptos" w:hAnsi="Arial" w:cs="Arial"/>
          <w:kern w:val="0"/>
          <w:sz w:val="24"/>
          <w:szCs w:val="24"/>
          <w:lang w:val="en-US" w:bidi="bn-BD"/>
        </w:rPr>
        <w:t>. New York: Basic Books.</w:t>
      </w:r>
    </w:p>
    <w:p w14:paraId="190ADD94"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Statista (2024) </w:t>
      </w:r>
      <w:r w:rsidRPr="00D32803">
        <w:rPr>
          <w:rFonts w:ascii="Arial" w:eastAsia="Aptos" w:hAnsi="Arial" w:cs="Arial"/>
          <w:i/>
          <w:iCs/>
          <w:kern w:val="0"/>
          <w:sz w:val="24"/>
          <w:szCs w:val="24"/>
          <w:lang w:val="en-US" w:bidi="bn-BD"/>
        </w:rPr>
        <w:t>Leading FMCG Companies Worldwide by Market Share</w:t>
      </w:r>
      <w:r w:rsidRPr="00D32803">
        <w:rPr>
          <w:rFonts w:ascii="Arial" w:eastAsia="Aptos" w:hAnsi="Arial" w:cs="Arial"/>
          <w:kern w:val="0"/>
          <w:sz w:val="24"/>
          <w:szCs w:val="24"/>
          <w:lang w:val="en-US" w:bidi="bn-BD"/>
        </w:rPr>
        <w:t>. Hamburg: Statista.</w:t>
      </w:r>
    </w:p>
    <w:p w14:paraId="50E32EA9"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lastRenderedPageBreak/>
        <w:t xml:space="preserve">Teece, D.J., Pisano, G. and </w:t>
      </w:r>
      <w:proofErr w:type="spellStart"/>
      <w:r w:rsidRPr="00D32803">
        <w:rPr>
          <w:rFonts w:ascii="Arial" w:eastAsia="Aptos" w:hAnsi="Arial" w:cs="Arial"/>
          <w:kern w:val="0"/>
          <w:sz w:val="24"/>
          <w:szCs w:val="24"/>
          <w:lang w:val="en-US" w:bidi="bn-BD"/>
        </w:rPr>
        <w:t>Shuen</w:t>
      </w:r>
      <w:proofErr w:type="spellEnd"/>
      <w:r w:rsidRPr="00D32803">
        <w:rPr>
          <w:rFonts w:ascii="Arial" w:eastAsia="Aptos" w:hAnsi="Arial" w:cs="Arial"/>
          <w:kern w:val="0"/>
          <w:sz w:val="24"/>
          <w:szCs w:val="24"/>
          <w:lang w:val="en-US" w:bidi="bn-BD"/>
        </w:rPr>
        <w:t>, A. (1997) 'Dynamic capabilities and strategic management', </w:t>
      </w:r>
      <w:r w:rsidRPr="00D32803">
        <w:rPr>
          <w:rFonts w:ascii="Arial" w:eastAsia="Aptos" w:hAnsi="Arial" w:cs="Arial"/>
          <w:i/>
          <w:iCs/>
          <w:kern w:val="0"/>
          <w:sz w:val="24"/>
          <w:szCs w:val="24"/>
          <w:lang w:val="en-US" w:bidi="bn-BD"/>
        </w:rPr>
        <w:t>Strategic Management Journal</w:t>
      </w:r>
      <w:r w:rsidRPr="00D32803">
        <w:rPr>
          <w:rFonts w:ascii="Arial" w:eastAsia="Aptos" w:hAnsi="Arial" w:cs="Arial"/>
          <w:kern w:val="0"/>
          <w:sz w:val="24"/>
          <w:szCs w:val="24"/>
          <w:lang w:val="en-US" w:bidi="bn-BD"/>
        </w:rPr>
        <w:t>, 18(7), pp. 509-533.</w:t>
      </w:r>
    </w:p>
    <w:p w14:paraId="3681F691"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The Guardian (2023) 'Unilever faces criticism over continued Russia operations', </w:t>
      </w:r>
      <w:r w:rsidRPr="00D32803">
        <w:rPr>
          <w:rFonts w:ascii="Arial" w:eastAsia="Aptos" w:hAnsi="Arial" w:cs="Arial"/>
          <w:i/>
          <w:iCs/>
          <w:kern w:val="0"/>
          <w:sz w:val="24"/>
          <w:szCs w:val="24"/>
          <w:lang w:val="en-US" w:bidi="bn-BD"/>
        </w:rPr>
        <w:t>The Guardian</w:t>
      </w:r>
      <w:r w:rsidRPr="00D32803">
        <w:rPr>
          <w:rFonts w:ascii="Arial" w:eastAsia="Aptos" w:hAnsi="Arial" w:cs="Arial"/>
          <w:kern w:val="0"/>
          <w:sz w:val="24"/>
          <w:szCs w:val="24"/>
          <w:lang w:val="en-US" w:bidi="bn-BD"/>
        </w:rPr>
        <w:t>, 8 March, p. 28.</w:t>
      </w:r>
    </w:p>
    <w:p w14:paraId="32DCE51B"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UK Home Office (2023) </w:t>
      </w:r>
      <w:r w:rsidRPr="00D32803">
        <w:rPr>
          <w:rFonts w:ascii="Arial" w:eastAsia="Aptos" w:hAnsi="Arial" w:cs="Arial"/>
          <w:i/>
          <w:iCs/>
          <w:kern w:val="0"/>
          <w:sz w:val="24"/>
          <w:szCs w:val="24"/>
          <w:lang w:val="en-US" w:bidi="bn-BD"/>
        </w:rPr>
        <w:t>Modern Slavery Act 2015: Transparency in Supply Chains</w:t>
      </w:r>
      <w:r w:rsidRPr="00D32803">
        <w:rPr>
          <w:rFonts w:ascii="Arial" w:eastAsia="Aptos" w:hAnsi="Arial" w:cs="Arial"/>
          <w:kern w:val="0"/>
          <w:sz w:val="24"/>
          <w:szCs w:val="24"/>
          <w:lang w:val="en-US" w:bidi="bn-BD"/>
        </w:rPr>
        <w:t>. London: Home Office.</w:t>
      </w:r>
    </w:p>
    <w:p w14:paraId="5F4DFAC6"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Unilever (2019) </w:t>
      </w:r>
      <w:r w:rsidRPr="00D32803">
        <w:rPr>
          <w:rFonts w:ascii="Arial" w:eastAsia="Aptos" w:hAnsi="Arial" w:cs="Arial"/>
          <w:i/>
          <w:iCs/>
          <w:kern w:val="0"/>
          <w:sz w:val="24"/>
          <w:szCs w:val="24"/>
          <w:lang w:val="en-US" w:bidi="bn-BD"/>
        </w:rPr>
        <w:t>Making Purpose Pay: Inspiring Sustainable Living</w:t>
      </w:r>
      <w:r w:rsidRPr="00D32803">
        <w:rPr>
          <w:rFonts w:ascii="Arial" w:eastAsia="Aptos" w:hAnsi="Arial" w:cs="Arial"/>
          <w:kern w:val="0"/>
          <w:sz w:val="24"/>
          <w:szCs w:val="24"/>
          <w:lang w:val="en-US" w:bidi="bn-BD"/>
        </w:rPr>
        <w:t>. London: Unilever.</w:t>
      </w:r>
    </w:p>
    <w:p w14:paraId="4D9A6016"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Unilever (2023a) </w:t>
      </w:r>
      <w:r w:rsidRPr="00D32803">
        <w:rPr>
          <w:rFonts w:ascii="Arial" w:eastAsia="Aptos" w:hAnsi="Arial" w:cs="Arial"/>
          <w:i/>
          <w:iCs/>
          <w:kern w:val="0"/>
          <w:sz w:val="24"/>
          <w:szCs w:val="24"/>
          <w:lang w:val="en-US" w:bidi="bn-BD"/>
        </w:rPr>
        <w:t>Unilever Annual Report and Accounts 2022</w:t>
      </w:r>
      <w:r w:rsidRPr="00D32803">
        <w:rPr>
          <w:rFonts w:ascii="Arial" w:eastAsia="Aptos" w:hAnsi="Arial" w:cs="Arial"/>
          <w:kern w:val="0"/>
          <w:sz w:val="24"/>
          <w:szCs w:val="24"/>
          <w:lang w:val="en-US" w:bidi="bn-BD"/>
        </w:rPr>
        <w:t>. London: Unilever PLC.</w:t>
      </w:r>
    </w:p>
    <w:p w14:paraId="366503E2"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Unilever (2023b) </w:t>
      </w:r>
      <w:r w:rsidRPr="00D32803">
        <w:rPr>
          <w:rFonts w:ascii="Arial" w:eastAsia="Aptos" w:hAnsi="Arial" w:cs="Arial"/>
          <w:i/>
          <w:iCs/>
          <w:kern w:val="0"/>
          <w:sz w:val="24"/>
          <w:szCs w:val="24"/>
          <w:lang w:val="en-US" w:bidi="bn-BD"/>
        </w:rPr>
        <w:t>The Unilever Compass</w:t>
      </w:r>
      <w:r w:rsidRPr="00D32803">
        <w:rPr>
          <w:rFonts w:ascii="Arial" w:eastAsia="Aptos" w:hAnsi="Arial" w:cs="Arial"/>
          <w:kern w:val="0"/>
          <w:sz w:val="24"/>
          <w:szCs w:val="24"/>
          <w:lang w:val="en-US" w:bidi="bn-BD"/>
        </w:rPr>
        <w:t>. London: Unilever PLC.</w:t>
      </w:r>
    </w:p>
    <w:p w14:paraId="5C52D169"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Unilever (2024) </w:t>
      </w:r>
      <w:r w:rsidRPr="00D32803">
        <w:rPr>
          <w:rFonts w:ascii="Arial" w:eastAsia="Aptos" w:hAnsi="Arial" w:cs="Arial"/>
          <w:i/>
          <w:iCs/>
          <w:kern w:val="0"/>
          <w:sz w:val="24"/>
          <w:szCs w:val="24"/>
          <w:lang w:val="en-US" w:bidi="bn-BD"/>
        </w:rPr>
        <w:t>Unilever Announces Separation of Ice Cream Business</w:t>
      </w:r>
      <w:r w:rsidRPr="00D32803">
        <w:rPr>
          <w:rFonts w:ascii="Arial" w:eastAsia="Aptos" w:hAnsi="Arial" w:cs="Arial"/>
          <w:kern w:val="0"/>
          <w:sz w:val="24"/>
          <w:szCs w:val="24"/>
          <w:lang w:val="en-US" w:bidi="bn-BD"/>
        </w:rPr>
        <w:t>. London: Unilever PLC.</w:t>
      </w:r>
    </w:p>
    <w:p w14:paraId="7038A0F4"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Unilever Annual Report (2023) </w:t>
      </w:r>
      <w:r w:rsidRPr="00D32803">
        <w:rPr>
          <w:rFonts w:ascii="Arial" w:eastAsia="Aptos" w:hAnsi="Arial" w:cs="Arial"/>
          <w:i/>
          <w:iCs/>
          <w:kern w:val="0"/>
          <w:sz w:val="24"/>
          <w:szCs w:val="24"/>
          <w:lang w:val="en-US" w:bidi="bn-BD"/>
        </w:rPr>
        <w:t>Annual Report and Accounts 2022</w:t>
      </w:r>
      <w:r w:rsidRPr="00D32803">
        <w:rPr>
          <w:rFonts w:ascii="Arial" w:eastAsia="Aptos" w:hAnsi="Arial" w:cs="Arial"/>
          <w:kern w:val="0"/>
          <w:sz w:val="24"/>
          <w:szCs w:val="24"/>
          <w:lang w:val="en-US" w:bidi="bn-BD"/>
        </w:rPr>
        <w:t>. London: Unilever PLC.</w:t>
      </w:r>
    </w:p>
    <w:p w14:paraId="47839B7D"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Westerman, G., Bonnet, D. and McAfee, A. (2014) </w:t>
      </w:r>
      <w:r w:rsidRPr="00D32803">
        <w:rPr>
          <w:rFonts w:ascii="Arial" w:eastAsia="Aptos" w:hAnsi="Arial" w:cs="Arial"/>
          <w:i/>
          <w:iCs/>
          <w:kern w:val="0"/>
          <w:sz w:val="24"/>
          <w:szCs w:val="24"/>
          <w:lang w:val="en-US" w:bidi="bn-BD"/>
        </w:rPr>
        <w:t>Leading Digital: Turning Technology into Business Transformation</w:t>
      </w:r>
      <w:r w:rsidRPr="00D32803">
        <w:rPr>
          <w:rFonts w:ascii="Arial" w:eastAsia="Aptos" w:hAnsi="Arial" w:cs="Arial"/>
          <w:kern w:val="0"/>
          <w:sz w:val="24"/>
          <w:szCs w:val="24"/>
          <w:lang w:val="en-US" w:bidi="bn-BD"/>
        </w:rPr>
        <w:t>. Boston: Harvard Business Review Press.</w:t>
      </w:r>
    </w:p>
    <w:p w14:paraId="1EF0E527"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World Bank (2023) </w:t>
      </w:r>
      <w:r w:rsidRPr="00D32803">
        <w:rPr>
          <w:rFonts w:ascii="Arial" w:eastAsia="Aptos" w:hAnsi="Arial" w:cs="Arial"/>
          <w:i/>
          <w:iCs/>
          <w:kern w:val="0"/>
          <w:sz w:val="24"/>
          <w:szCs w:val="24"/>
          <w:lang w:val="en-US" w:bidi="bn-BD"/>
        </w:rPr>
        <w:t>Global Economic Prospects</w:t>
      </w:r>
      <w:r w:rsidRPr="00D32803">
        <w:rPr>
          <w:rFonts w:ascii="Arial" w:eastAsia="Aptos" w:hAnsi="Arial" w:cs="Arial"/>
          <w:kern w:val="0"/>
          <w:sz w:val="24"/>
          <w:szCs w:val="24"/>
          <w:lang w:val="en-US" w:bidi="bn-BD"/>
        </w:rPr>
        <w:t>. Washington DC: World Bank Group.</w:t>
      </w:r>
    </w:p>
    <w:p w14:paraId="1A93BB5F" w14:textId="77777777" w:rsidR="00AA48EB" w:rsidRPr="00D32803" w:rsidRDefault="00AA48EB" w:rsidP="00F1370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WWF (2023) </w:t>
      </w:r>
      <w:r w:rsidRPr="00D32803">
        <w:rPr>
          <w:rFonts w:ascii="Arial" w:eastAsia="Aptos" w:hAnsi="Arial" w:cs="Arial"/>
          <w:i/>
          <w:iCs/>
          <w:kern w:val="0"/>
          <w:sz w:val="24"/>
          <w:szCs w:val="24"/>
          <w:lang w:val="en-US" w:bidi="bn-BD"/>
        </w:rPr>
        <w:t>Palm Oil Buyers Scorecard</w:t>
      </w:r>
      <w:r w:rsidRPr="00D32803">
        <w:rPr>
          <w:rFonts w:ascii="Arial" w:eastAsia="Aptos" w:hAnsi="Arial" w:cs="Arial"/>
          <w:kern w:val="0"/>
          <w:sz w:val="24"/>
          <w:szCs w:val="24"/>
          <w:lang w:val="en-US" w:bidi="bn-BD"/>
        </w:rPr>
        <w:t>. Gland: World Wide Fund for Nature.</w:t>
      </w:r>
    </w:p>
    <w:p w14:paraId="3087F9D0" w14:textId="77777777" w:rsidR="00AA48EB" w:rsidRPr="00D32803" w:rsidRDefault="00AA48EB" w:rsidP="00AA48EB">
      <w:pPr>
        <w:spacing w:line="360" w:lineRule="auto"/>
        <w:rPr>
          <w:rFonts w:ascii="Arial" w:eastAsia="Aptos" w:hAnsi="Arial" w:cs="Arial"/>
          <w:kern w:val="0"/>
          <w:sz w:val="24"/>
          <w:szCs w:val="24"/>
          <w:lang w:val="en-US" w:bidi="bn-BD"/>
        </w:rPr>
      </w:pPr>
    </w:p>
    <w:p w14:paraId="6B877348" w14:textId="77777777" w:rsidR="00AA48EB" w:rsidRDefault="00AA48EB" w:rsidP="00AA48EB"/>
    <w:p w14:paraId="1D1433FA" w14:textId="77777777" w:rsidR="009F1CCC" w:rsidRDefault="009F1CCC"/>
    <w:sectPr w:rsidR="009F1CCC" w:rsidSect="00AA48EB">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B61D45" w14:textId="77777777" w:rsidR="008F5D4E" w:rsidRDefault="008F5D4E">
      <w:pPr>
        <w:spacing w:after="0" w:line="240" w:lineRule="auto"/>
      </w:pPr>
      <w:r>
        <w:separator/>
      </w:r>
    </w:p>
  </w:endnote>
  <w:endnote w:type="continuationSeparator" w:id="0">
    <w:p w14:paraId="6EEAD663" w14:textId="77777777" w:rsidR="008F5D4E" w:rsidRDefault="008F5D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9287287"/>
      <w:docPartObj>
        <w:docPartGallery w:val="Page Numbers (Bottom of Page)"/>
        <w:docPartUnique/>
      </w:docPartObj>
    </w:sdtPr>
    <w:sdtEndPr>
      <w:rPr>
        <w:noProof/>
      </w:rPr>
    </w:sdtEndPr>
    <w:sdtContent>
      <w:p w14:paraId="45093438" w14:textId="77777777" w:rsidR="00AA48EB" w:rsidRDefault="00AA48EB">
        <w:pPr>
          <w:pStyle w:val="Footer"/>
          <w:jc w:val="center"/>
        </w:pPr>
        <w:r>
          <w:fldChar w:fldCharType="begin"/>
        </w:r>
        <w:r>
          <w:instrText xml:space="preserve"> PAGE   \* MERGEFORMAT </w:instrText>
        </w:r>
        <w:r>
          <w:fldChar w:fldCharType="separate"/>
        </w:r>
        <w:r>
          <w:rPr>
            <w:noProof/>
          </w:rPr>
          <w:t>21</w:t>
        </w:r>
        <w:r>
          <w:rPr>
            <w:noProof/>
          </w:rPr>
          <w:fldChar w:fldCharType="end"/>
        </w:r>
      </w:p>
    </w:sdtContent>
  </w:sdt>
  <w:p w14:paraId="0D252BA1" w14:textId="77777777" w:rsidR="00AA48EB" w:rsidRDefault="00AA48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78F67F" w14:textId="77777777" w:rsidR="008F5D4E" w:rsidRDefault="008F5D4E">
      <w:pPr>
        <w:spacing w:after="0" w:line="240" w:lineRule="auto"/>
      </w:pPr>
      <w:r>
        <w:separator/>
      </w:r>
    </w:p>
  </w:footnote>
  <w:footnote w:type="continuationSeparator" w:id="0">
    <w:p w14:paraId="7117DEC2" w14:textId="77777777" w:rsidR="008F5D4E" w:rsidRDefault="008F5D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B2952"/>
    <w:multiLevelType w:val="hybridMultilevel"/>
    <w:tmpl w:val="EDBA82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9755D1"/>
    <w:multiLevelType w:val="hybridMultilevel"/>
    <w:tmpl w:val="F7FADB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B73C4F"/>
    <w:multiLevelType w:val="multilevel"/>
    <w:tmpl w:val="CACEF644"/>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 w15:restartNumberingAfterBreak="0">
    <w:nsid w:val="14BA5719"/>
    <w:multiLevelType w:val="hybridMultilevel"/>
    <w:tmpl w:val="250CC6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B682B18"/>
    <w:multiLevelType w:val="hybridMultilevel"/>
    <w:tmpl w:val="CACEF6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FB51C16"/>
    <w:multiLevelType w:val="hybridMultilevel"/>
    <w:tmpl w:val="42146E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9DF0E0C"/>
    <w:multiLevelType w:val="hybridMultilevel"/>
    <w:tmpl w:val="0F6E55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B5E7452"/>
    <w:multiLevelType w:val="hybridMultilevel"/>
    <w:tmpl w:val="60B460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28F3726"/>
    <w:multiLevelType w:val="hybridMultilevel"/>
    <w:tmpl w:val="D2EAFF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F912DFA"/>
    <w:multiLevelType w:val="hybridMultilevel"/>
    <w:tmpl w:val="FEEEBD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8E76D5B"/>
    <w:multiLevelType w:val="hybridMultilevel"/>
    <w:tmpl w:val="3614F1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BE77F80"/>
    <w:multiLevelType w:val="hybridMultilevel"/>
    <w:tmpl w:val="35DE00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0101CC9"/>
    <w:multiLevelType w:val="hybridMultilevel"/>
    <w:tmpl w:val="EC6227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6D67453"/>
    <w:multiLevelType w:val="hybridMultilevel"/>
    <w:tmpl w:val="EC3A1D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AF460CD"/>
    <w:multiLevelType w:val="hybridMultilevel"/>
    <w:tmpl w:val="BCC09F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31244301">
    <w:abstractNumId w:val="0"/>
  </w:num>
  <w:num w:numId="2" w16cid:durableId="2140800217">
    <w:abstractNumId w:val="9"/>
  </w:num>
  <w:num w:numId="3" w16cid:durableId="656375003">
    <w:abstractNumId w:val="5"/>
  </w:num>
  <w:num w:numId="4" w16cid:durableId="1683587052">
    <w:abstractNumId w:val="10"/>
  </w:num>
  <w:num w:numId="5" w16cid:durableId="293685098">
    <w:abstractNumId w:val="6"/>
  </w:num>
  <w:num w:numId="6" w16cid:durableId="545147625">
    <w:abstractNumId w:val="1"/>
  </w:num>
  <w:num w:numId="7" w16cid:durableId="1151630582">
    <w:abstractNumId w:val="13"/>
  </w:num>
  <w:num w:numId="8" w16cid:durableId="914168725">
    <w:abstractNumId w:val="12"/>
  </w:num>
  <w:num w:numId="9" w16cid:durableId="2032876882">
    <w:abstractNumId w:val="3"/>
  </w:num>
  <w:num w:numId="10" w16cid:durableId="903565357">
    <w:abstractNumId w:val="7"/>
  </w:num>
  <w:num w:numId="11" w16cid:durableId="1851138414">
    <w:abstractNumId w:val="8"/>
  </w:num>
  <w:num w:numId="12" w16cid:durableId="2016765925">
    <w:abstractNumId w:val="14"/>
  </w:num>
  <w:num w:numId="13" w16cid:durableId="1903590494">
    <w:abstractNumId w:val="4"/>
  </w:num>
  <w:num w:numId="14" w16cid:durableId="783960752">
    <w:abstractNumId w:val="2"/>
  </w:num>
  <w:num w:numId="15" w16cid:durableId="83218107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3B6B"/>
    <w:rsid w:val="0009338D"/>
    <w:rsid w:val="001A3B6B"/>
    <w:rsid w:val="001A6ECA"/>
    <w:rsid w:val="00750398"/>
    <w:rsid w:val="008F5D4E"/>
    <w:rsid w:val="009F1CCC"/>
    <w:rsid w:val="00A82F85"/>
    <w:rsid w:val="00AA48EB"/>
    <w:rsid w:val="00B71D34"/>
    <w:rsid w:val="00F1370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623C3"/>
  <w15:chartTrackingRefBased/>
  <w15:docId w15:val="{2C06FF4E-AB78-48E2-9EA1-CBD609F815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48EB"/>
  </w:style>
  <w:style w:type="paragraph" w:styleId="Heading1">
    <w:name w:val="heading 1"/>
    <w:basedOn w:val="Normal"/>
    <w:next w:val="Normal"/>
    <w:link w:val="Heading1Char"/>
    <w:uiPriority w:val="9"/>
    <w:qFormat/>
    <w:rsid w:val="001A3B6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A3B6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A3B6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A3B6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A3B6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A3B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3B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3B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3B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3B6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A3B6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A3B6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A3B6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A3B6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A3B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3B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3B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3B6B"/>
    <w:rPr>
      <w:rFonts w:eastAsiaTheme="majorEastAsia" w:cstheme="majorBidi"/>
      <w:color w:val="272727" w:themeColor="text1" w:themeTint="D8"/>
    </w:rPr>
  </w:style>
  <w:style w:type="paragraph" w:styleId="Title">
    <w:name w:val="Title"/>
    <w:basedOn w:val="Normal"/>
    <w:next w:val="Normal"/>
    <w:link w:val="TitleChar"/>
    <w:uiPriority w:val="10"/>
    <w:qFormat/>
    <w:rsid w:val="001A3B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3B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3B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3B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3B6B"/>
    <w:pPr>
      <w:spacing w:before="160"/>
      <w:jc w:val="center"/>
    </w:pPr>
    <w:rPr>
      <w:i/>
      <w:iCs/>
      <w:color w:val="404040" w:themeColor="text1" w:themeTint="BF"/>
    </w:rPr>
  </w:style>
  <w:style w:type="character" w:customStyle="1" w:styleId="QuoteChar">
    <w:name w:val="Quote Char"/>
    <w:basedOn w:val="DefaultParagraphFont"/>
    <w:link w:val="Quote"/>
    <w:uiPriority w:val="29"/>
    <w:rsid w:val="001A3B6B"/>
    <w:rPr>
      <w:i/>
      <w:iCs/>
      <w:color w:val="404040" w:themeColor="text1" w:themeTint="BF"/>
    </w:rPr>
  </w:style>
  <w:style w:type="paragraph" w:styleId="ListParagraph">
    <w:name w:val="List Paragraph"/>
    <w:basedOn w:val="Normal"/>
    <w:uiPriority w:val="34"/>
    <w:qFormat/>
    <w:rsid w:val="001A3B6B"/>
    <w:pPr>
      <w:ind w:left="720"/>
      <w:contextualSpacing/>
    </w:pPr>
  </w:style>
  <w:style w:type="character" w:styleId="IntenseEmphasis">
    <w:name w:val="Intense Emphasis"/>
    <w:basedOn w:val="DefaultParagraphFont"/>
    <w:uiPriority w:val="21"/>
    <w:qFormat/>
    <w:rsid w:val="001A3B6B"/>
    <w:rPr>
      <w:i/>
      <w:iCs/>
      <w:color w:val="2F5496" w:themeColor="accent1" w:themeShade="BF"/>
    </w:rPr>
  </w:style>
  <w:style w:type="paragraph" w:styleId="IntenseQuote">
    <w:name w:val="Intense Quote"/>
    <w:basedOn w:val="Normal"/>
    <w:next w:val="Normal"/>
    <w:link w:val="IntenseQuoteChar"/>
    <w:uiPriority w:val="30"/>
    <w:qFormat/>
    <w:rsid w:val="001A3B6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A3B6B"/>
    <w:rPr>
      <w:i/>
      <w:iCs/>
      <w:color w:val="2F5496" w:themeColor="accent1" w:themeShade="BF"/>
    </w:rPr>
  </w:style>
  <w:style w:type="character" w:styleId="IntenseReference">
    <w:name w:val="Intense Reference"/>
    <w:basedOn w:val="DefaultParagraphFont"/>
    <w:uiPriority w:val="32"/>
    <w:qFormat/>
    <w:rsid w:val="001A3B6B"/>
    <w:rPr>
      <w:b/>
      <w:bCs/>
      <w:smallCaps/>
      <w:color w:val="2F5496" w:themeColor="accent1" w:themeShade="BF"/>
      <w:spacing w:val="5"/>
    </w:rPr>
  </w:style>
  <w:style w:type="paragraph" w:styleId="Footer">
    <w:name w:val="footer"/>
    <w:basedOn w:val="Normal"/>
    <w:link w:val="FooterChar"/>
    <w:uiPriority w:val="99"/>
    <w:semiHidden/>
    <w:unhideWhenUsed/>
    <w:rsid w:val="00AA48E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AA48EB"/>
  </w:style>
  <w:style w:type="table" w:customStyle="1" w:styleId="TableGrid1">
    <w:name w:val="Table Grid1"/>
    <w:basedOn w:val="TableNormal"/>
    <w:next w:val="TableGrid"/>
    <w:uiPriority w:val="39"/>
    <w:rsid w:val="00AA48EB"/>
    <w:pPr>
      <w:spacing w:after="0" w:line="240" w:lineRule="auto"/>
    </w:pPr>
    <w:rPr>
      <w:kern w:val="0"/>
      <w:szCs w:val="28"/>
      <w:lang w:val="en-US" w:bidi="bn-BD"/>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AA48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28</Pages>
  <Words>7044</Words>
  <Characters>40156</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KESHU JIVABHAI KARAVADRA</dc:creator>
  <cp:keywords/>
  <dc:description/>
  <cp:lastModifiedBy>KESHU JIVABHAI KARAVADRA</cp:lastModifiedBy>
  <cp:revision>8</cp:revision>
  <dcterms:created xsi:type="dcterms:W3CDTF">2026-03-26T16:42:00Z</dcterms:created>
  <dcterms:modified xsi:type="dcterms:W3CDTF">2026-03-31T20:44:00Z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cdec8c2b-b4b6-4368-b7f5-955659553550</vt:lpwstr>
  </property>
</Properties>
</file>