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C53D02" w14:textId="37B46179" w:rsidR="009439CD" w:rsidRPr="009439CD" w:rsidRDefault="009439CD">
      <w:pPr>
        <w:rPr>
          <w:b/>
          <w:bCs/>
          <w:sz w:val="28"/>
          <w:szCs w:val="28"/>
        </w:rPr>
      </w:pPr>
      <w:r w:rsidRPr="009439CD">
        <w:rPr>
          <w:b/>
          <w:bCs/>
          <w:sz w:val="28"/>
          <w:szCs w:val="28"/>
          <w:u w:val="single"/>
        </w:rPr>
        <w:t>2404004</w:t>
      </w:r>
      <w:r w:rsidRPr="009439CD">
        <w:rPr>
          <w:b/>
          <w:bCs/>
          <w:sz w:val="28"/>
          <w:szCs w:val="28"/>
        </w:rPr>
        <w:t xml:space="preserve">                                              </w:t>
      </w:r>
      <w:r w:rsidRPr="009439CD">
        <w:rPr>
          <w:b/>
          <w:bCs/>
          <w:sz w:val="28"/>
          <w:szCs w:val="28"/>
        </w:rPr>
        <w:tab/>
      </w:r>
      <w:r>
        <w:rPr>
          <w:b/>
          <w:bCs/>
          <w:sz w:val="28"/>
          <w:szCs w:val="28"/>
        </w:rPr>
        <w:t xml:space="preserve">           </w:t>
      </w:r>
      <w:r w:rsidRPr="009439CD">
        <w:rPr>
          <w:b/>
          <w:bCs/>
          <w:sz w:val="28"/>
          <w:szCs w:val="28"/>
          <w:u w:val="single"/>
        </w:rPr>
        <w:t>BMPE5001</w:t>
      </w:r>
    </w:p>
    <w:p w14:paraId="67228A5A" w14:textId="77777777" w:rsidR="009439CD" w:rsidRDefault="009439CD">
      <w:pPr>
        <w:rPr>
          <w:b/>
          <w:bCs/>
          <w:sz w:val="28"/>
          <w:szCs w:val="28"/>
          <w:u w:val="single"/>
        </w:rPr>
      </w:pPr>
    </w:p>
    <w:p w14:paraId="0D436723" w14:textId="638E5A14" w:rsidR="001158A3" w:rsidRDefault="009439CD">
      <w:pPr>
        <w:rPr>
          <w:b/>
          <w:bCs/>
          <w:sz w:val="28"/>
          <w:szCs w:val="28"/>
          <w:u w:val="single"/>
        </w:rPr>
      </w:pPr>
      <w:r w:rsidRPr="009439CD">
        <w:rPr>
          <w:b/>
          <w:bCs/>
          <w:sz w:val="28"/>
          <w:szCs w:val="28"/>
          <w:u w:val="single"/>
        </w:rPr>
        <w:t>With specific reference to the Sport Education model (</w:t>
      </w:r>
      <w:proofErr w:type="spellStart"/>
      <w:r w:rsidRPr="009439CD">
        <w:rPr>
          <w:b/>
          <w:bCs/>
          <w:sz w:val="28"/>
          <w:szCs w:val="28"/>
          <w:u w:val="single"/>
        </w:rPr>
        <w:t>Siednetop</w:t>
      </w:r>
      <w:proofErr w:type="spellEnd"/>
      <w:r w:rsidRPr="009439CD">
        <w:rPr>
          <w:b/>
          <w:bCs/>
          <w:sz w:val="28"/>
          <w:szCs w:val="28"/>
          <w:u w:val="single"/>
        </w:rPr>
        <w:t>, 1998)</w:t>
      </w:r>
      <w:r w:rsidRPr="009439CD">
        <w:rPr>
          <w:b/>
          <w:bCs/>
          <w:i/>
          <w:iCs/>
          <w:sz w:val="28"/>
          <w:szCs w:val="28"/>
          <w:u w:val="single"/>
        </w:rPr>
        <w:t>, </w:t>
      </w:r>
      <w:r w:rsidRPr="009439CD">
        <w:rPr>
          <w:b/>
          <w:bCs/>
          <w:sz w:val="28"/>
          <w:szCs w:val="28"/>
          <w:u w:val="single"/>
        </w:rPr>
        <w:t>critically appraise how such an approach may be able to achieve a range of aims for Physical Education and youth sport. </w:t>
      </w:r>
    </w:p>
    <w:p w14:paraId="627614BA" w14:textId="77777777" w:rsidR="009439CD" w:rsidRDefault="009439CD">
      <w:pPr>
        <w:rPr>
          <w:b/>
          <w:bCs/>
          <w:sz w:val="28"/>
          <w:szCs w:val="28"/>
          <w:u w:val="single"/>
        </w:rPr>
      </w:pPr>
    </w:p>
    <w:p w14:paraId="6ED4146A" w14:textId="381CAC9B" w:rsidR="009439CD" w:rsidRDefault="009439CD">
      <w:pPr>
        <w:rPr>
          <w:b/>
          <w:bCs/>
          <w:sz w:val="28"/>
          <w:szCs w:val="28"/>
          <w:u w:val="single"/>
        </w:rPr>
      </w:pPr>
      <w:r>
        <w:rPr>
          <w:b/>
          <w:bCs/>
          <w:sz w:val="28"/>
          <w:szCs w:val="28"/>
          <w:u w:val="single"/>
        </w:rPr>
        <w:t>Sports Education</w:t>
      </w:r>
    </w:p>
    <w:p w14:paraId="719BA9A9" w14:textId="30CD0B13" w:rsidR="009439CD" w:rsidRDefault="009439CD">
      <w:pPr>
        <w:rPr>
          <w:sz w:val="28"/>
          <w:szCs w:val="28"/>
        </w:rPr>
      </w:pPr>
      <w:r w:rsidRPr="009439CD">
        <w:rPr>
          <w:sz w:val="28"/>
          <w:szCs w:val="28"/>
        </w:rPr>
        <w:t xml:space="preserve">Sports education is a teaching approach used in physical education that aims to develop a wide range of skills and personal qualities through sport. Research by Siedentop (1994) suggests that sport education provides students with a more meaningful and complete experience compared to traditional physical education games.  The model supports the development of important abilities such as teamwork, responsibility and working effetely as a group. According to Harvey, et al. (2020) the sports education model emphasizes student centred instruction, where students engage actively in sport related roles and responsibilities, therefore it fosters a more authentic and participatory learning environment. The outcomes of sport education led to a range of a lot of positive outcomes for students both within and beyond physical education.  Additionally, according to Bailey.  (2006) sports education covers the outcomes across physical, social, cognitive and affective domains, this helps and contributes to the development of children’s fundamental movement skills and physical competences which are essential for ongoing participation in physical activities and sports later in people’s lives.  Another outcome is making sure teams are a right level and the competition is fair all the time during a sports education lesson.  As </w:t>
      </w:r>
      <w:proofErr w:type="spellStart"/>
      <w:r w:rsidRPr="009439CD">
        <w:rPr>
          <w:sz w:val="28"/>
          <w:szCs w:val="28"/>
        </w:rPr>
        <w:t>Sidedentop</w:t>
      </w:r>
      <w:proofErr w:type="spellEnd"/>
      <w:r w:rsidRPr="009439CD">
        <w:rPr>
          <w:sz w:val="28"/>
          <w:szCs w:val="28"/>
        </w:rPr>
        <w:t xml:space="preserve">, Hastie, and Van Der Mars, (2011) states </w:t>
      </w:r>
      <w:proofErr w:type="spellStart"/>
      <w:r w:rsidRPr="009439CD">
        <w:rPr>
          <w:sz w:val="28"/>
          <w:szCs w:val="28"/>
        </w:rPr>
        <w:t>st</w:t>
      </w:r>
      <w:r>
        <w:rPr>
          <w:sz w:val="28"/>
          <w:szCs w:val="28"/>
        </w:rPr>
        <w:t>ates</w:t>
      </w:r>
      <w:proofErr w:type="spellEnd"/>
      <w:r>
        <w:rPr>
          <w:sz w:val="28"/>
          <w:szCs w:val="28"/>
        </w:rPr>
        <w:t>,</w:t>
      </w:r>
      <w:r w:rsidRPr="009439CD">
        <w:rPr>
          <w:sz w:val="28"/>
          <w:szCs w:val="28"/>
        </w:rPr>
        <w:t xml:space="preserve"> Sports education strongly favours organizing competitions so that students of equal abilities can compete against each other fairly.</w:t>
      </w:r>
      <w:r>
        <w:rPr>
          <w:sz w:val="28"/>
          <w:szCs w:val="28"/>
        </w:rPr>
        <w:t xml:space="preserve"> By doing this it helps the students improve their skills, their movement as they are getting challenged by someone on the same level as them.  This model also encourages responsibility, as the aim is to take on different roles throughout such as someone being a coach, referee or a team manager, increasing their accountability and leadership, as </w:t>
      </w:r>
      <w:proofErr w:type="spellStart"/>
      <w:r>
        <w:rPr>
          <w:sz w:val="28"/>
          <w:szCs w:val="28"/>
        </w:rPr>
        <w:t>Guijarro</w:t>
      </w:r>
      <w:proofErr w:type="spellEnd"/>
      <w:r>
        <w:rPr>
          <w:sz w:val="28"/>
          <w:szCs w:val="28"/>
        </w:rPr>
        <w:t xml:space="preserve">., Et al. (2021) states that picking multiple roles approach encourages students to engage with the sport from a different perspective, fostering a broader understanding and competence in any activity. Also, by using this approach it gives motivation to each Individual as they are all involved and gets given a different reasonability which will get them all interested and engaged. In addition, sports education improves understanding of rules, tactics and fair play, which improves both their performance and knowledge of sport, </w:t>
      </w:r>
      <w:proofErr w:type="gramStart"/>
      <w:r>
        <w:rPr>
          <w:sz w:val="28"/>
          <w:szCs w:val="28"/>
        </w:rPr>
        <w:t>It</w:t>
      </w:r>
      <w:proofErr w:type="gramEnd"/>
      <w:r>
        <w:rPr>
          <w:sz w:val="28"/>
          <w:szCs w:val="28"/>
        </w:rPr>
        <w:t xml:space="preserve"> supports character development by fostering important values Such as respect, commitment and resilience. </w:t>
      </w:r>
      <w:proofErr w:type="gramStart"/>
      <w:r>
        <w:rPr>
          <w:sz w:val="28"/>
          <w:szCs w:val="28"/>
        </w:rPr>
        <w:t xml:space="preserve">( </w:t>
      </w:r>
      <w:proofErr w:type="spellStart"/>
      <w:r>
        <w:rPr>
          <w:sz w:val="28"/>
          <w:szCs w:val="28"/>
        </w:rPr>
        <w:lastRenderedPageBreak/>
        <w:t>Ettekal</w:t>
      </w:r>
      <w:proofErr w:type="spellEnd"/>
      <w:proofErr w:type="gramEnd"/>
      <w:r>
        <w:rPr>
          <w:sz w:val="28"/>
          <w:szCs w:val="28"/>
        </w:rPr>
        <w:t xml:space="preserve">, et al., (2018).  Furthermore, by creating </w:t>
      </w:r>
      <w:proofErr w:type="spellStart"/>
      <w:proofErr w:type="gramStart"/>
      <w:r>
        <w:rPr>
          <w:sz w:val="28"/>
          <w:szCs w:val="28"/>
        </w:rPr>
        <w:t>a</w:t>
      </w:r>
      <w:proofErr w:type="spellEnd"/>
      <w:proofErr w:type="gramEnd"/>
      <w:r>
        <w:rPr>
          <w:sz w:val="28"/>
          <w:szCs w:val="28"/>
        </w:rPr>
        <w:t xml:space="preserve"> enjoyable and authentic sport experiences, sport education can boost confidence, self-esteem and long term engagement in physical activity </w:t>
      </w:r>
    </w:p>
    <w:p w14:paraId="4A90B901" w14:textId="171B6BD4" w:rsidR="009439CD" w:rsidRDefault="009439CD">
      <w:pPr>
        <w:rPr>
          <w:sz w:val="28"/>
          <w:szCs w:val="28"/>
        </w:rPr>
      </w:pPr>
    </w:p>
    <w:p w14:paraId="4D3B3BD2" w14:textId="5DCFD15C" w:rsidR="009439CD" w:rsidRDefault="009439CD">
      <w:pPr>
        <w:rPr>
          <w:b/>
          <w:bCs/>
          <w:sz w:val="28"/>
          <w:szCs w:val="28"/>
          <w:u w:val="single"/>
        </w:rPr>
      </w:pPr>
      <w:r w:rsidRPr="009439CD">
        <w:rPr>
          <w:b/>
          <w:bCs/>
          <w:sz w:val="28"/>
          <w:szCs w:val="28"/>
          <w:u w:val="single"/>
        </w:rPr>
        <w:t>Sport Education effects on physical literacy</w:t>
      </w:r>
    </w:p>
    <w:p w14:paraId="60798ED8" w14:textId="3F058547" w:rsidR="009439CD" w:rsidRDefault="009439CD">
      <w:pPr>
        <w:rPr>
          <w:sz w:val="28"/>
          <w:szCs w:val="28"/>
        </w:rPr>
      </w:pPr>
      <w:r w:rsidRPr="009439CD">
        <w:rPr>
          <w:sz w:val="28"/>
          <w:szCs w:val="28"/>
        </w:rPr>
        <w:t xml:space="preserve">Sport Education leads to a range of positive outcomes </w:t>
      </w:r>
      <w:r w:rsidRPr="009439CD">
        <w:rPr>
          <w:sz w:val="28"/>
          <w:szCs w:val="28"/>
        </w:rPr>
        <w:t>on physical literacy across different age groups and educational contexts.</w:t>
      </w:r>
      <w:r>
        <w:rPr>
          <w:sz w:val="28"/>
          <w:szCs w:val="28"/>
        </w:rPr>
        <w:t xml:space="preserve"> (Warner, et al., 2021) ‘’Physical literacy involves the motivation, confidence, physical competence, knowledge, and understanding needed to engage in physical activity throughout life.’’ (Whitehead, 2001). Through structured season, working in teams and defined roles, sport education enhances students’ physical competence by providing consistent opportunities to practise and apply their skills in a meaningful way. It also supports the development of confidence and motivation which Is very important for all ages and impacts a good physical literacy, they get this by experiencing a sense of belonging and achievement within their teams and gaining improvement their skills with people on the same level as you, This improves motivation and confidence as if you are working with someone in the same level you can ask questions to help improve, give advice also to other people and gain more experience and improve in the sport you want to together. Furthermore, by encouraging tactical awareness, understanding of rules and have a reflection on their performance, the model strengthens students’ knowledge and understanding of physical activity. (Liu., Gregg. &amp; Hastie., 2025).  As a result, sport education not only Improves sporting performances but also contributes to the long-term development of physical literate individuals who are more likely to remain active beyond school and their lifetime. (Till, Et al, 2025).</w:t>
      </w:r>
    </w:p>
    <w:p w14:paraId="38299561" w14:textId="77777777" w:rsidR="009439CD" w:rsidRDefault="009439CD">
      <w:pPr>
        <w:rPr>
          <w:sz w:val="28"/>
          <w:szCs w:val="28"/>
        </w:rPr>
      </w:pPr>
    </w:p>
    <w:p w14:paraId="79873A04" w14:textId="044159FA" w:rsidR="009439CD" w:rsidRDefault="009439CD">
      <w:pPr>
        <w:rPr>
          <w:b/>
          <w:bCs/>
          <w:sz w:val="28"/>
          <w:szCs w:val="28"/>
          <w:u w:val="single"/>
        </w:rPr>
      </w:pPr>
      <w:r w:rsidRPr="009439CD">
        <w:rPr>
          <w:b/>
          <w:bCs/>
          <w:sz w:val="28"/>
          <w:szCs w:val="28"/>
          <w:u w:val="single"/>
        </w:rPr>
        <w:t>Hybrid models (SEM &amp; TGFU)</w:t>
      </w:r>
    </w:p>
    <w:p w14:paraId="2BAC5F9D" w14:textId="04531C23" w:rsidR="009439CD" w:rsidRDefault="009439CD">
      <w:pPr>
        <w:rPr>
          <w:sz w:val="28"/>
          <w:szCs w:val="28"/>
        </w:rPr>
      </w:pPr>
      <w:r w:rsidRPr="009439CD">
        <w:rPr>
          <w:sz w:val="28"/>
          <w:szCs w:val="28"/>
        </w:rPr>
        <w:t>The Hybri</w:t>
      </w:r>
      <w:r>
        <w:rPr>
          <w:sz w:val="28"/>
          <w:szCs w:val="28"/>
        </w:rPr>
        <w:t xml:space="preserve">d models combine elements of different pedagogical approaches to create a more holistic and inclusive learning experiences in physical education (Gil- Arias, et al., 2021).  For example, teaching games for understanding (TGFU) focuses on develop tactical awareness and decision making by placing understanding before skill practice. Sports education (SEM) focuses on creating authentic sporting experiences through seasons, team affiliation and defined roles, again like it’s been stated it focus on and benefits the responsibility teamwork and engagement. As Gomez, et al., (2021) states the hybrid of these two models has a big impact to increase the teamwork and engagement. Furthermore, as teaching games for understanding (TGFU) prioritises awareness and decision making by teaching students to understand the ‘why ‘of the game’ before understanding why the skills are important. When these </w:t>
      </w:r>
      <w:r>
        <w:rPr>
          <w:sz w:val="28"/>
          <w:szCs w:val="28"/>
        </w:rPr>
        <w:lastRenderedPageBreak/>
        <w:t xml:space="preserve">models are combined it allows students to develop both a deeper tactical and understanding a strong sense of belonging within a structured sport session, and as research states the two combined has been identified as a prominent approach in physical education. (Zhang, et al., 2024). As </w:t>
      </w:r>
      <w:proofErr w:type="spellStart"/>
      <w:r>
        <w:rPr>
          <w:sz w:val="28"/>
          <w:szCs w:val="28"/>
        </w:rPr>
        <w:t>Ferraz</w:t>
      </w:r>
      <w:proofErr w:type="spellEnd"/>
      <w:r>
        <w:rPr>
          <w:sz w:val="28"/>
          <w:szCs w:val="28"/>
        </w:rPr>
        <w:t>., et al. (2024) Highlights that combining these approaches together enhances students cognitive and affective learning domains by fostering motivation, decision making and their game performance. By going off this research these two models’ combination also helps and improves children’s physical literacy also it works on their motivation and cognitive. By encouraging active participation, problem solving, and meaningful engagement students will build physical competence alongside confidence. Having the structured game centred of hybrid approach ensures that learners are not only improving performance but also developing the knowledge and the understanding and the confidence you required for lifelong participation in physical activity.  Overall, the combination of the two models SEM and TGFU provides a balanced, student-centred framework that supported cognitive and social and the physical development within the physical education and helps improve the physical literacy also.</w:t>
      </w:r>
    </w:p>
    <w:p w14:paraId="41497A43" w14:textId="77777777" w:rsidR="009439CD" w:rsidRDefault="009439CD">
      <w:pPr>
        <w:rPr>
          <w:sz w:val="28"/>
          <w:szCs w:val="28"/>
        </w:rPr>
      </w:pPr>
    </w:p>
    <w:p w14:paraId="62217BCF" w14:textId="0C93A43A" w:rsidR="009439CD" w:rsidRDefault="009439CD">
      <w:pPr>
        <w:rPr>
          <w:b/>
          <w:bCs/>
          <w:sz w:val="28"/>
          <w:szCs w:val="28"/>
          <w:u w:val="single"/>
        </w:rPr>
      </w:pPr>
      <w:r w:rsidRPr="009439CD">
        <w:rPr>
          <w:b/>
          <w:bCs/>
          <w:sz w:val="28"/>
          <w:szCs w:val="28"/>
          <w:u w:val="single"/>
        </w:rPr>
        <w:t>Domains- social, cognitive, physical and affective</w:t>
      </w:r>
    </w:p>
    <w:p w14:paraId="249F797D" w14:textId="3CECA14E" w:rsidR="009439CD" w:rsidRDefault="009439CD">
      <w:pPr>
        <w:rPr>
          <w:sz w:val="28"/>
          <w:szCs w:val="28"/>
        </w:rPr>
      </w:pPr>
      <w:r w:rsidRPr="009439CD">
        <w:rPr>
          <w:sz w:val="28"/>
          <w:szCs w:val="28"/>
        </w:rPr>
        <w:t>The physical domains primarily involve the acquisition and development of movement skills and physical competence</w:t>
      </w:r>
      <w:r>
        <w:rPr>
          <w:sz w:val="28"/>
          <w:szCs w:val="28"/>
        </w:rPr>
        <w:t xml:space="preserve">. (Bailey, et al. 2009). Physical education through models such as the SEM and TGFU will support the learning of four key domains which are social, cognitive, physical and affective. The social domains focus on the skills, communication, teamwork and leadership. (Bailey, 2006). Throughout structured teams’ roles, students will learn how to work effectively with others and build positive relationships. Therefore, the cognitive domain relates to thinking and decision making, problem solving to understand the rules. Approaches like the TGFU model does help and apply the cognitive domain by encouraging students to analyse the game situations and apply knowledge in the real time. (Koekkoek, &amp; Knoppers., 2015) The physical domain involves the development of movement competence, health benefits and the sport specific skills, Furthermore, the affective domain refers to students’ thoughts, feelings and their motivation towards physical activity. This includes confidence the enjoyment and resilience. (Super, </w:t>
      </w:r>
      <w:proofErr w:type="spellStart"/>
      <w:r>
        <w:rPr>
          <w:sz w:val="28"/>
          <w:szCs w:val="28"/>
        </w:rPr>
        <w:t>Venkooijen</w:t>
      </w:r>
      <w:proofErr w:type="spellEnd"/>
      <w:r>
        <w:rPr>
          <w:sz w:val="28"/>
          <w:szCs w:val="28"/>
        </w:rPr>
        <w:t xml:space="preserve">, &amp; </w:t>
      </w:r>
      <w:proofErr w:type="spellStart"/>
      <w:r>
        <w:rPr>
          <w:sz w:val="28"/>
          <w:szCs w:val="28"/>
        </w:rPr>
        <w:t>Koelen</w:t>
      </w:r>
      <w:proofErr w:type="spellEnd"/>
      <w:r>
        <w:rPr>
          <w:sz w:val="28"/>
          <w:szCs w:val="28"/>
        </w:rPr>
        <w:t xml:space="preserve">, 2018). By addressing all four domains in a positive way and using the student-centred models to create a more of a learning experience that supports both performance development and their long-term engagement in physical activity </w:t>
      </w:r>
    </w:p>
    <w:p w14:paraId="722185A3" w14:textId="77777777" w:rsidR="009439CD" w:rsidRDefault="009439CD">
      <w:pPr>
        <w:rPr>
          <w:sz w:val="28"/>
          <w:szCs w:val="28"/>
        </w:rPr>
      </w:pPr>
    </w:p>
    <w:p w14:paraId="4C8F4A08" w14:textId="7851CBB9" w:rsidR="009439CD" w:rsidRDefault="009439CD">
      <w:pPr>
        <w:rPr>
          <w:sz w:val="28"/>
          <w:szCs w:val="28"/>
        </w:rPr>
      </w:pPr>
      <w:r>
        <w:rPr>
          <w:sz w:val="28"/>
          <w:szCs w:val="28"/>
        </w:rPr>
        <w:lastRenderedPageBreak/>
        <w:t xml:space="preserve">In conclusion, the sport education model and the hybrid approaches such as SEM and TGFU, provides a positive impact and student-centred framework for physical education. These models move beyond the traditional skills by creating a meaningful, good experiences, the teamwork and their engagement. When all this is combined with the tactical approaches like TGFU, students will not only improve their physical competence but also helps their cognitive understanding and </w:t>
      </w:r>
      <w:proofErr w:type="gramStart"/>
      <w:r>
        <w:rPr>
          <w:sz w:val="28"/>
          <w:szCs w:val="28"/>
        </w:rPr>
        <w:t>decision making</w:t>
      </w:r>
      <w:proofErr w:type="gramEnd"/>
      <w:r>
        <w:rPr>
          <w:sz w:val="28"/>
          <w:szCs w:val="28"/>
        </w:rPr>
        <w:t xml:space="preserve"> skills. Importantly these approaches want and will support the development across the social, cognitive, physical and affective domains. Also, by fostering physical literacy with  the definition of physical literacy being </w:t>
      </w:r>
      <w:r>
        <w:rPr>
          <w:sz w:val="28"/>
          <w:szCs w:val="28"/>
        </w:rPr>
        <w:t>’Physical literacy involves the motivation, confidence, physical competence, knowledge, and understanding needed to engage in physical activity throughout life.’</w:t>
      </w:r>
      <w:r>
        <w:rPr>
          <w:sz w:val="28"/>
          <w:szCs w:val="28"/>
        </w:rPr>
        <w:t xml:space="preserve"> which whitehead (2001)  states, all of these models and domains cover the aim of physics literacy which is the motivation, confidence and the competence   and promoting sport education and it’s hybrids models will help and get significant value in helping students be active within the sports education and physical education setting, and where the focus is no longer just on performances but it is also helps and understanding lifelong learners on the importance of physical activity. Therefore, working on the approaches within the curriculum can play a big impact in supporting students overall personal development which is very important for students as it’s important to understand what skills and personal achievement they want and understanding how to work on that which all starts with these domains, physical literacy and the SEM and TGFU models.</w:t>
      </w:r>
    </w:p>
    <w:p w14:paraId="22D29FA5" w14:textId="77777777" w:rsidR="009439CD" w:rsidRDefault="009439CD">
      <w:pPr>
        <w:rPr>
          <w:sz w:val="28"/>
          <w:szCs w:val="28"/>
        </w:rPr>
      </w:pPr>
    </w:p>
    <w:p w14:paraId="48393B6A" w14:textId="77777777" w:rsidR="009439CD" w:rsidRDefault="009439CD">
      <w:pPr>
        <w:rPr>
          <w:b/>
          <w:bCs/>
          <w:sz w:val="28"/>
          <w:szCs w:val="28"/>
        </w:rPr>
      </w:pPr>
    </w:p>
    <w:p w14:paraId="1FFCDFCC" w14:textId="77777777" w:rsidR="009439CD" w:rsidRDefault="009439CD">
      <w:pPr>
        <w:rPr>
          <w:b/>
          <w:bCs/>
          <w:sz w:val="28"/>
          <w:szCs w:val="28"/>
        </w:rPr>
      </w:pPr>
    </w:p>
    <w:p w14:paraId="164188EA" w14:textId="77777777" w:rsidR="009439CD" w:rsidRDefault="009439CD">
      <w:pPr>
        <w:rPr>
          <w:b/>
          <w:bCs/>
          <w:sz w:val="28"/>
          <w:szCs w:val="28"/>
        </w:rPr>
      </w:pPr>
    </w:p>
    <w:p w14:paraId="691F182B" w14:textId="77777777" w:rsidR="009439CD" w:rsidRDefault="009439CD">
      <w:pPr>
        <w:rPr>
          <w:b/>
          <w:bCs/>
          <w:sz w:val="28"/>
          <w:szCs w:val="28"/>
        </w:rPr>
      </w:pPr>
    </w:p>
    <w:p w14:paraId="381EEC9B" w14:textId="77777777" w:rsidR="009439CD" w:rsidRDefault="009439CD">
      <w:pPr>
        <w:rPr>
          <w:b/>
          <w:bCs/>
          <w:sz w:val="28"/>
          <w:szCs w:val="28"/>
        </w:rPr>
      </w:pPr>
    </w:p>
    <w:p w14:paraId="46C68039" w14:textId="77777777" w:rsidR="009439CD" w:rsidRDefault="009439CD">
      <w:pPr>
        <w:rPr>
          <w:b/>
          <w:bCs/>
          <w:sz w:val="28"/>
          <w:szCs w:val="28"/>
        </w:rPr>
      </w:pPr>
    </w:p>
    <w:p w14:paraId="3DFF9630" w14:textId="77777777" w:rsidR="009439CD" w:rsidRDefault="009439CD">
      <w:pPr>
        <w:rPr>
          <w:b/>
          <w:bCs/>
          <w:sz w:val="28"/>
          <w:szCs w:val="28"/>
        </w:rPr>
      </w:pPr>
    </w:p>
    <w:p w14:paraId="30F1228F" w14:textId="77777777" w:rsidR="009439CD" w:rsidRDefault="009439CD">
      <w:pPr>
        <w:rPr>
          <w:b/>
          <w:bCs/>
          <w:sz w:val="28"/>
          <w:szCs w:val="28"/>
        </w:rPr>
      </w:pPr>
    </w:p>
    <w:p w14:paraId="5A804321" w14:textId="77777777" w:rsidR="009439CD" w:rsidRDefault="009439CD">
      <w:pPr>
        <w:rPr>
          <w:b/>
          <w:bCs/>
          <w:sz w:val="28"/>
          <w:szCs w:val="28"/>
        </w:rPr>
      </w:pPr>
    </w:p>
    <w:p w14:paraId="52752ABD" w14:textId="77777777" w:rsidR="009439CD" w:rsidRDefault="009439CD">
      <w:pPr>
        <w:rPr>
          <w:b/>
          <w:bCs/>
          <w:sz w:val="28"/>
          <w:szCs w:val="28"/>
        </w:rPr>
      </w:pPr>
    </w:p>
    <w:p w14:paraId="29E1F312" w14:textId="77777777" w:rsidR="009439CD" w:rsidRDefault="009439CD">
      <w:pPr>
        <w:rPr>
          <w:b/>
          <w:bCs/>
          <w:sz w:val="28"/>
          <w:szCs w:val="28"/>
        </w:rPr>
      </w:pPr>
    </w:p>
    <w:p w14:paraId="3AF3E8F8" w14:textId="77777777" w:rsidR="009439CD" w:rsidRDefault="009439CD">
      <w:pPr>
        <w:rPr>
          <w:b/>
          <w:bCs/>
          <w:sz w:val="28"/>
          <w:szCs w:val="28"/>
        </w:rPr>
      </w:pPr>
    </w:p>
    <w:p w14:paraId="594F8742" w14:textId="77777777" w:rsidR="009439CD" w:rsidRDefault="009439CD">
      <w:pPr>
        <w:rPr>
          <w:b/>
          <w:bCs/>
          <w:sz w:val="28"/>
          <w:szCs w:val="28"/>
        </w:rPr>
      </w:pPr>
    </w:p>
    <w:p w14:paraId="63A3F40F" w14:textId="77777777" w:rsidR="009439CD" w:rsidRPr="009439CD" w:rsidRDefault="009439CD">
      <w:pPr>
        <w:rPr>
          <w:b/>
          <w:bCs/>
          <w:sz w:val="28"/>
          <w:szCs w:val="28"/>
          <w:u w:val="single"/>
        </w:rPr>
      </w:pPr>
    </w:p>
    <w:p w14:paraId="0E0E6CAD" w14:textId="77777777" w:rsidR="009439CD" w:rsidRDefault="009439CD">
      <w:pPr>
        <w:rPr>
          <w:b/>
          <w:bCs/>
          <w:sz w:val="28"/>
          <w:szCs w:val="28"/>
          <w:u w:val="single"/>
        </w:rPr>
      </w:pPr>
    </w:p>
    <w:p w14:paraId="7588DDFD" w14:textId="77777777" w:rsidR="009439CD" w:rsidRDefault="009439CD">
      <w:pPr>
        <w:rPr>
          <w:b/>
          <w:bCs/>
          <w:sz w:val="28"/>
          <w:szCs w:val="28"/>
          <w:u w:val="single"/>
        </w:rPr>
      </w:pPr>
    </w:p>
    <w:p w14:paraId="3E8F37E0" w14:textId="77777777" w:rsidR="009439CD" w:rsidRDefault="009439CD">
      <w:pPr>
        <w:rPr>
          <w:b/>
          <w:bCs/>
          <w:sz w:val="28"/>
          <w:szCs w:val="28"/>
          <w:u w:val="single"/>
        </w:rPr>
      </w:pPr>
    </w:p>
    <w:p w14:paraId="02AC7497" w14:textId="1EB91CB6" w:rsidR="009439CD" w:rsidRDefault="009439CD">
      <w:pPr>
        <w:rPr>
          <w:b/>
          <w:bCs/>
          <w:sz w:val="28"/>
          <w:szCs w:val="28"/>
          <w:u w:val="single"/>
        </w:rPr>
      </w:pPr>
      <w:r w:rsidRPr="009439CD">
        <w:rPr>
          <w:b/>
          <w:bCs/>
          <w:sz w:val="28"/>
          <w:szCs w:val="28"/>
          <w:u w:val="single"/>
        </w:rPr>
        <w:t xml:space="preserve">Reference list </w:t>
      </w:r>
    </w:p>
    <w:p w14:paraId="180D6B48" w14:textId="77777777" w:rsidR="009439CD" w:rsidRDefault="009439CD" w:rsidP="009439CD">
      <w:pPr>
        <w:rPr>
          <w:sz w:val="28"/>
          <w:szCs w:val="28"/>
        </w:rPr>
      </w:pPr>
    </w:p>
    <w:p w14:paraId="0611B420" w14:textId="77777777" w:rsidR="009439CD" w:rsidRPr="009439CD" w:rsidRDefault="009439CD" w:rsidP="009439CD">
      <w:pPr>
        <w:rPr>
          <w:sz w:val="28"/>
          <w:szCs w:val="28"/>
        </w:rPr>
      </w:pPr>
      <w:r w:rsidRPr="009439CD">
        <w:rPr>
          <w:sz w:val="28"/>
          <w:szCs w:val="28"/>
        </w:rPr>
        <w:t>Bailey, R. (2006) “Physical Education and Sport in Schools: A Review of Benefits and Outcomes,” The Journal of school health, 76(8), pp. 397–401. Available at: </w:t>
      </w:r>
      <w:hyperlink r:id="rId6" w:tgtFrame="_new" w:history="1">
        <w:r w:rsidRPr="009439CD">
          <w:rPr>
            <w:rStyle w:val="Hyperlink"/>
            <w:sz w:val="28"/>
            <w:szCs w:val="28"/>
          </w:rPr>
          <w:t>https://doi.org/10.1111/j.1746-1561.2006.00132.x</w:t>
        </w:r>
      </w:hyperlink>
      <w:r w:rsidRPr="009439CD">
        <w:rPr>
          <w:sz w:val="28"/>
          <w:szCs w:val="28"/>
        </w:rPr>
        <w:t>.</w:t>
      </w:r>
    </w:p>
    <w:p w14:paraId="7E99EB60" w14:textId="77777777" w:rsidR="009439CD" w:rsidRDefault="009439CD" w:rsidP="009439CD">
      <w:pPr>
        <w:rPr>
          <w:sz w:val="28"/>
          <w:szCs w:val="28"/>
        </w:rPr>
      </w:pPr>
    </w:p>
    <w:p w14:paraId="7037E2A6" w14:textId="1756F8F7" w:rsidR="009439CD" w:rsidRPr="009439CD" w:rsidRDefault="009439CD" w:rsidP="009439CD">
      <w:pPr>
        <w:rPr>
          <w:sz w:val="28"/>
          <w:szCs w:val="28"/>
        </w:rPr>
      </w:pPr>
      <w:r w:rsidRPr="009439CD">
        <w:rPr>
          <w:sz w:val="28"/>
          <w:szCs w:val="28"/>
        </w:rPr>
        <w:t>Bailey, R. (2006) “Physical Education and Sport in Schools: A Review of Benefits and Outcomes,” The Journal of school health, 76(8), pp. 397–401. Available at: </w:t>
      </w:r>
      <w:hyperlink r:id="rId7" w:tgtFrame="_new" w:history="1">
        <w:r w:rsidRPr="009439CD">
          <w:rPr>
            <w:rStyle w:val="Hyperlink"/>
            <w:sz w:val="28"/>
            <w:szCs w:val="28"/>
          </w:rPr>
          <w:t>https://doi.org/10.1111/j.1746-1561.2006.00132.x</w:t>
        </w:r>
      </w:hyperlink>
      <w:r w:rsidRPr="009439CD">
        <w:rPr>
          <w:sz w:val="28"/>
          <w:szCs w:val="28"/>
        </w:rPr>
        <w:t>.</w:t>
      </w:r>
    </w:p>
    <w:p w14:paraId="7582006B" w14:textId="77777777" w:rsidR="009439CD" w:rsidRDefault="009439CD" w:rsidP="009439CD">
      <w:pPr>
        <w:rPr>
          <w:sz w:val="28"/>
          <w:szCs w:val="28"/>
        </w:rPr>
      </w:pPr>
    </w:p>
    <w:p w14:paraId="2AFEEEE5" w14:textId="5D03CAA5" w:rsidR="009439CD" w:rsidRPr="009439CD" w:rsidRDefault="009439CD" w:rsidP="009439CD">
      <w:pPr>
        <w:rPr>
          <w:sz w:val="28"/>
          <w:szCs w:val="28"/>
        </w:rPr>
      </w:pPr>
      <w:r w:rsidRPr="009439CD">
        <w:rPr>
          <w:sz w:val="28"/>
          <w:szCs w:val="28"/>
        </w:rPr>
        <w:t>Bailey, R. et al. (2009) “The educational benefits claimed for physical education and school sport: an academic review,” Research papers in education, 24(1), pp. 1–27. Available at: </w:t>
      </w:r>
      <w:hyperlink r:id="rId8" w:tgtFrame="_new" w:history="1">
        <w:r w:rsidRPr="009439CD">
          <w:rPr>
            <w:rStyle w:val="Hyperlink"/>
            <w:sz w:val="28"/>
            <w:szCs w:val="28"/>
          </w:rPr>
          <w:t>https://doi.org/10.1080/02671520701809817</w:t>
        </w:r>
      </w:hyperlink>
      <w:r w:rsidRPr="009439CD">
        <w:rPr>
          <w:sz w:val="28"/>
          <w:szCs w:val="28"/>
        </w:rPr>
        <w:t>.</w:t>
      </w:r>
    </w:p>
    <w:p w14:paraId="38638576" w14:textId="77777777" w:rsidR="009439CD" w:rsidRDefault="009439CD" w:rsidP="009439CD">
      <w:pPr>
        <w:rPr>
          <w:sz w:val="28"/>
          <w:szCs w:val="28"/>
        </w:rPr>
      </w:pPr>
    </w:p>
    <w:p w14:paraId="111F92F2" w14:textId="26C6EC49" w:rsidR="009439CD" w:rsidRPr="009439CD" w:rsidRDefault="009439CD" w:rsidP="009439CD">
      <w:pPr>
        <w:rPr>
          <w:sz w:val="28"/>
          <w:szCs w:val="28"/>
        </w:rPr>
      </w:pPr>
      <w:proofErr w:type="spellStart"/>
      <w:r w:rsidRPr="009439CD">
        <w:rPr>
          <w:sz w:val="28"/>
          <w:szCs w:val="28"/>
        </w:rPr>
        <w:t>Ettekal</w:t>
      </w:r>
      <w:proofErr w:type="spellEnd"/>
      <w:r w:rsidRPr="009439CD">
        <w:rPr>
          <w:sz w:val="28"/>
          <w:szCs w:val="28"/>
        </w:rPr>
        <w:t xml:space="preserve">, A.V. et al. (2018) “CHARACTER EDUCATION IN HIGH SCHOOL ATHLETICS: Perspectives </w:t>
      </w:r>
      <w:proofErr w:type="gramStart"/>
      <w:r w:rsidRPr="009439CD">
        <w:rPr>
          <w:sz w:val="28"/>
          <w:szCs w:val="28"/>
        </w:rPr>
        <w:t>From</w:t>
      </w:r>
      <w:proofErr w:type="gramEnd"/>
      <w:r w:rsidRPr="009439CD">
        <w:rPr>
          <w:sz w:val="28"/>
          <w:szCs w:val="28"/>
        </w:rPr>
        <w:t xml:space="preserve"> Athletics Directors on a Curriculum to Promote Character Development Through Sport,” Journal of character education (Print), 14(1), p. 29.</w:t>
      </w:r>
    </w:p>
    <w:p w14:paraId="5A165BA7" w14:textId="77777777" w:rsidR="009439CD" w:rsidRDefault="009439CD" w:rsidP="009439CD">
      <w:pPr>
        <w:rPr>
          <w:sz w:val="28"/>
          <w:szCs w:val="28"/>
        </w:rPr>
      </w:pPr>
    </w:p>
    <w:p w14:paraId="035519E5" w14:textId="21C9E9AD" w:rsidR="009439CD" w:rsidRPr="009439CD" w:rsidRDefault="009439CD" w:rsidP="009439CD">
      <w:pPr>
        <w:rPr>
          <w:sz w:val="28"/>
          <w:szCs w:val="28"/>
        </w:rPr>
      </w:pPr>
      <w:proofErr w:type="spellStart"/>
      <w:r w:rsidRPr="009439CD">
        <w:rPr>
          <w:sz w:val="28"/>
          <w:szCs w:val="28"/>
        </w:rPr>
        <w:t>Ferraz</w:t>
      </w:r>
      <w:proofErr w:type="spellEnd"/>
      <w:r w:rsidRPr="009439CD">
        <w:rPr>
          <w:sz w:val="28"/>
          <w:szCs w:val="28"/>
        </w:rPr>
        <w:t xml:space="preserve">, R. et al. (2024) “Effects of </w:t>
      </w:r>
      <w:proofErr w:type="spellStart"/>
      <w:r w:rsidRPr="009439CD">
        <w:rPr>
          <w:sz w:val="28"/>
          <w:szCs w:val="28"/>
        </w:rPr>
        <w:t>implementating</w:t>
      </w:r>
      <w:proofErr w:type="spellEnd"/>
      <w:r w:rsidRPr="009439CD">
        <w:rPr>
          <w:sz w:val="28"/>
          <w:szCs w:val="28"/>
        </w:rPr>
        <w:t xml:space="preserve"> a hybrid teaching model in a basketball didactic unit,” Journal of Physical Education and Sport, 24(6), pp. 1515–1523. Available at: </w:t>
      </w:r>
      <w:hyperlink r:id="rId9" w:tgtFrame="_new" w:history="1">
        <w:r w:rsidRPr="009439CD">
          <w:rPr>
            <w:rStyle w:val="Hyperlink"/>
            <w:sz w:val="28"/>
            <w:szCs w:val="28"/>
          </w:rPr>
          <w:t>https://doi.org/10.7752/jpes.2024.06171</w:t>
        </w:r>
      </w:hyperlink>
      <w:r w:rsidRPr="009439CD">
        <w:rPr>
          <w:sz w:val="28"/>
          <w:szCs w:val="28"/>
        </w:rPr>
        <w:t>.</w:t>
      </w:r>
    </w:p>
    <w:p w14:paraId="5F322532" w14:textId="77777777" w:rsidR="009439CD" w:rsidRDefault="009439CD" w:rsidP="009439CD">
      <w:pPr>
        <w:rPr>
          <w:sz w:val="28"/>
          <w:szCs w:val="28"/>
        </w:rPr>
      </w:pPr>
    </w:p>
    <w:p w14:paraId="72CF20B5" w14:textId="020399DB" w:rsidR="009439CD" w:rsidRPr="009439CD" w:rsidRDefault="009439CD" w:rsidP="009439CD">
      <w:pPr>
        <w:rPr>
          <w:sz w:val="28"/>
          <w:szCs w:val="28"/>
        </w:rPr>
      </w:pPr>
      <w:r w:rsidRPr="009439CD">
        <w:rPr>
          <w:sz w:val="28"/>
          <w:szCs w:val="28"/>
        </w:rPr>
        <w:t>Gil-Arias, A. et al. (2021) “Effect of a hybrid teaching games for understanding/sport education unit on elementary students’ self-determined motivation in physical education,” European physical education review, 27(2), pp. 366–383. Available at: </w:t>
      </w:r>
      <w:hyperlink r:id="rId10" w:tgtFrame="_new" w:history="1">
        <w:r w:rsidRPr="009439CD">
          <w:rPr>
            <w:rStyle w:val="Hyperlink"/>
            <w:sz w:val="28"/>
            <w:szCs w:val="28"/>
          </w:rPr>
          <w:t>https://doi.org/10.1177/1356336X20950174</w:t>
        </w:r>
      </w:hyperlink>
      <w:r w:rsidRPr="009439CD">
        <w:rPr>
          <w:sz w:val="28"/>
          <w:szCs w:val="28"/>
        </w:rPr>
        <w:t>.</w:t>
      </w:r>
    </w:p>
    <w:p w14:paraId="39D02AB8" w14:textId="77777777" w:rsidR="009439CD" w:rsidRDefault="009439CD" w:rsidP="009439CD">
      <w:pPr>
        <w:rPr>
          <w:sz w:val="28"/>
          <w:szCs w:val="28"/>
        </w:rPr>
      </w:pPr>
    </w:p>
    <w:p w14:paraId="0F26BAA4" w14:textId="5FCF9691" w:rsidR="009439CD" w:rsidRPr="009439CD" w:rsidRDefault="009439CD" w:rsidP="009439CD">
      <w:pPr>
        <w:rPr>
          <w:sz w:val="28"/>
          <w:szCs w:val="28"/>
        </w:rPr>
      </w:pPr>
      <w:r w:rsidRPr="009439CD">
        <w:rPr>
          <w:sz w:val="28"/>
          <w:szCs w:val="28"/>
        </w:rPr>
        <w:t xml:space="preserve">Gómez </w:t>
      </w:r>
      <w:proofErr w:type="spellStart"/>
      <w:r w:rsidRPr="009439CD">
        <w:rPr>
          <w:sz w:val="28"/>
          <w:szCs w:val="28"/>
        </w:rPr>
        <w:t>Buendía</w:t>
      </w:r>
      <w:proofErr w:type="spellEnd"/>
      <w:r w:rsidRPr="009439CD">
        <w:rPr>
          <w:sz w:val="28"/>
          <w:szCs w:val="28"/>
        </w:rPr>
        <w:t xml:space="preserve">, Á. et al. (2021) “Effects of a hybrid teaching model (SEM + </w:t>
      </w:r>
      <w:proofErr w:type="spellStart"/>
      <w:r w:rsidRPr="009439CD">
        <w:rPr>
          <w:sz w:val="28"/>
          <w:szCs w:val="28"/>
        </w:rPr>
        <w:t>TGfU</w:t>
      </w:r>
      <w:proofErr w:type="spellEnd"/>
      <w:r w:rsidRPr="009439CD">
        <w:rPr>
          <w:sz w:val="28"/>
          <w:szCs w:val="28"/>
        </w:rPr>
        <w:t>) and the model of personal and social responsibility on sportsmanship and enjoyment in 4° Secondary and 1° (</w:t>
      </w:r>
      <w:hyperlink r:id="rId11" w:tgtFrame="_new" w:history="1">
        <w:r w:rsidRPr="009439CD">
          <w:rPr>
            <w:rStyle w:val="Hyperlink"/>
            <w:sz w:val="28"/>
            <w:szCs w:val="28"/>
          </w:rPr>
          <w:t>https://doi.org/10.47197/retos.v43i0.85928</w:t>
        </w:r>
      </w:hyperlink>
      <w:r w:rsidRPr="009439CD">
        <w:rPr>
          <w:sz w:val="28"/>
          <w:szCs w:val="28"/>
        </w:rPr>
        <w:t>.</w:t>
      </w:r>
    </w:p>
    <w:p w14:paraId="443FD4B2" w14:textId="77777777" w:rsidR="009439CD" w:rsidRDefault="009439CD" w:rsidP="009439CD">
      <w:pPr>
        <w:rPr>
          <w:sz w:val="28"/>
          <w:szCs w:val="28"/>
        </w:rPr>
      </w:pPr>
    </w:p>
    <w:p w14:paraId="5BD2EBC9" w14:textId="02103EA4" w:rsidR="009439CD" w:rsidRPr="009439CD" w:rsidRDefault="009439CD" w:rsidP="009439CD">
      <w:pPr>
        <w:rPr>
          <w:sz w:val="28"/>
          <w:szCs w:val="28"/>
        </w:rPr>
      </w:pPr>
      <w:proofErr w:type="spellStart"/>
      <w:r w:rsidRPr="009439CD">
        <w:rPr>
          <w:sz w:val="28"/>
          <w:szCs w:val="28"/>
        </w:rPr>
        <w:t>Guijarro</w:t>
      </w:r>
      <w:proofErr w:type="spellEnd"/>
      <w:r w:rsidRPr="009439CD">
        <w:rPr>
          <w:sz w:val="28"/>
          <w:szCs w:val="28"/>
        </w:rPr>
        <w:t>, E. et al. (2021) “Relationship Between Personal and Social Responsibility and the Roles Undertaken in Sport Education,” Journal of teaching in physical education, 40(1), pp. 76–85. Available at: </w:t>
      </w:r>
      <w:hyperlink r:id="rId12" w:tgtFrame="_new" w:history="1">
        <w:r w:rsidRPr="009439CD">
          <w:rPr>
            <w:rStyle w:val="Hyperlink"/>
            <w:sz w:val="28"/>
            <w:szCs w:val="28"/>
          </w:rPr>
          <w:t>https://doi.org/10.1123/jtpe.2019-0097</w:t>
        </w:r>
      </w:hyperlink>
      <w:r w:rsidRPr="009439CD">
        <w:rPr>
          <w:sz w:val="28"/>
          <w:szCs w:val="28"/>
        </w:rPr>
        <w:t>.</w:t>
      </w:r>
    </w:p>
    <w:p w14:paraId="3B212835" w14:textId="77777777" w:rsidR="009439CD" w:rsidRDefault="009439CD" w:rsidP="009439CD">
      <w:pPr>
        <w:rPr>
          <w:sz w:val="28"/>
          <w:szCs w:val="28"/>
        </w:rPr>
      </w:pPr>
    </w:p>
    <w:p w14:paraId="45AC5F6D" w14:textId="0ED5CCDE" w:rsidR="009439CD" w:rsidRPr="009439CD" w:rsidRDefault="009439CD" w:rsidP="009439CD">
      <w:pPr>
        <w:rPr>
          <w:sz w:val="28"/>
          <w:szCs w:val="28"/>
        </w:rPr>
      </w:pPr>
      <w:r w:rsidRPr="009439CD">
        <w:rPr>
          <w:sz w:val="28"/>
          <w:szCs w:val="28"/>
        </w:rPr>
        <w:lastRenderedPageBreak/>
        <w:t>Harvey, S. et al. (2020) “Physical education teachers’ perceptions of the successes, constraints, and possibilities associated with implementing the sport education model,” Physical education and sport pedagogy, 25(5), pp. 555–566. Available at: </w:t>
      </w:r>
      <w:hyperlink r:id="rId13" w:tgtFrame="_new" w:history="1">
        <w:r w:rsidRPr="009439CD">
          <w:rPr>
            <w:rStyle w:val="Hyperlink"/>
            <w:sz w:val="28"/>
            <w:szCs w:val="28"/>
          </w:rPr>
          <w:t>https://doi.org/10.1080/17408989.2020.1752650</w:t>
        </w:r>
      </w:hyperlink>
      <w:r w:rsidRPr="009439CD">
        <w:rPr>
          <w:sz w:val="28"/>
          <w:szCs w:val="28"/>
        </w:rPr>
        <w:t>.</w:t>
      </w:r>
    </w:p>
    <w:p w14:paraId="78FCA1BD" w14:textId="77777777" w:rsidR="009439CD" w:rsidRDefault="009439CD" w:rsidP="009439CD">
      <w:pPr>
        <w:rPr>
          <w:sz w:val="28"/>
          <w:szCs w:val="28"/>
        </w:rPr>
      </w:pPr>
    </w:p>
    <w:p w14:paraId="00D5B789" w14:textId="7761AB7C" w:rsidR="009439CD" w:rsidRPr="009439CD" w:rsidRDefault="009439CD" w:rsidP="009439CD">
      <w:pPr>
        <w:rPr>
          <w:sz w:val="28"/>
          <w:szCs w:val="28"/>
        </w:rPr>
      </w:pPr>
      <w:proofErr w:type="spellStart"/>
      <w:r w:rsidRPr="009439CD">
        <w:rPr>
          <w:sz w:val="28"/>
          <w:szCs w:val="28"/>
        </w:rPr>
        <w:t>Koekoek</w:t>
      </w:r>
      <w:proofErr w:type="spellEnd"/>
      <w:r w:rsidRPr="009439CD">
        <w:rPr>
          <w:sz w:val="28"/>
          <w:szCs w:val="28"/>
        </w:rPr>
        <w:t>, J. and Knoppers, A. (2015) “The role of perceptions of friendships and peers in learning skills in physical education,” Physical education and sport pedagogy, 20(3), pp. 231–249. Available at: </w:t>
      </w:r>
      <w:hyperlink r:id="rId14" w:tgtFrame="_new" w:history="1">
        <w:r w:rsidRPr="009439CD">
          <w:rPr>
            <w:rStyle w:val="Hyperlink"/>
            <w:sz w:val="28"/>
            <w:szCs w:val="28"/>
          </w:rPr>
          <w:t>https://doi.org/10.1080/17408989.2013.837432</w:t>
        </w:r>
      </w:hyperlink>
      <w:r w:rsidRPr="009439CD">
        <w:rPr>
          <w:sz w:val="28"/>
          <w:szCs w:val="28"/>
        </w:rPr>
        <w:t>.</w:t>
      </w:r>
    </w:p>
    <w:p w14:paraId="21EEBB91" w14:textId="77777777" w:rsidR="009439CD" w:rsidRPr="009439CD" w:rsidRDefault="009439CD" w:rsidP="009439CD">
      <w:pPr>
        <w:rPr>
          <w:sz w:val="28"/>
          <w:szCs w:val="28"/>
        </w:rPr>
      </w:pPr>
      <w:r w:rsidRPr="009439CD">
        <w:rPr>
          <w:sz w:val="28"/>
          <w:szCs w:val="28"/>
        </w:rPr>
        <w:t xml:space="preserve">Liu, H., Gregg, M. and Hastie, P. (2025) “Operationalizing Physical Literacy Through Sport Education in Elementary Physical Education,” </w:t>
      </w:r>
      <w:proofErr w:type="spellStart"/>
      <w:r w:rsidRPr="009439CD">
        <w:rPr>
          <w:sz w:val="28"/>
          <w:szCs w:val="28"/>
        </w:rPr>
        <w:t>PHENex</w:t>
      </w:r>
      <w:proofErr w:type="spellEnd"/>
      <w:r w:rsidRPr="009439CD">
        <w:rPr>
          <w:sz w:val="28"/>
          <w:szCs w:val="28"/>
        </w:rPr>
        <w:t xml:space="preserve"> journal, 15(2).</w:t>
      </w:r>
    </w:p>
    <w:p w14:paraId="3673110B" w14:textId="77777777" w:rsidR="009439CD" w:rsidRDefault="009439CD" w:rsidP="009439CD">
      <w:pPr>
        <w:rPr>
          <w:sz w:val="28"/>
          <w:szCs w:val="28"/>
        </w:rPr>
      </w:pPr>
    </w:p>
    <w:p w14:paraId="5E9E7760" w14:textId="57175DB7" w:rsidR="009439CD" w:rsidRPr="009439CD" w:rsidRDefault="009439CD" w:rsidP="009439CD">
      <w:pPr>
        <w:rPr>
          <w:sz w:val="28"/>
          <w:szCs w:val="28"/>
        </w:rPr>
      </w:pPr>
      <w:r w:rsidRPr="009439CD">
        <w:rPr>
          <w:sz w:val="28"/>
          <w:szCs w:val="28"/>
        </w:rPr>
        <w:t>Siedentop, D. (1994) Sport Education: Quality PE Through Positive Sport Experiences.</w:t>
      </w:r>
      <w:r w:rsidRPr="009439CD">
        <w:rPr>
          <w:sz w:val="28"/>
          <w:szCs w:val="28"/>
        </w:rPr>
        <w:br/>
        <w:t>Champaign, IL: Human Kinetics</w:t>
      </w:r>
    </w:p>
    <w:p w14:paraId="3368D099" w14:textId="77777777" w:rsidR="009439CD" w:rsidRDefault="009439CD" w:rsidP="009439CD">
      <w:pPr>
        <w:rPr>
          <w:sz w:val="28"/>
          <w:szCs w:val="28"/>
        </w:rPr>
      </w:pPr>
    </w:p>
    <w:p w14:paraId="00569115" w14:textId="7D2945D4" w:rsidR="009439CD" w:rsidRPr="009439CD" w:rsidRDefault="009439CD" w:rsidP="009439CD">
      <w:pPr>
        <w:rPr>
          <w:sz w:val="28"/>
          <w:szCs w:val="28"/>
        </w:rPr>
      </w:pPr>
      <w:r w:rsidRPr="009439CD">
        <w:rPr>
          <w:sz w:val="28"/>
          <w:szCs w:val="28"/>
        </w:rPr>
        <w:t>Siedentop, D., Hastie, P.A. and Van der Mars, H. (2011) Complete guide to sport education. 2nd ed. Champaign, IL: Human Kinetics</w:t>
      </w:r>
    </w:p>
    <w:p w14:paraId="5E3D9FD3" w14:textId="77777777" w:rsidR="009439CD" w:rsidRDefault="009439CD" w:rsidP="009439CD">
      <w:pPr>
        <w:rPr>
          <w:sz w:val="28"/>
          <w:szCs w:val="28"/>
        </w:rPr>
      </w:pPr>
    </w:p>
    <w:p w14:paraId="14087D6A" w14:textId="0C8B7CC1" w:rsidR="009439CD" w:rsidRPr="009439CD" w:rsidRDefault="009439CD" w:rsidP="009439CD">
      <w:pPr>
        <w:rPr>
          <w:sz w:val="28"/>
          <w:szCs w:val="28"/>
        </w:rPr>
      </w:pPr>
      <w:r w:rsidRPr="009439CD">
        <w:rPr>
          <w:sz w:val="28"/>
          <w:szCs w:val="28"/>
        </w:rPr>
        <w:t xml:space="preserve">Super, S., </w:t>
      </w:r>
      <w:proofErr w:type="spellStart"/>
      <w:r w:rsidRPr="009439CD">
        <w:rPr>
          <w:sz w:val="28"/>
          <w:szCs w:val="28"/>
        </w:rPr>
        <w:t>Verkooijen</w:t>
      </w:r>
      <w:proofErr w:type="spellEnd"/>
      <w:r w:rsidRPr="009439CD">
        <w:rPr>
          <w:sz w:val="28"/>
          <w:szCs w:val="28"/>
        </w:rPr>
        <w:t xml:space="preserve">, K. and </w:t>
      </w:r>
      <w:proofErr w:type="spellStart"/>
      <w:r w:rsidRPr="009439CD">
        <w:rPr>
          <w:sz w:val="28"/>
          <w:szCs w:val="28"/>
        </w:rPr>
        <w:t>Koelen</w:t>
      </w:r>
      <w:proofErr w:type="spellEnd"/>
      <w:r w:rsidRPr="009439CD">
        <w:rPr>
          <w:sz w:val="28"/>
          <w:szCs w:val="28"/>
        </w:rPr>
        <w:t xml:space="preserve">, M. (2018) “The role of community sports coaches in creating optimal social conditions for life skill development and transferability - a </w:t>
      </w:r>
      <w:proofErr w:type="spellStart"/>
      <w:r w:rsidRPr="009439CD">
        <w:rPr>
          <w:sz w:val="28"/>
          <w:szCs w:val="28"/>
        </w:rPr>
        <w:t>salutogenic</w:t>
      </w:r>
      <w:proofErr w:type="spellEnd"/>
      <w:r w:rsidRPr="009439CD">
        <w:rPr>
          <w:sz w:val="28"/>
          <w:szCs w:val="28"/>
        </w:rPr>
        <w:t xml:space="preserve"> perspective,” Sport, education and society, 23(2), pp. 173–185. Available at: </w:t>
      </w:r>
      <w:hyperlink r:id="rId15" w:tgtFrame="_new" w:history="1">
        <w:r w:rsidRPr="009439CD">
          <w:rPr>
            <w:rStyle w:val="Hyperlink"/>
            <w:sz w:val="28"/>
            <w:szCs w:val="28"/>
          </w:rPr>
          <w:t>https://doi.org/10.1080/13573322.2016.1145109</w:t>
        </w:r>
      </w:hyperlink>
    </w:p>
    <w:p w14:paraId="12C0E12F" w14:textId="77777777" w:rsidR="009439CD" w:rsidRDefault="009439CD" w:rsidP="009439CD">
      <w:pPr>
        <w:rPr>
          <w:sz w:val="28"/>
          <w:szCs w:val="28"/>
        </w:rPr>
      </w:pPr>
    </w:p>
    <w:p w14:paraId="24C01A7C" w14:textId="4D92C5F3" w:rsidR="009439CD" w:rsidRPr="009439CD" w:rsidRDefault="009439CD" w:rsidP="009439CD">
      <w:pPr>
        <w:rPr>
          <w:sz w:val="28"/>
          <w:szCs w:val="28"/>
        </w:rPr>
      </w:pPr>
      <w:r w:rsidRPr="009439CD">
        <w:rPr>
          <w:sz w:val="28"/>
          <w:szCs w:val="28"/>
        </w:rPr>
        <w:t>Till, K. et al. (2025) “Challenges and Solutions to Supporting Physical Literacy within Youth Sport: Physical Literacy and Youth Sport,” Sports medicine (Auckland), 55(12), pp. 2953–2965. Available at: </w:t>
      </w:r>
      <w:hyperlink r:id="rId16" w:tgtFrame="_new" w:history="1">
        <w:r w:rsidRPr="009439CD">
          <w:rPr>
            <w:rStyle w:val="Hyperlink"/>
            <w:sz w:val="28"/>
            <w:szCs w:val="28"/>
          </w:rPr>
          <w:t>https://doi.org/10.1007/s40279-025-02313-3</w:t>
        </w:r>
      </w:hyperlink>
      <w:r w:rsidRPr="009439CD">
        <w:rPr>
          <w:sz w:val="28"/>
          <w:szCs w:val="28"/>
        </w:rPr>
        <w:t>.</w:t>
      </w:r>
    </w:p>
    <w:p w14:paraId="25D73ED9" w14:textId="77777777" w:rsidR="009439CD" w:rsidRDefault="009439CD" w:rsidP="009439CD">
      <w:pPr>
        <w:rPr>
          <w:sz w:val="28"/>
          <w:szCs w:val="28"/>
        </w:rPr>
      </w:pPr>
    </w:p>
    <w:p w14:paraId="78C4DA1F" w14:textId="21571BEE" w:rsidR="009439CD" w:rsidRPr="009439CD" w:rsidRDefault="009439CD" w:rsidP="009439CD">
      <w:pPr>
        <w:rPr>
          <w:sz w:val="28"/>
          <w:szCs w:val="28"/>
        </w:rPr>
      </w:pPr>
      <w:r w:rsidRPr="009439CD">
        <w:rPr>
          <w:sz w:val="28"/>
          <w:szCs w:val="28"/>
        </w:rPr>
        <w:t>Warner, M. et al. (2021) “Increasing physical literacy in youth: A two-week Sport for Development program for children aged 6-10,” Prospects (Paris), 50(1–2), pp. 165–182. Available at: </w:t>
      </w:r>
      <w:hyperlink r:id="rId17" w:tgtFrame="_new" w:history="1">
        <w:r w:rsidRPr="009439CD">
          <w:rPr>
            <w:rStyle w:val="Hyperlink"/>
            <w:sz w:val="28"/>
            <w:szCs w:val="28"/>
          </w:rPr>
          <w:t>https://doi.org/10.1007/s11125-020-09519-5</w:t>
        </w:r>
      </w:hyperlink>
      <w:r w:rsidRPr="009439CD">
        <w:rPr>
          <w:sz w:val="28"/>
          <w:szCs w:val="28"/>
        </w:rPr>
        <w:t>.</w:t>
      </w:r>
    </w:p>
    <w:p w14:paraId="2477C1EB" w14:textId="77777777" w:rsidR="009439CD" w:rsidRDefault="009439CD" w:rsidP="009439CD">
      <w:pPr>
        <w:rPr>
          <w:sz w:val="28"/>
          <w:szCs w:val="28"/>
        </w:rPr>
      </w:pPr>
    </w:p>
    <w:p w14:paraId="32F0C9D4" w14:textId="381F511E" w:rsidR="009439CD" w:rsidRPr="009439CD" w:rsidRDefault="009439CD" w:rsidP="009439CD">
      <w:pPr>
        <w:rPr>
          <w:sz w:val="28"/>
          <w:szCs w:val="28"/>
        </w:rPr>
      </w:pPr>
      <w:r w:rsidRPr="009439CD">
        <w:rPr>
          <w:sz w:val="28"/>
          <w:szCs w:val="28"/>
        </w:rPr>
        <w:t>Whitehead, M. (2001) “The Concept of Physical Literacy,” European journal of physical education, 6(2), pp. 127–138. Available at: </w:t>
      </w:r>
      <w:hyperlink r:id="rId18" w:tgtFrame="_new" w:history="1">
        <w:r w:rsidRPr="009439CD">
          <w:rPr>
            <w:rStyle w:val="Hyperlink"/>
            <w:sz w:val="28"/>
            <w:szCs w:val="28"/>
          </w:rPr>
          <w:t>https://doi.org/10.1080/1740898010060205</w:t>
        </w:r>
      </w:hyperlink>
      <w:r w:rsidRPr="009439CD">
        <w:rPr>
          <w:sz w:val="28"/>
          <w:szCs w:val="28"/>
        </w:rPr>
        <w:t>.</w:t>
      </w:r>
    </w:p>
    <w:p w14:paraId="158C0819" w14:textId="77777777" w:rsidR="009439CD" w:rsidRDefault="009439CD" w:rsidP="009439CD">
      <w:pPr>
        <w:rPr>
          <w:sz w:val="28"/>
          <w:szCs w:val="28"/>
        </w:rPr>
      </w:pPr>
    </w:p>
    <w:p w14:paraId="5A7B9983" w14:textId="6AFD6156" w:rsidR="009439CD" w:rsidRPr="009439CD" w:rsidRDefault="009439CD" w:rsidP="009439CD">
      <w:pPr>
        <w:rPr>
          <w:sz w:val="28"/>
          <w:szCs w:val="28"/>
        </w:rPr>
      </w:pPr>
      <w:r w:rsidRPr="009439CD">
        <w:rPr>
          <w:sz w:val="28"/>
          <w:szCs w:val="28"/>
        </w:rPr>
        <w:lastRenderedPageBreak/>
        <w:t xml:space="preserve">Zhang, J. et al. (2024) “Optimizing learning outcomes in physical education: A comprehensive systematic review of hybrid pedagogical models integrated with the Sport Education Model,” </w:t>
      </w:r>
      <w:proofErr w:type="spellStart"/>
      <w:r w:rsidRPr="009439CD">
        <w:rPr>
          <w:sz w:val="28"/>
          <w:szCs w:val="28"/>
        </w:rPr>
        <w:t>PloS</w:t>
      </w:r>
      <w:proofErr w:type="spellEnd"/>
      <w:r w:rsidRPr="009439CD">
        <w:rPr>
          <w:sz w:val="28"/>
          <w:szCs w:val="28"/>
        </w:rPr>
        <w:t xml:space="preserve"> one, 19(12), p. e0311957. Available at: </w:t>
      </w:r>
      <w:hyperlink r:id="rId19" w:tgtFrame="_new" w:history="1">
        <w:r w:rsidRPr="009439CD">
          <w:rPr>
            <w:rStyle w:val="Hyperlink"/>
            <w:sz w:val="28"/>
            <w:szCs w:val="28"/>
          </w:rPr>
          <w:t>https://doi.org/10.1371/journal.pone.0311957</w:t>
        </w:r>
      </w:hyperlink>
      <w:r w:rsidRPr="009439CD">
        <w:rPr>
          <w:sz w:val="28"/>
          <w:szCs w:val="28"/>
        </w:rPr>
        <w:t>.</w:t>
      </w:r>
    </w:p>
    <w:p w14:paraId="080D8AD2" w14:textId="77777777" w:rsidR="009439CD" w:rsidRDefault="009439CD" w:rsidP="009439CD">
      <w:pPr>
        <w:rPr>
          <w:sz w:val="28"/>
          <w:szCs w:val="28"/>
        </w:rPr>
      </w:pPr>
    </w:p>
    <w:p w14:paraId="442A3F9A" w14:textId="77777777" w:rsidR="009439CD" w:rsidRDefault="009439CD" w:rsidP="009439CD">
      <w:pPr>
        <w:rPr>
          <w:sz w:val="28"/>
          <w:szCs w:val="28"/>
        </w:rPr>
      </w:pPr>
    </w:p>
    <w:p w14:paraId="5F5B2FB3" w14:textId="77777777" w:rsidR="009439CD" w:rsidRDefault="009439CD" w:rsidP="009439CD">
      <w:pPr>
        <w:rPr>
          <w:sz w:val="28"/>
          <w:szCs w:val="28"/>
        </w:rPr>
      </w:pPr>
    </w:p>
    <w:p w14:paraId="00CC5BF6" w14:textId="77777777" w:rsidR="009439CD" w:rsidRDefault="009439CD" w:rsidP="009439CD">
      <w:pPr>
        <w:rPr>
          <w:sz w:val="28"/>
          <w:szCs w:val="28"/>
        </w:rPr>
      </w:pPr>
    </w:p>
    <w:p w14:paraId="2A683C41" w14:textId="77777777" w:rsidR="009439CD" w:rsidRDefault="009439CD" w:rsidP="009439CD">
      <w:pPr>
        <w:rPr>
          <w:sz w:val="28"/>
          <w:szCs w:val="28"/>
        </w:rPr>
      </w:pPr>
    </w:p>
    <w:p w14:paraId="5051F91B" w14:textId="77777777" w:rsidR="009439CD" w:rsidRDefault="009439CD" w:rsidP="009439CD">
      <w:pPr>
        <w:rPr>
          <w:sz w:val="28"/>
          <w:szCs w:val="28"/>
        </w:rPr>
      </w:pPr>
    </w:p>
    <w:p w14:paraId="44324F63" w14:textId="77777777" w:rsidR="009439CD" w:rsidRDefault="009439CD" w:rsidP="009439CD">
      <w:pPr>
        <w:rPr>
          <w:sz w:val="28"/>
          <w:szCs w:val="28"/>
        </w:rPr>
      </w:pPr>
    </w:p>
    <w:p w14:paraId="7BAB4EB0" w14:textId="77777777" w:rsidR="009439CD" w:rsidRDefault="009439CD" w:rsidP="009439CD">
      <w:pPr>
        <w:rPr>
          <w:sz w:val="28"/>
          <w:szCs w:val="28"/>
        </w:rPr>
      </w:pPr>
    </w:p>
    <w:p w14:paraId="15D2E7F3" w14:textId="77777777" w:rsidR="009439CD" w:rsidRDefault="009439CD" w:rsidP="009439CD">
      <w:pPr>
        <w:rPr>
          <w:sz w:val="28"/>
          <w:szCs w:val="28"/>
        </w:rPr>
      </w:pPr>
    </w:p>
    <w:p w14:paraId="1261B150" w14:textId="77777777" w:rsidR="009439CD" w:rsidRDefault="009439CD" w:rsidP="009439CD">
      <w:pPr>
        <w:rPr>
          <w:sz w:val="28"/>
          <w:szCs w:val="28"/>
        </w:rPr>
      </w:pPr>
    </w:p>
    <w:p w14:paraId="7A9259D5" w14:textId="77777777" w:rsidR="009439CD" w:rsidRDefault="009439CD" w:rsidP="009439CD">
      <w:pPr>
        <w:rPr>
          <w:sz w:val="28"/>
          <w:szCs w:val="28"/>
        </w:rPr>
      </w:pPr>
    </w:p>
    <w:p w14:paraId="0B174B2A" w14:textId="77777777" w:rsidR="009439CD" w:rsidRDefault="009439CD" w:rsidP="009439CD">
      <w:pPr>
        <w:rPr>
          <w:sz w:val="28"/>
          <w:szCs w:val="28"/>
        </w:rPr>
      </w:pPr>
    </w:p>
    <w:p w14:paraId="56EE7DC2" w14:textId="77777777" w:rsidR="009439CD" w:rsidRDefault="009439CD" w:rsidP="009439CD">
      <w:pPr>
        <w:rPr>
          <w:sz w:val="28"/>
          <w:szCs w:val="28"/>
        </w:rPr>
      </w:pPr>
    </w:p>
    <w:p w14:paraId="327378AC" w14:textId="77777777" w:rsidR="009439CD" w:rsidRDefault="009439CD" w:rsidP="009439CD">
      <w:pPr>
        <w:rPr>
          <w:sz w:val="28"/>
          <w:szCs w:val="28"/>
        </w:rPr>
      </w:pPr>
    </w:p>
    <w:p w14:paraId="708261E5" w14:textId="77777777" w:rsidR="009439CD" w:rsidRDefault="009439CD" w:rsidP="009439CD">
      <w:pPr>
        <w:rPr>
          <w:sz w:val="28"/>
          <w:szCs w:val="28"/>
        </w:rPr>
      </w:pPr>
    </w:p>
    <w:p w14:paraId="35B0FC2D" w14:textId="77777777" w:rsidR="009439CD" w:rsidRDefault="009439CD" w:rsidP="009439CD">
      <w:pPr>
        <w:rPr>
          <w:sz w:val="28"/>
          <w:szCs w:val="28"/>
        </w:rPr>
      </w:pPr>
    </w:p>
    <w:p w14:paraId="68EA899A" w14:textId="77777777" w:rsidR="009439CD" w:rsidRDefault="009439CD" w:rsidP="009439CD">
      <w:pPr>
        <w:rPr>
          <w:sz w:val="28"/>
          <w:szCs w:val="28"/>
        </w:rPr>
      </w:pPr>
    </w:p>
    <w:p w14:paraId="6F337D5C" w14:textId="77777777" w:rsidR="009439CD" w:rsidRDefault="009439CD" w:rsidP="009439CD">
      <w:pPr>
        <w:rPr>
          <w:sz w:val="28"/>
          <w:szCs w:val="28"/>
        </w:rPr>
      </w:pPr>
    </w:p>
    <w:p w14:paraId="72B3B7A0" w14:textId="77777777" w:rsidR="009439CD" w:rsidRDefault="009439CD" w:rsidP="009439CD">
      <w:pPr>
        <w:rPr>
          <w:sz w:val="28"/>
          <w:szCs w:val="28"/>
        </w:rPr>
      </w:pPr>
    </w:p>
    <w:p w14:paraId="60E560D4" w14:textId="77777777" w:rsidR="009439CD" w:rsidRDefault="009439CD" w:rsidP="009439CD">
      <w:pPr>
        <w:rPr>
          <w:sz w:val="28"/>
          <w:szCs w:val="28"/>
        </w:rPr>
      </w:pPr>
    </w:p>
    <w:p w14:paraId="36671F67" w14:textId="77777777" w:rsidR="009439CD" w:rsidRPr="00F926A1" w:rsidRDefault="009439CD" w:rsidP="009439CD">
      <w:pPr>
        <w:rPr>
          <w:sz w:val="28"/>
          <w:szCs w:val="28"/>
        </w:rPr>
      </w:pPr>
    </w:p>
    <w:p w14:paraId="178A451E" w14:textId="77777777" w:rsidR="009439CD" w:rsidRDefault="009439CD">
      <w:pPr>
        <w:rPr>
          <w:sz w:val="28"/>
          <w:szCs w:val="28"/>
        </w:rPr>
      </w:pPr>
    </w:p>
    <w:p w14:paraId="52D066A0" w14:textId="77777777" w:rsidR="009439CD" w:rsidRPr="009439CD" w:rsidRDefault="009439CD">
      <w:pPr>
        <w:rPr>
          <w:sz w:val="28"/>
          <w:szCs w:val="28"/>
        </w:rPr>
      </w:pPr>
    </w:p>
    <w:p w14:paraId="5D129117" w14:textId="77777777" w:rsidR="009439CD" w:rsidRPr="009439CD" w:rsidRDefault="009439CD">
      <w:pPr>
        <w:rPr>
          <w:b/>
          <w:bCs/>
          <w:sz w:val="28"/>
          <w:szCs w:val="28"/>
          <w:u w:val="single"/>
        </w:rPr>
      </w:pPr>
    </w:p>
    <w:sectPr w:rsidR="009439CD" w:rsidRPr="009439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C7BA1A" w14:textId="77777777" w:rsidR="006A2D82" w:rsidRDefault="006A2D82" w:rsidP="009439CD">
      <w:r>
        <w:separator/>
      </w:r>
    </w:p>
  </w:endnote>
  <w:endnote w:type="continuationSeparator" w:id="0">
    <w:p w14:paraId="02AD0F11" w14:textId="77777777" w:rsidR="006A2D82" w:rsidRDefault="006A2D82" w:rsidP="009439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A65A36" w14:textId="77777777" w:rsidR="006A2D82" w:rsidRDefault="006A2D82" w:rsidP="009439CD">
      <w:r>
        <w:separator/>
      </w:r>
    </w:p>
  </w:footnote>
  <w:footnote w:type="continuationSeparator" w:id="0">
    <w:p w14:paraId="14300C77" w14:textId="77777777" w:rsidR="006A2D82" w:rsidRDefault="006A2D82" w:rsidP="009439C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9CD"/>
    <w:rsid w:val="001158A3"/>
    <w:rsid w:val="003C37DF"/>
    <w:rsid w:val="006A2D82"/>
    <w:rsid w:val="0086684E"/>
    <w:rsid w:val="008A5C67"/>
    <w:rsid w:val="009439CD"/>
    <w:rsid w:val="00B95015"/>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97522D"/>
  <w15:chartTrackingRefBased/>
  <w15:docId w15:val="{7D8C08B5-8EC4-E040-8949-C0ADCE82F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9C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439C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439C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439C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39C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39C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9C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9C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9C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9C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439C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439C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439C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439C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439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9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9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9CD"/>
    <w:rPr>
      <w:rFonts w:eastAsiaTheme="majorEastAsia" w:cstheme="majorBidi"/>
      <w:color w:val="272727" w:themeColor="text1" w:themeTint="D8"/>
    </w:rPr>
  </w:style>
  <w:style w:type="paragraph" w:styleId="Title">
    <w:name w:val="Title"/>
    <w:basedOn w:val="Normal"/>
    <w:next w:val="Normal"/>
    <w:link w:val="TitleChar"/>
    <w:uiPriority w:val="10"/>
    <w:qFormat/>
    <w:rsid w:val="009439C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9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9C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9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9C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439CD"/>
    <w:rPr>
      <w:i/>
      <w:iCs/>
      <w:color w:val="404040" w:themeColor="text1" w:themeTint="BF"/>
    </w:rPr>
  </w:style>
  <w:style w:type="paragraph" w:styleId="ListParagraph">
    <w:name w:val="List Paragraph"/>
    <w:basedOn w:val="Normal"/>
    <w:uiPriority w:val="34"/>
    <w:qFormat/>
    <w:rsid w:val="009439CD"/>
    <w:pPr>
      <w:ind w:left="720"/>
      <w:contextualSpacing/>
    </w:pPr>
  </w:style>
  <w:style w:type="character" w:styleId="IntenseEmphasis">
    <w:name w:val="Intense Emphasis"/>
    <w:basedOn w:val="DefaultParagraphFont"/>
    <w:uiPriority w:val="21"/>
    <w:qFormat/>
    <w:rsid w:val="009439CD"/>
    <w:rPr>
      <w:i/>
      <w:iCs/>
      <w:color w:val="2F5496" w:themeColor="accent1" w:themeShade="BF"/>
    </w:rPr>
  </w:style>
  <w:style w:type="paragraph" w:styleId="IntenseQuote">
    <w:name w:val="Intense Quote"/>
    <w:basedOn w:val="Normal"/>
    <w:next w:val="Normal"/>
    <w:link w:val="IntenseQuoteChar"/>
    <w:uiPriority w:val="30"/>
    <w:qFormat/>
    <w:rsid w:val="009439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39CD"/>
    <w:rPr>
      <w:i/>
      <w:iCs/>
      <w:color w:val="2F5496" w:themeColor="accent1" w:themeShade="BF"/>
    </w:rPr>
  </w:style>
  <w:style w:type="character" w:styleId="IntenseReference">
    <w:name w:val="Intense Reference"/>
    <w:basedOn w:val="DefaultParagraphFont"/>
    <w:uiPriority w:val="32"/>
    <w:qFormat/>
    <w:rsid w:val="009439CD"/>
    <w:rPr>
      <w:b/>
      <w:bCs/>
      <w:smallCaps/>
      <w:color w:val="2F5496" w:themeColor="accent1" w:themeShade="BF"/>
      <w:spacing w:val="5"/>
    </w:rPr>
  </w:style>
  <w:style w:type="paragraph" w:styleId="Header">
    <w:name w:val="header"/>
    <w:basedOn w:val="Normal"/>
    <w:link w:val="HeaderChar"/>
    <w:uiPriority w:val="99"/>
    <w:unhideWhenUsed/>
    <w:rsid w:val="009439CD"/>
    <w:pPr>
      <w:tabs>
        <w:tab w:val="center" w:pos="4513"/>
        <w:tab w:val="right" w:pos="9026"/>
      </w:tabs>
    </w:pPr>
  </w:style>
  <w:style w:type="character" w:customStyle="1" w:styleId="HeaderChar">
    <w:name w:val="Header Char"/>
    <w:basedOn w:val="DefaultParagraphFont"/>
    <w:link w:val="Header"/>
    <w:uiPriority w:val="99"/>
    <w:rsid w:val="009439CD"/>
  </w:style>
  <w:style w:type="paragraph" w:styleId="Footer">
    <w:name w:val="footer"/>
    <w:basedOn w:val="Normal"/>
    <w:link w:val="FooterChar"/>
    <w:uiPriority w:val="99"/>
    <w:unhideWhenUsed/>
    <w:rsid w:val="009439CD"/>
    <w:pPr>
      <w:tabs>
        <w:tab w:val="center" w:pos="4513"/>
        <w:tab w:val="right" w:pos="9026"/>
      </w:tabs>
    </w:pPr>
  </w:style>
  <w:style w:type="character" w:customStyle="1" w:styleId="FooterChar">
    <w:name w:val="Footer Char"/>
    <w:basedOn w:val="DefaultParagraphFont"/>
    <w:link w:val="Footer"/>
    <w:uiPriority w:val="99"/>
    <w:rsid w:val="009439CD"/>
  </w:style>
  <w:style w:type="character" w:styleId="Hyperlink">
    <w:name w:val="Hyperlink"/>
    <w:basedOn w:val="DefaultParagraphFont"/>
    <w:uiPriority w:val="99"/>
    <w:unhideWhenUsed/>
    <w:rsid w:val="009439CD"/>
    <w:rPr>
      <w:color w:val="0563C1" w:themeColor="hyperlink"/>
      <w:u w:val="single"/>
    </w:rPr>
  </w:style>
  <w:style w:type="character" w:styleId="UnresolvedMention">
    <w:name w:val="Unresolved Mention"/>
    <w:basedOn w:val="DefaultParagraphFont"/>
    <w:uiPriority w:val="99"/>
    <w:semiHidden/>
    <w:unhideWhenUsed/>
    <w:rsid w:val="009439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493307">
      <w:bodyDiv w:val="1"/>
      <w:marLeft w:val="0"/>
      <w:marRight w:val="0"/>
      <w:marTop w:val="0"/>
      <w:marBottom w:val="0"/>
      <w:divBdr>
        <w:top w:val="none" w:sz="0" w:space="0" w:color="auto"/>
        <w:left w:val="none" w:sz="0" w:space="0" w:color="auto"/>
        <w:bottom w:val="none" w:sz="0" w:space="0" w:color="auto"/>
        <w:right w:val="none" w:sz="0" w:space="0" w:color="auto"/>
      </w:divBdr>
    </w:div>
    <w:div w:id="1608342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1520701809817" TargetMode="External"/><Relationship Id="rId13" Type="http://schemas.openxmlformats.org/officeDocument/2006/relationships/hyperlink" Target="https://doi.org/10.1080/17408989.2020.1752650" TargetMode="External"/><Relationship Id="rId18" Type="http://schemas.openxmlformats.org/officeDocument/2006/relationships/hyperlink" Target="https://doi.org/10.1080/1740898010060205"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111/j.1746-1561.2006.00132.x" TargetMode="External"/><Relationship Id="rId12" Type="http://schemas.openxmlformats.org/officeDocument/2006/relationships/hyperlink" Target="https://doi.org/10.1123/jtpe.2019-0097" TargetMode="External"/><Relationship Id="rId17" Type="http://schemas.openxmlformats.org/officeDocument/2006/relationships/hyperlink" Target="https://doi.org/10.1007/s11125-020-09519-5" TargetMode="External"/><Relationship Id="rId2" Type="http://schemas.openxmlformats.org/officeDocument/2006/relationships/settings" Target="settings.xml"/><Relationship Id="rId16" Type="http://schemas.openxmlformats.org/officeDocument/2006/relationships/hyperlink" Target="https://doi.org/10.1007/s40279-025-02313-3"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11/j.1746-1561.2006.00132.x" TargetMode="External"/><Relationship Id="rId11" Type="http://schemas.openxmlformats.org/officeDocument/2006/relationships/hyperlink" Target="https://doi.org/10.47197/retos.v43i0.85928" TargetMode="External"/><Relationship Id="rId5" Type="http://schemas.openxmlformats.org/officeDocument/2006/relationships/endnotes" Target="endnotes.xml"/><Relationship Id="rId15" Type="http://schemas.openxmlformats.org/officeDocument/2006/relationships/hyperlink" Target="https://doi.org/10.1080/13573322.2016.1145109" TargetMode="External"/><Relationship Id="rId10" Type="http://schemas.openxmlformats.org/officeDocument/2006/relationships/hyperlink" Target="https://doi.org/10.1177/1356336X20950174" TargetMode="External"/><Relationship Id="rId19" Type="http://schemas.openxmlformats.org/officeDocument/2006/relationships/hyperlink" Target="https://doi.org/10.1371/journal.pone.0311957" TargetMode="External"/><Relationship Id="rId4" Type="http://schemas.openxmlformats.org/officeDocument/2006/relationships/footnotes" Target="footnotes.xml"/><Relationship Id="rId9" Type="http://schemas.openxmlformats.org/officeDocument/2006/relationships/hyperlink" Target="https://doi.org/10.7752/jpes.2024.06171" TargetMode="External"/><Relationship Id="rId14" Type="http://schemas.openxmlformats.org/officeDocument/2006/relationships/hyperlink" Target="https://doi.org/10.1080/17408989.2013.8374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207</TotalTime>
  <Pages>7</Pages>
  <Words>2247</Words>
  <Characters>12813</Characters>
  <Application>Microsoft Office Word</Application>
  <DocSecurity>0</DocSecurity>
  <Lines>106</Lines>
  <Paragraphs>30</Paragraphs>
  <ScaleCrop>false</ScaleCrop>
  <Company/>
  <LinksUpToDate>false</LinksUpToDate>
  <CharactersWithSpaces>15030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1</cp:revision>
  <dcterms:created xsi:type="dcterms:W3CDTF">2026-02-16T14:56:00Z</dcterms:created>
  <dcterms:modified xsi:type="dcterms:W3CDTF">2026-02-20T12:33:00Z</dcterms:modified>
</cp:coreProperties>
</file>