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9947E2" w14:textId="77777777" w:rsidR="00967495" w:rsidRDefault="00967495">
      <w:pPr>
        <w:pStyle w:val="BodyText"/>
        <w:rPr>
          <w:sz w:val="32"/>
        </w:rPr>
      </w:pPr>
    </w:p>
    <w:p w14:paraId="0C6784BE" w14:textId="77777777" w:rsidR="00967495" w:rsidRDefault="00967495">
      <w:pPr>
        <w:pStyle w:val="BodyText"/>
        <w:rPr>
          <w:sz w:val="32"/>
        </w:rPr>
      </w:pPr>
    </w:p>
    <w:p w14:paraId="7A5C261E" w14:textId="77777777" w:rsidR="00967495" w:rsidRDefault="00967495">
      <w:pPr>
        <w:pStyle w:val="BodyText"/>
        <w:rPr>
          <w:sz w:val="32"/>
        </w:rPr>
      </w:pPr>
    </w:p>
    <w:p w14:paraId="3C2F3679" w14:textId="77777777" w:rsidR="00967495" w:rsidRDefault="00967495">
      <w:pPr>
        <w:pStyle w:val="BodyText"/>
        <w:rPr>
          <w:sz w:val="32"/>
        </w:rPr>
      </w:pPr>
    </w:p>
    <w:p w14:paraId="7A49973F" w14:textId="77777777" w:rsidR="00967495" w:rsidRDefault="00967495">
      <w:pPr>
        <w:pStyle w:val="BodyText"/>
        <w:rPr>
          <w:sz w:val="32"/>
        </w:rPr>
      </w:pPr>
    </w:p>
    <w:p w14:paraId="743C3D2D" w14:textId="77777777" w:rsidR="00967495" w:rsidRDefault="00967495">
      <w:pPr>
        <w:pStyle w:val="BodyText"/>
        <w:rPr>
          <w:sz w:val="32"/>
        </w:rPr>
      </w:pPr>
    </w:p>
    <w:p w14:paraId="4603D9C3" w14:textId="77777777" w:rsidR="00967495" w:rsidRDefault="00967495">
      <w:pPr>
        <w:pStyle w:val="BodyText"/>
        <w:rPr>
          <w:sz w:val="32"/>
        </w:rPr>
      </w:pPr>
    </w:p>
    <w:p w14:paraId="1CC5F5C5" w14:textId="77777777" w:rsidR="00967495" w:rsidRDefault="00967495">
      <w:pPr>
        <w:pStyle w:val="BodyText"/>
        <w:rPr>
          <w:sz w:val="32"/>
        </w:rPr>
      </w:pPr>
    </w:p>
    <w:p w14:paraId="71723791" w14:textId="77777777" w:rsidR="00967495" w:rsidRPr="00BD3376" w:rsidRDefault="00967495" w:rsidP="00BD3376">
      <w:pPr>
        <w:pStyle w:val="BodyText"/>
        <w:spacing w:before="326"/>
        <w:jc w:val="center"/>
        <w:rPr>
          <w:sz w:val="36"/>
          <w:szCs w:val="28"/>
        </w:rPr>
      </w:pPr>
    </w:p>
    <w:p w14:paraId="025165C3" w14:textId="66580928" w:rsidR="00BD3376" w:rsidRPr="00BD3376" w:rsidRDefault="00000000" w:rsidP="00BD3376">
      <w:pPr>
        <w:pStyle w:val="Title"/>
        <w:spacing w:line="463" w:lineRule="auto"/>
        <w:ind w:left="0" w:right="412" w:firstLine="0"/>
        <w:jc w:val="center"/>
        <w:rPr>
          <w:spacing w:val="-11"/>
          <w:sz w:val="36"/>
          <w:szCs w:val="36"/>
        </w:rPr>
      </w:pPr>
      <w:r w:rsidRPr="00BD3376">
        <w:rPr>
          <w:sz w:val="36"/>
          <w:szCs w:val="36"/>
        </w:rPr>
        <w:t>Students</w:t>
      </w:r>
      <w:r w:rsidRPr="00BD3376">
        <w:rPr>
          <w:spacing w:val="-11"/>
          <w:sz w:val="36"/>
          <w:szCs w:val="36"/>
        </w:rPr>
        <w:t xml:space="preserve"> </w:t>
      </w:r>
      <w:r w:rsidRPr="00BD3376">
        <w:rPr>
          <w:sz w:val="36"/>
          <w:szCs w:val="36"/>
        </w:rPr>
        <w:t>Name:</w:t>
      </w:r>
      <w:r w:rsidRPr="00BD3376">
        <w:rPr>
          <w:spacing w:val="-13"/>
          <w:sz w:val="36"/>
          <w:szCs w:val="36"/>
        </w:rPr>
        <w:t xml:space="preserve"> </w:t>
      </w:r>
      <w:r w:rsidRPr="00BD3376">
        <w:rPr>
          <w:sz w:val="36"/>
          <w:szCs w:val="36"/>
        </w:rPr>
        <w:t>Rizwana</w:t>
      </w:r>
      <w:r w:rsidRPr="00BD3376">
        <w:rPr>
          <w:spacing w:val="-10"/>
          <w:sz w:val="36"/>
          <w:szCs w:val="36"/>
        </w:rPr>
        <w:t xml:space="preserve"> </w:t>
      </w:r>
      <w:r w:rsidRPr="00BD3376">
        <w:rPr>
          <w:sz w:val="36"/>
          <w:szCs w:val="36"/>
        </w:rPr>
        <w:t>Begum</w:t>
      </w:r>
    </w:p>
    <w:p w14:paraId="10B94FEE" w14:textId="77777777" w:rsidR="00BD3376" w:rsidRPr="00BD3376" w:rsidRDefault="00000000" w:rsidP="00BD3376">
      <w:pPr>
        <w:pStyle w:val="Title"/>
        <w:spacing w:line="463" w:lineRule="auto"/>
        <w:ind w:left="0" w:right="412" w:firstLine="0"/>
        <w:jc w:val="center"/>
        <w:rPr>
          <w:spacing w:val="-11"/>
          <w:sz w:val="36"/>
          <w:szCs w:val="36"/>
        </w:rPr>
      </w:pPr>
      <w:r w:rsidRPr="00BD3376">
        <w:rPr>
          <w:sz w:val="36"/>
          <w:szCs w:val="36"/>
        </w:rPr>
        <w:t>Student Number: 2212659</w:t>
      </w:r>
    </w:p>
    <w:p w14:paraId="23169BA5" w14:textId="77777777" w:rsidR="00BD3376" w:rsidRPr="00BD3376" w:rsidRDefault="00000000" w:rsidP="00BD3376">
      <w:pPr>
        <w:pStyle w:val="Title"/>
        <w:spacing w:line="463" w:lineRule="auto"/>
        <w:ind w:left="0" w:right="412" w:firstLine="0"/>
        <w:jc w:val="center"/>
        <w:rPr>
          <w:sz w:val="36"/>
          <w:szCs w:val="36"/>
        </w:rPr>
      </w:pPr>
      <w:r w:rsidRPr="00BD3376">
        <w:rPr>
          <w:sz w:val="36"/>
          <w:szCs w:val="36"/>
        </w:rPr>
        <w:t>Module</w:t>
      </w:r>
      <w:r w:rsidRPr="00BD3376">
        <w:rPr>
          <w:spacing w:val="-3"/>
          <w:sz w:val="36"/>
          <w:szCs w:val="36"/>
        </w:rPr>
        <w:t xml:space="preserve"> </w:t>
      </w:r>
      <w:r w:rsidRPr="00BD3376">
        <w:rPr>
          <w:sz w:val="36"/>
          <w:szCs w:val="36"/>
        </w:rPr>
        <w:t>code:</w:t>
      </w:r>
      <w:r w:rsidRPr="00BD3376">
        <w:rPr>
          <w:spacing w:val="-7"/>
          <w:sz w:val="36"/>
          <w:szCs w:val="36"/>
        </w:rPr>
        <w:t xml:space="preserve"> </w:t>
      </w:r>
      <w:r w:rsidRPr="00BD3376">
        <w:rPr>
          <w:sz w:val="36"/>
          <w:szCs w:val="36"/>
        </w:rPr>
        <w:t>BMBMHP6027</w:t>
      </w:r>
    </w:p>
    <w:p w14:paraId="38FE7EFF" w14:textId="7FF6332F" w:rsidR="00967495" w:rsidRPr="00BD3376" w:rsidRDefault="00BD3376" w:rsidP="00BD3376">
      <w:pPr>
        <w:pStyle w:val="Title"/>
        <w:spacing w:line="463" w:lineRule="auto"/>
        <w:ind w:left="0" w:right="412" w:firstLine="0"/>
        <w:jc w:val="center"/>
        <w:rPr>
          <w:rFonts w:ascii="Arial"/>
          <w:sz w:val="36"/>
          <w:szCs w:val="36"/>
        </w:rPr>
        <w:sectPr w:rsidR="00967495" w:rsidRPr="00BD3376">
          <w:type w:val="continuous"/>
          <w:pgSz w:w="12240" w:h="15840"/>
          <w:pgMar w:top="1820" w:right="1080" w:bottom="280" w:left="1440" w:header="720" w:footer="720" w:gutter="0"/>
          <w:pgBorders w:offsetFrom="page">
            <w:top w:val="single" w:sz="4" w:space="24" w:color="000000"/>
            <w:left w:val="single" w:sz="4" w:space="24" w:color="000000"/>
            <w:bottom w:val="single" w:sz="4" w:space="24" w:color="000000"/>
            <w:right w:val="single" w:sz="4" w:space="24" w:color="000000"/>
          </w:pgBorders>
          <w:cols w:space="720"/>
        </w:sectPr>
      </w:pPr>
      <w:r w:rsidRPr="00BD3376">
        <w:rPr>
          <w:sz w:val="36"/>
          <w:szCs w:val="36"/>
        </w:rPr>
        <w:t>Lecturer:</w:t>
      </w:r>
      <w:r w:rsidR="00000000" w:rsidRPr="00BD3376">
        <w:rPr>
          <w:spacing w:val="-3"/>
          <w:sz w:val="36"/>
          <w:szCs w:val="36"/>
        </w:rPr>
        <w:t xml:space="preserve"> </w:t>
      </w:r>
      <w:r w:rsidRPr="00BD3376">
        <w:rPr>
          <w:sz w:val="36"/>
          <w:szCs w:val="36"/>
        </w:rPr>
        <w:t xml:space="preserve">Parese </w:t>
      </w:r>
      <w:r w:rsidRPr="00BD3376">
        <w:rPr>
          <w:spacing w:val="-10"/>
          <w:sz w:val="36"/>
          <w:szCs w:val="36"/>
        </w:rPr>
        <w:t>Ahmed</w:t>
      </w:r>
    </w:p>
    <w:p w14:paraId="165AC565" w14:textId="77777777" w:rsidR="00967495" w:rsidRDefault="00967495">
      <w:pPr>
        <w:pStyle w:val="BodyText"/>
        <w:rPr>
          <w:rFonts w:ascii="Arial"/>
          <w:b/>
        </w:rPr>
      </w:pPr>
    </w:p>
    <w:p w14:paraId="3353757B" w14:textId="77777777" w:rsidR="00967495" w:rsidRDefault="00967495">
      <w:pPr>
        <w:pStyle w:val="BodyText"/>
        <w:rPr>
          <w:rFonts w:ascii="Arial"/>
          <w:b/>
        </w:rPr>
      </w:pPr>
    </w:p>
    <w:p w14:paraId="23CEB598" w14:textId="77777777" w:rsidR="00967495" w:rsidRDefault="00967495">
      <w:pPr>
        <w:pStyle w:val="BodyText"/>
        <w:rPr>
          <w:rFonts w:ascii="Arial"/>
          <w:b/>
        </w:rPr>
      </w:pPr>
    </w:p>
    <w:p w14:paraId="4C194DC0" w14:textId="77777777" w:rsidR="00967495" w:rsidRDefault="00967495">
      <w:pPr>
        <w:pStyle w:val="BodyText"/>
        <w:rPr>
          <w:rFonts w:ascii="Arial"/>
          <w:b/>
        </w:rPr>
      </w:pPr>
    </w:p>
    <w:p w14:paraId="01C8AE2C" w14:textId="77777777" w:rsidR="00967495" w:rsidRDefault="00967495">
      <w:pPr>
        <w:pStyle w:val="BodyText"/>
        <w:rPr>
          <w:rFonts w:ascii="Arial"/>
          <w:b/>
        </w:rPr>
      </w:pPr>
    </w:p>
    <w:p w14:paraId="0ACE8549" w14:textId="77777777" w:rsidR="00967495" w:rsidRDefault="00967495">
      <w:pPr>
        <w:pStyle w:val="BodyText"/>
        <w:rPr>
          <w:rFonts w:ascii="Arial"/>
          <w:b/>
        </w:rPr>
      </w:pPr>
    </w:p>
    <w:p w14:paraId="2FDBF6F2" w14:textId="77777777" w:rsidR="00967495" w:rsidRDefault="00967495">
      <w:pPr>
        <w:pStyle w:val="BodyText"/>
        <w:rPr>
          <w:rFonts w:ascii="Arial"/>
          <w:b/>
        </w:rPr>
      </w:pPr>
    </w:p>
    <w:p w14:paraId="249D7FF1" w14:textId="77777777" w:rsidR="00967495" w:rsidRDefault="00967495">
      <w:pPr>
        <w:pStyle w:val="BodyText"/>
        <w:rPr>
          <w:rFonts w:ascii="Arial"/>
          <w:b/>
        </w:rPr>
      </w:pPr>
    </w:p>
    <w:p w14:paraId="49420991" w14:textId="77777777" w:rsidR="00967495" w:rsidRDefault="00967495">
      <w:pPr>
        <w:pStyle w:val="BodyText"/>
        <w:rPr>
          <w:rFonts w:ascii="Arial"/>
          <w:b/>
        </w:rPr>
      </w:pPr>
    </w:p>
    <w:p w14:paraId="0575ED0A" w14:textId="77777777" w:rsidR="00967495" w:rsidRDefault="00967495">
      <w:pPr>
        <w:pStyle w:val="BodyText"/>
        <w:rPr>
          <w:rFonts w:ascii="Arial"/>
          <w:b/>
        </w:rPr>
      </w:pPr>
    </w:p>
    <w:p w14:paraId="18133CE7" w14:textId="77777777" w:rsidR="00967495" w:rsidRDefault="00967495">
      <w:pPr>
        <w:pStyle w:val="BodyText"/>
        <w:rPr>
          <w:rFonts w:ascii="Arial"/>
          <w:b/>
        </w:rPr>
      </w:pPr>
    </w:p>
    <w:p w14:paraId="35141A19" w14:textId="77777777" w:rsidR="00967495" w:rsidRDefault="00967495">
      <w:pPr>
        <w:pStyle w:val="BodyText"/>
        <w:rPr>
          <w:rFonts w:ascii="Arial"/>
          <w:b/>
        </w:rPr>
      </w:pPr>
    </w:p>
    <w:p w14:paraId="5F3A030D" w14:textId="77777777" w:rsidR="00967495" w:rsidRDefault="00967495">
      <w:pPr>
        <w:pStyle w:val="BodyText"/>
        <w:rPr>
          <w:rFonts w:ascii="Arial"/>
          <w:b/>
        </w:rPr>
      </w:pPr>
    </w:p>
    <w:p w14:paraId="4F93FEFC" w14:textId="77777777" w:rsidR="00967495" w:rsidRDefault="00967495">
      <w:pPr>
        <w:pStyle w:val="BodyText"/>
        <w:rPr>
          <w:rFonts w:ascii="Arial"/>
          <w:b/>
        </w:rPr>
      </w:pPr>
    </w:p>
    <w:p w14:paraId="7BA9EDA6" w14:textId="77777777" w:rsidR="00967495" w:rsidRDefault="00967495">
      <w:pPr>
        <w:pStyle w:val="BodyText"/>
        <w:spacing w:before="77"/>
        <w:rPr>
          <w:rFonts w:ascii="Arial"/>
          <w:b/>
        </w:rPr>
      </w:pPr>
    </w:p>
    <w:p w14:paraId="410EECEB" w14:textId="77777777" w:rsidR="00967495" w:rsidRDefault="00000000">
      <w:pPr>
        <w:ind w:right="349"/>
        <w:jc w:val="center"/>
        <w:rPr>
          <w:b/>
          <w:sz w:val="24"/>
        </w:rPr>
      </w:pPr>
      <w:r>
        <w:rPr>
          <w:b/>
          <w:spacing w:val="-2"/>
          <w:sz w:val="24"/>
        </w:rPr>
        <w:t>Topic:</w:t>
      </w:r>
    </w:p>
    <w:p w14:paraId="74A3D7B2" w14:textId="77777777" w:rsidR="00967495" w:rsidRDefault="00967495">
      <w:pPr>
        <w:pStyle w:val="BodyText"/>
        <w:spacing w:before="19"/>
        <w:rPr>
          <w:b/>
        </w:rPr>
      </w:pPr>
    </w:p>
    <w:p w14:paraId="4C96D02F" w14:textId="77777777" w:rsidR="00967495" w:rsidRDefault="00000000">
      <w:pPr>
        <w:spacing w:line="360" w:lineRule="auto"/>
        <w:ind w:left="8" w:right="376"/>
        <w:jc w:val="center"/>
        <w:rPr>
          <w:b/>
          <w:sz w:val="24"/>
        </w:rPr>
      </w:pPr>
      <w:r>
        <w:rPr>
          <w:b/>
          <w:sz w:val="24"/>
        </w:rPr>
        <w:t>"The</w:t>
      </w:r>
      <w:r>
        <w:rPr>
          <w:b/>
          <w:spacing w:val="-5"/>
          <w:sz w:val="24"/>
        </w:rPr>
        <w:t xml:space="preserve"> </w:t>
      </w:r>
      <w:r>
        <w:rPr>
          <w:b/>
          <w:sz w:val="24"/>
        </w:rPr>
        <w:t>Role</w:t>
      </w:r>
      <w:r>
        <w:rPr>
          <w:b/>
          <w:spacing w:val="-5"/>
          <w:sz w:val="24"/>
        </w:rPr>
        <w:t xml:space="preserve"> </w:t>
      </w:r>
      <w:r>
        <w:rPr>
          <w:b/>
          <w:sz w:val="24"/>
        </w:rPr>
        <w:t>of</w:t>
      </w:r>
      <w:r>
        <w:rPr>
          <w:b/>
          <w:spacing w:val="-7"/>
          <w:sz w:val="24"/>
        </w:rPr>
        <w:t xml:space="preserve"> </w:t>
      </w:r>
      <w:r>
        <w:rPr>
          <w:b/>
          <w:sz w:val="24"/>
        </w:rPr>
        <w:t>Residential</w:t>
      </w:r>
      <w:r>
        <w:rPr>
          <w:b/>
          <w:spacing w:val="-4"/>
          <w:sz w:val="24"/>
        </w:rPr>
        <w:t xml:space="preserve"> </w:t>
      </w:r>
      <w:r>
        <w:rPr>
          <w:b/>
          <w:sz w:val="24"/>
        </w:rPr>
        <w:t>Care</w:t>
      </w:r>
      <w:r>
        <w:rPr>
          <w:b/>
          <w:spacing w:val="-5"/>
          <w:sz w:val="24"/>
        </w:rPr>
        <w:t xml:space="preserve"> </w:t>
      </w:r>
      <w:r>
        <w:rPr>
          <w:b/>
          <w:sz w:val="24"/>
        </w:rPr>
        <w:t>Homes:</w:t>
      </w:r>
      <w:r>
        <w:rPr>
          <w:b/>
          <w:spacing w:val="-3"/>
          <w:sz w:val="24"/>
        </w:rPr>
        <w:t xml:space="preserve"> </w:t>
      </w:r>
      <w:r>
        <w:rPr>
          <w:b/>
          <w:sz w:val="24"/>
        </w:rPr>
        <w:t>Do</w:t>
      </w:r>
      <w:r>
        <w:rPr>
          <w:b/>
          <w:spacing w:val="-8"/>
          <w:sz w:val="24"/>
        </w:rPr>
        <w:t xml:space="preserve"> </w:t>
      </w:r>
      <w:r>
        <w:rPr>
          <w:b/>
          <w:sz w:val="24"/>
        </w:rPr>
        <w:t>They</w:t>
      </w:r>
      <w:r>
        <w:rPr>
          <w:b/>
          <w:spacing w:val="-8"/>
          <w:sz w:val="24"/>
        </w:rPr>
        <w:t xml:space="preserve"> </w:t>
      </w:r>
      <w:r>
        <w:rPr>
          <w:b/>
          <w:sz w:val="24"/>
        </w:rPr>
        <w:t>Provide</w:t>
      </w:r>
      <w:r>
        <w:rPr>
          <w:b/>
          <w:spacing w:val="-5"/>
          <w:sz w:val="24"/>
        </w:rPr>
        <w:t xml:space="preserve"> </w:t>
      </w:r>
      <w:r>
        <w:rPr>
          <w:b/>
          <w:sz w:val="24"/>
        </w:rPr>
        <w:t>Quality</w:t>
      </w:r>
      <w:r>
        <w:rPr>
          <w:b/>
          <w:spacing w:val="-8"/>
          <w:sz w:val="24"/>
        </w:rPr>
        <w:t xml:space="preserve"> </w:t>
      </w:r>
      <w:r>
        <w:rPr>
          <w:b/>
          <w:sz w:val="24"/>
        </w:rPr>
        <w:t>Care</w:t>
      </w:r>
      <w:r>
        <w:rPr>
          <w:b/>
          <w:spacing w:val="-5"/>
          <w:sz w:val="24"/>
        </w:rPr>
        <w:t xml:space="preserve"> </w:t>
      </w:r>
      <w:r>
        <w:rPr>
          <w:b/>
          <w:sz w:val="24"/>
        </w:rPr>
        <w:t>or</w:t>
      </w:r>
      <w:r>
        <w:rPr>
          <w:b/>
          <w:spacing w:val="-9"/>
          <w:sz w:val="24"/>
        </w:rPr>
        <w:t xml:space="preserve"> </w:t>
      </w:r>
      <w:r>
        <w:rPr>
          <w:b/>
          <w:sz w:val="24"/>
        </w:rPr>
        <w:t xml:space="preserve">Restrict </w:t>
      </w:r>
      <w:r>
        <w:rPr>
          <w:b/>
          <w:spacing w:val="-2"/>
          <w:sz w:val="24"/>
        </w:rPr>
        <w:t>Freedom?"</w:t>
      </w:r>
    </w:p>
    <w:p w14:paraId="0EF609C9" w14:textId="3BC6F096" w:rsidR="00967495" w:rsidRDefault="00000000" w:rsidP="00BD3376">
      <w:pPr>
        <w:spacing w:before="162"/>
        <w:ind w:left="15" w:right="376"/>
        <w:jc w:val="center"/>
        <w:rPr>
          <w:b/>
          <w:sz w:val="24"/>
        </w:rPr>
        <w:sectPr w:rsidR="00967495">
          <w:pgSz w:w="12240" w:h="15840"/>
          <w:pgMar w:top="1820" w:right="1080" w:bottom="280" w:left="1440" w:header="720" w:footer="720" w:gutter="0"/>
          <w:pgBorders w:offsetFrom="page">
            <w:top w:val="single" w:sz="4" w:space="24" w:color="000000"/>
            <w:left w:val="single" w:sz="4" w:space="24" w:color="000000"/>
            <w:bottom w:val="single" w:sz="4" w:space="24" w:color="000000"/>
            <w:right w:val="single" w:sz="4" w:space="24" w:color="000000"/>
          </w:pgBorders>
          <w:cols w:space="720"/>
        </w:sectPr>
      </w:pPr>
      <w:r>
        <w:rPr>
          <w:b/>
          <w:sz w:val="24"/>
        </w:rPr>
        <w:t>Stance:</w:t>
      </w:r>
      <w:r>
        <w:rPr>
          <w:b/>
          <w:spacing w:val="-2"/>
          <w:sz w:val="24"/>
        </w:rPr>
        <w:t xml:space="preserve"> </w:t>
      </w:r>
      <w:r>
        <w:rPr>
          <w:b/>
          <w:sz w:val="24"/>
        </w:rPr>
        <w:t>Residential</w:t>
      </w:r>
      <w:r>
        <w:rPr>
          <w:b/>
          <w:spacing w:val="-6"/>
          <w:sz w:val="24"/>
        </w:rPr>
        <w:t xml:space="preserve"> </w:t>
      </w:r>
      <w:r>
        <w:rPr>
          <w:b/>
          <w:sz w:val="24"/>
        </w:rPr>
        <w:t>Care</w:t>
      </w:r>
      <w:r>
        <w:rPr>
          <w:b/>
          <w:spacing w:val="-4"/>
          <w:sz w:val="24"/>
        </w:rPr>
        <w:t xml:space="preserve"> </w:t>
      </w:r>
      <w:r>
        <w:rPr>
          <w:b/>
          <w:sz w:val="24"/>
        </w:rPr>
        <w:t>Homes</w:t>
      </w:r>
      <w:r>
        <w:rPr>
          <w:b/>
          <w:spacing w:val="-10"/>
          <w:sz w:val="24"/>
        </w:rPr>
        <w:t xml:space="preserve"> </w:t>
      </w:r>
      <w:r>
        <w:rPr>
          <w:b/>
          <w:sz w:val="24"/>
        </w:rPr>
        <w:t>Provide</w:t>
      </w:r>
      <w:r>
        <w:rPr>
          <w:b/>
          <w:spacing w:val="-4"/>
          <w:sz w:val="24"/>
        </w:rPr>
        <w:t xml:space="preserve"> </w:t>
      </w:r>
      <w:r>
        <w:rPr>
          <w:b/>
          <w:sz w:val="24"/>
        </w:rPr>
        <w:t>Quality</w:t>
      </w:r>
      <w:r>
        <w:rPr>
          <w:b/>
          <w:spacing w:val="-2"/>
          <w:sz w:val="24"/>
        </w:rPr>
        <w:t xml:space="preserve"> </w:t>
      </w:r>
      <w:r>
        <w:rPr>
          <w:b/>
          <w:spacing w:val="-4"/>
          <w:sz w:val="24"/>
        </w:rPr>
        <w:t>Care</w:t>
      </w:r>
    </w:p>
    <w:p w14:paraId="5612C3F5" w14:textId="77777777" w:rsidR="00967495" w:rsidRDefault="00967495">
      <w:pPr>
        <w:pStyle w:val="BodyText"/>
        <w:spacing w:before="241"/>
        <w:rPr>
          <w:b/>
        </w:rPr>
      </w:pPr>
    </w:p>
    <w:p w14:paraId="28F46F43" w14:textId="77777777" w:rsidR="00967495" w:rsidRDefault="00000000">
      <w:pPr>
        <w:spacing w:before="1"/>
        <w:jc w:val="both"/>
        <w:rPr>
          <w:b/>
          <w:sz w:val="24"/>
        </w:rPr>
      </w:pPr>
      <w:r>
        <w:rPr>
          <w:b/>
          <w:sz w:val="24"/>
        </w:rPr>
        <w:t>Reference</w:t>
      </w:r>
      <w:r>
        <w:rPr>
          <w:b/>
          <w:spacing w:val="-7"/>
          <w:sz w:val="24"/>
        </w:rPr>
        <w:t xml:space="preserve"> </w:t>
      </w:r>
      <w:r>
        <w:rPr>
          <w:b/>
          <w:sz w:val="24"/>
        </w:rPr>
        <w:t>list (Student</w:t>
      </w:r>
      <w:r>
        <w:rPr>
          <w:b/>
          <w:spacing w:val="-2"/>
          <w:sz w:val="24"/>
        </w:rPr>
        <w:t xml:space="preserve"> </w:t>
      </w:r>
      <w:r>
        <w:rPr>
          <w:b/>
          <w:spacing w:val="-5"/>
          <w:sz w:val="24"/>
        </w:rPr>
        <w:t>1)</w:t>
      </w:r>
    </w:p>
    <w:p w14:paraId="445D2E56" w14:textId="77777777" w:rsidR="00967495" w:rsidRDefault="00967495">
      <w:pPr>
        <w:pStyle w:val="BodyText"/>
        <w:spacing w:before="19"/>
        <w:rPr>
          <w:b/>
        </w:rPr>
      </w:pPr>
    </w:p>
    <w:p w14:paraId="45C780A5" w14:textId="77777777" w:rsidR="00967495" w:rsidRDefault="00000000">
      <w:pPr>
        <w:pStyle w:val="BodyText"/>
        <w:tabs>
          <w:tab w:val="left" w:pos="1867"/>
          <w:tab w:val="left" w:pos="3711"/>
          <w:tab w:val="left" w:pos="4820"/>
          <w:tab w:val="left" w:pos="6768"/>
          <w:tab w:val="left" w:pos="8542"/>
        </w:tabs>
        <w:spacing w:line="360" w:lineRule="auto"/>
        <w:ind w:right="357"/>
        <w:jc w:val="both"/>
      </w:pPr>
      <w:r>
        <w:t>Abraham, J., Hirt, J., Richter, C., Köpke, S., Meyer, G. and Möhler, R. (2022). Interventions for preventing and</w:t>
      </w:r>
      <w:r>
        <w:rPr>
          <w:spacing w:val="-2"/>
        </w:rPr>
        <w:t xml:space="preserve"> </w:t>
      </w:r>
      <w:r>
        <w:t>reducing</w:t>
      </w:r>
      <w:r>
        <w:rPr>
          <w:spacing w:val="-2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use of</w:t>
      </w:r>
      <w:r>
        <w:rPr>
          <w:spacing w:val="-1"/>
        </w:rPr>
        <w:t xml:space="preserve"> </w:t>
      </w:r>
      <w:r>
        <w:t>physical restraints of</w:t>
      </w:r>
      <w:r>
        <w:rPr>
          <w:spacing w:val="-1"/>
        </w:rPr>
        <w:t xml:space="preserve"> </w:t>
      </w:r>
      <w:r>
        <w:t>older</w:t>
      </w:r>
      <w:r>
        <w:rPr>
          <w:spacing w:val="-1"/>
        </w:rPr>
        <w:t xml:space="preserve"> </w:t>
      </w:r>
      <w:r>
        <w:t>people</w:t>
      </w:r>
      <w:r>
        <w:rPr>
          <w:spacing w:val="-3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general</w:t>
      </w:r>
      <w:r>
        <w:rPr>
          <w:spacing w:val="-2"/>
        </w:rPr>
        <w:t xml:space="preserve"> </w:t>
      </w:r>
      <w:r>
        <w:t>hospital</w:t>
      </w:r>
      <w:r>
        <w:rPr>
          <w:spacing w:val="-2"/>
        </w:rPr>
        <w:t xml:space="preserve"> </w:t>
      </w:r>
      <w:r>
        <w:t xml:space="preserve">settings. </w:t>
      </w:r>
      <w:r>
        <w:rPr>
          <w:i/>
          <w:spacing w:val="-2"/>
        </w:rPr>
        <w:t>Cochrane</w:t>
      </w:r>
      <w:r>
        <w:rPr>
          <w:i/>
        </w:rPr>
        <w:tab/>
      </w:r>
      <w:r>
        <w:rPr>
          <w:i/>
          <w:spacing w:val="-2"/>
        </w:rPr>
        <w:t>Database</w:t>
      </w:r>
      <w:r>
        <w:rPr>
          <w:i/>
        </w:rPr>
        <w:tab/>
      </w:r>
      <w:r>
        <w:rPr>
          <w:i/>
          <w:spacing w:val="-6"/>
        </w:rPr>
        <w:t>of</w:t>
      </w:r>
      <w:r>
        <w:rPr>
          <w:i/>
        </w:rPr>
        <w:tab/>
      </w:r>
      <w:r>
        <w:rPr>
          <w:i/>
          <w:spacing w:val="-2"/>
        </w:rPr>
        <w:t>Systematic</w:t>
      </w:r>
      <w:r>
        <w:rPr>
          <w:i/>
        </w:rPr>
        <w:tab/>
      </w:r>
      <w:r>
        <w:rPr>
          <w:i/>
          <w:spacing w:val="-2"/>
        </w:rPr>
        <w:t>Reviews</w:t>
      </w:r>
      <w:r>
        <w:rPr>
          <w:spacing w:val="-2"/>
        </w:rPr>
        <w:t>,</w:t>
      </w:r>
      <w:r>
        <w:tab/>
      </w:r>
      <w:r>
        <w:rPr>
          <w:spacing w:val="-2"/>
        </w:rPr>
        <w:t>2022(8). doi:https://doi.org/10.1002/14651858.cd012476.pub2.</w:t>
      </w:r>
    </w:p>
    <w:p w14:paraId="119F06E5" w14:textId="77777777" w:rsidR="00967495" w:rsidRDefault="00000000">
      <w:pPr>
        <w:spacing w:before="164" w:line="360" w:lineRule="auto"/>
        <w:ind w:right="348"/>
        <w:jc w:val="both"/>
        <w:rPr>
          <w:sz w:val="24"/>
        </w:rPr>
      </w:pPr>
      <w:r>
        <w:rPr>
          <w:sz w:val="24"/>
        </w:rPr>
        <w:t>Alzheimer's</w:t>
      </w:r>
      <w:r>
        <w:rPr>
          <w:spacing w:val="-4"/>
          <w:sz w:val="24"/>
        </w:rPr>
        <w:t xml:space="preserve"> </w:t>
      </w:r>
      <w:r>
        <w:rPr>
          <w:sz w:val="24"/>
        </w:rPr>
        <w:t xml:space="preserve">Association (2024). </w:t>
      </w:r>
      <w:r>
        <w:rPr>
          <w:i/>
          <w:sz w:val="24"/>
        </w:rPr>
        <w:t>New Alzheimer’s Association Report Reveals Top Stressors for Caregivers and Lack of Care Navigation Support and Resources</w:t>
      </w:r>
      <w:r>
        <w:rPr>
          <w:sz w:val="24"/>
        </w:rPr>
        <w:t>. [online] Alzheimer’s Association. Available at: https:/</w:t>
      </w:r>
      <w:hyperlink r:id="rId4">
        <w:r>
          <w:rPr>
            <w:sz w:val="24"/>
          </w:rPr>
          <w:t>/www.alz.org/news/2024/new-alzheimers-association-report-</w:t>
        </w:r>
      </w:hyperlink>
      <w:r>
        <w:rPr>
          <w:sz w:val="24"/>
        </w:rPr>
        <w:t xml:space="preserve"> </w:t>
      </w:r>
      <w:r>
        <w:rPr>
          <w:spacing w:val="-2"/>
          <w:sz w:val="24"/>
        </w:rPr>
        <w:t>reveals-top-stressors-caregivers.</w:t>
      </w:r>
    </w:p>
    <w:p w14:paraId="1CD84793" w14:textId="77777777" w:rsidR="00967495" w:rsidRDefault="00000000">
      <w:pPr>
        <w:pStyle w:val="BodyText"/>
        <w:spacing w:before="159" w:line="360" w:lineRule="auto"/>
        <w:ind w:right="350"/>
        <w:jc w:val="both"/>
      </w:pPr>
      <w:r>
        <w:t>Bach-Mortensen,</w:t>
      </w:r>
      <w:r>
        <w:rPr>
          <w:spacing w:val="-15"/>
        </w:rPr>
        <w:t xml:space="preserve"> </w:t>
      </w:r>
      <w:r>
        <w:t>A., Goodair,</w:t>
      </w:r>
      <w:r>
        <w:rPr>
          <w:spacing w:val="-2"/>
        </w:rPr>
        <w:t xml:space="preserve"> </w:t>
      </w:r>
      <w:r>
        <w:t>B.</w:t>
      </w:r>
      <w:r>
        <w:rPr>
          <w:spacing w:val="-2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Degli</w:t>
      </w:r>
      <w:r>
        <w:rPr>
          <w:spacing w:val="-3"/>
        </w:rPr>
        <w:t xml:space="preserve"> </w:t>
      </w:r>
      <w:r>
        <w:t>Esposti,</w:t>
      </w:r>
      <w:r>
        <w:rPr>
          <w:spacing w:val="-2"/>
        </w:rPr>
        <w:t xml:space="preserve"> </w:t>
      </w:r>
      <w:r>
        <w:t>M.</w:t>
      </w:r>
      <w:r>
        <w:rPr>
          <w:spacing w:val="-2"/>
        </w:rPr>
        <w:t xml:space="preserve"> </w:t>
      </w:r>
      <w:r>
        <w:t>(2024).</w:t>
      </w:r>
      <w:r>
        <w:rPr>
          <w:spacing w:val="-2"/>
        </w:rPr>
        <w:t xml:space="preserve"> </w:t>
      </w:r>
      <w:r>
        <w:t>Involuntary</w:t>
      </w:r>
      <w:r>
        <w:rPr>
          <w:spacing w:val="-4"/>
        </w:rPr>
        <w:t xml:space="preserve"> </w:t>
      </w:r>
      <w:r>
        <w:t>closures</w:t>
      </w:r>
      <w:r>
        <w:rPr>
          <w:spacing w:val="-2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 xml:space="preserve">for-profit care homes in England by the Care Quality Commission. </w:t>
      </w:r>
      <w:r>
        <w:rPr>
          <w:i/>
        </w:rPr>
        <w:t>The Lancet Healthy Longevity</w:t>
      </w:r>
      <w:r>
        <w:t xml:space="preserve">, 5(4). </w:t>
      </w:r>
      <w:r>
        <w:rPr>
          <w:spacing w:val="-2"/>
        </w:rPr>
        <w:t>doi:https://doi.org/10.1016/s2666-7568(24)00008-4.</w:t>
      </w:r>
    </w:p>
    <w:p w14:paraId="303E97B6" w14:textId="77777777" w:rsidR="00967495" w:rsidRDefault="00000000">
      <w:pPr>
        <w:spacing w:before="160" w:line="360" w:lineRule="auto"/>
        <w:ind w:right="359"/>
        <w:jc w:val="both"/>
        <w:rPr>
          <w:sz w:val="24"/>
        </w:rPr>
      </w:pPr>
      <w:r>
        <w:rPr>
          <w:sz w:val="24"/>
        </w:rPr>
        <w:t xml:space="preserve">BGS (2023). </w:t>
      </w:r>
      <w:r>
        <w:rPr>
          <w:i/>
          <w:sz w:val="24"/>
        </w:rPr>
        <w:t>Smarter</w:t>
      </w:r>
      <w:r>
        <w:rPr>
          <w:i/>
          <w:spacing w:val="-1"/>
          <w:sz w:val="24"/>
        </w:rPr>
        <w:t xml:space="preserve"> </w:t>
      </w:r>
      <w:r>
        <w:rPr>
          <w:i/>
          <w:sz w:val="24"/>
        </w:rPr>
        <w:t>data, better</w:t>
      </w:r>
      <w:r>
        <w:rPr>
          <w:i/>
          <w:spacing w:val="-1"/>
          <w:sz w:val="24"/>
        </w:rPr>
        <w:t xml:space="preserve"> </w:t>
      </w:r>
      <w:r>
        <w:rPr>
          <w:i/>
          <w:sz w:val="24"/>
        </w:rPr>
        <w:t>care:</w:t>
      </w:r>
      <w:r>
        <w:rPr>
          <w:i/>
          <w:spacing w:val="-6"/>
          <w:sz w:val="24"/>
        </w:rPr>
        <w:t xml:space="preserve"> </w:t>
      </w:r>
      <w:r>
        <w:rPr>
          <w:i/>
          <w:sz w:val="24"/>
        </w:rPr>
        <w:t>Empowering care</w:t>
      </w:r>
      <w:r>
        <w:rPr>
          <w:i/>
          <w:spacing w:val="-4"/>
          <w:sz w:val="24"/>
        </w:rPr>
        <w:t xml:space="preserve"> </w:t>
      </w:r>
      <w:r>
        <w:rPr>
          <w:i/>
          <w:sz w:val="24"/>
        </w:rPr>
        <w:t>homes</w:t>
      </w:r>
      <w:r>
        <w:rPr>
          <w:i/>
          <w:spacing w:val="-1"/>
          <w:sz w:val="24"/>
        </w:rPr>
        <w:t xml:space="preserve"> </w:t>
      </w:r>
      <w:r>
        <w:rPr>
          <w:i/>
          <w:sz w:val="24"/>
        </w:rPr>
        <w:t>to</w:t>
      </w:r>
      <w:r>
        <w:rPr>
          <w:i/>
          <w:spacing w:val="-3"/>
          <w:sz w:val="24"/>
        </w:rPr>
        <w:t xml:space="preserve"> </w:t>
      </w:r>
      <w:r>
        <w:rPr>
          <w:i/>
          <w:sz w:val="24"/>
        </w:rPr>
        <w:t>use data</w:t>
      </w:r>
      <w:r>
        <w:rPr>
          <w:i/>
          <w:spacing w:val="-3"/>
          <w:sz w:val="24"/>
        </w:rPr>
        <w:t xml:space="preserve"> </w:t>
      </w:r>
      <w:r>
        <w:rPr>
          <w:i/>
          <w:sz w:val="24"/>
        </w:rPr>
        <w:t>to</w:t>
      </w:r>
      <w:r>
        <w:rPr>
          <w:i/>
          <w:spacing w:val="-3"/>
          <w:sz w:val="24"/>
        </w:rPr>
        <w:t xml:space="preserve"> </w:t>
      </w:r>
      <w:r>
        <w:rPr>
          <w:i/>
          <w:sz w:val="24"/>
        </w:rPr>
        <w:t>transform quality of</w:t>
      </w:r>
      <w:r>
        <w:rPr>
          <w:i/>
          <w:spacing w:val="-7"/>
          <w:sz w:val="24"/>
        </w:rPr>
        <w:t xml:space="preserve"> </w:t>
      </w:r>
      <w:r>
        <w:rPr>
          <w:i/>
          <w:sz w:val="24"/>
        </w:rPr>
        <w:t>care</w:t>
      </w:r>
      <w:r>
        <w:rPr>
          <w:sz w:val="24"/>
        </w:rPr>
        <w:t>.</w:t>
      </w:r>
      <w:r>
        <w:rPr>
          <w:spacing w:val="-7"/>
          <w:sz w:val="24"/>
        </w:rPr>
        <w:t xml:space="preserve"> </w:t>
      </w:r>
      <w:r>
        <w:rPr>
          <w:sz w:val="24"/>
        </w:rPr>
        <w:t>[online]</w:t>
      </w:r>
      <w:r>
        <w:rPr>
          <w:spacing w:val="-7"/>
          <w:sz w:val="24"/>
        </w:rPr>
        <w:t xml:space="preserve"> </w:t>
      </w:r>
      <w:r>
        <w:rPr>
          <w:sz w:val="24"/>
        </w:rPr>
        <w:t>British</w:t>
      </w:r>
      <w:r>
        <w:rPr>
          <w:spacing w:val="-5"/>
          <w:sz w:val="24"/>
        </w:rPr>
        <w:t xml:space="preserve"> </w:t>
      </w:r>
      <w:r>
        <w:rPr>
          <w:sz w:val="24"/>
        </w:rPr>
        <w:t>Geriatrics</w:t>
      </w:r>
      <w:r>
        <w:rPr>
          <w:spacing w:val="-7"/>
          <w:sz w:val="24"/>
        </w:rPr>
        <w:t xml:space="preserve"> </w:t>
      </w:r>
      <w:r>
        <w:rPr>
          <w:sz w:val="24"/>
        </w:rPr>
        <w:t>Society.</w:t>
      </w:r>
      <w:r>
        <w:rPr>
          <w:spacing w:val="-15"/>
          <w:sz w:val="24"/>
        </w:rPr>
        <w:t xml:space="preserve"> </w:t>
      </w:r>
      <w:r>
        <w:rPr>
          <w:sz w:val="24"/>
        </w:rPr>
        <w:t>Available</w:t>
      </w:r>
      <w:r>
        <w:rPr>
          <w:spacing w:val="-5"/>
          <w:sz w:val="24"/>
        </w:rPr>
        <w:t xml:space="preserve"> </w:t>
      </w:r>
      <w:r>
        <w:rPr>
          <w:sz w:val="24"/>
        </w:rPr>
        <w:t>at:</w:t>
      </w:r>
      <w:r>
        <w:rPr>
          <w:spacing w:val="-8"/>
          <w:sz w:val="24"/>
        </w:rPr>
        <w:t xml:space="preserve"> </w:t>
      </w:r>
      <w:r>
        <w:rPr>
          <w:sz w:val="24"/>
        </w:rPr>
        <w:t>https:/</w:t>
      </w:r>
      <w:hyperlink r:id="rId5">
        <w:r>
          <w:rPr>
            <w:sz w:val="24"/>
          </w:rPr>
          <w:t>/www.bgs.org.uk/CareHomesData</w:t>
        </w:r>
      </w:hyperlink>
      <w:r>
        <w:rPr>
          <w:sz w:val="24"/>
        </w:rPr>
        <w:t xml:space="preserve"> [Accessed 5 Dec. 2023].</w:t>
      </w:r>
    </w:p>
    <w:p w14:paraId="6C4EFBA1" w14:textId="77777777" w:rsidR="00967495" w:rsidRDefault="00000000">
      <w:pPr>
        <w:pStyle w:val="BodyText"/>
        <w:spacing w:before="160" w:line="362" w:lineRule="auto"/>
        <w:ind w:right="351"/>
        <w:jc w:val="both"/>
      </w:pPr>
      <w:r>
        <w:t xml:space="preserve">Bhati, D., Deogade, M.S. and Kanyal, D. (2023). Improving Patient Outcomes through Effective Hospital administration: a Comprehensive Review. </w:t>
      </w:r>
      <w:r>
        <w:rPr>
          <w:i/>
        </w:rPr>
        <w:t>Cureus</w:t>
      </w:r>
      <w:r>
        <w:t xml:space="preserve">, 15(10), pp.1–12. </w:t>
      </w:r>
      <w:r>
        <w:rPr>
          <w:spacing w:val="-2"/>
        </w:rPr>
        <w:t>doi:https://doi.org/10.7759/cureus.47731.</w:t>
      </w:r>
    </w:p>
    <w:p w14:paraId="2D183983" w14:textId="77777777" w:rsidR="00967495" w:rsidRDefault="00000000">
      <w:pPr>
        <w:spacing w:before="152" w:line="360" w:lineRule="auto"/>
        <w:ind w:right="353"/>
        <w:jc w:val="both"/>
        <w:rPr>
          <w:sz w:val="24"/>
        </w:rPr>
      </w:pPr>
      <w:r>
        <w:rPr>
          <w:sz w:val="24"/>
        </w:rPr>
        <w:t xml:space="preserve">CQC (2025). </w:t>
      </w:r>
      <w:r>
        <w:rPr>
          <w:i/>
          <w:sz w:val="24"/>
        </w:rPr>
        <w:t>High</w:t>
      </w:r>
      <w:r>
        <w:rPr>
          <w:i/>
          <w:spacing w:val="-2"/>
          <w:sz w:val="24"/>
        </w:rPr>
        <w:t xml:space="preserve"> </w:t>
      </w:r>
      <w:r>
        <w:rPr>
          <w:i/>
          <w:sz w:val="24"/>
        </w:rPr>
        <w:t>demand, long</w:t>
      </w:r>
      <w:r>
        <w:rPr>
          <w:i/>
          <w:spacing w:val="-2"/>
          <w:sz w:val="24"/>
        </w:rPr>
        <w:t xml:space="preserve"> </w:t>
      </w:r>
      <w:r>
        <w:rPr>
          <w:i/>
          <w:sz w:val="24"/>
        </w:rPr>
        <w:t>waits, and</w:t>
      </w:r>
      <w:r>
        <w:rPr>
          <w:i/>
          <w:spacing w:val="-2"/>
          <w:sz w:val="24"/>
        </w:rPr>
        <w:t xml:space="preserve"> </w:t>
      </w:r>
      <w:r>
        <w:rPr>
          <w:i/>
          <w:sz w:val="24"/>
        </w:rPr>
        <w:t>insufficient support, mean</w:t>
      </w:r>
      <w:r>
        <w:rPr>
          <w:i/>
          <w:spacing w:val="-2"/>
          <w:sz w:val="24"/>
        </w:rPr>
        <w:t xml:space="preserve"> </w:t>
      </w:r>
      <w:r>
        <w:rPr>
          <w:i/>
          <w:sz w:val="24"/>
        </w:rPr>
        <w:t>people with</w:t>
      </w:r>
      <w:r>
        <w:rPr>
          <w:i/>
          <w:spacing w:val="-2"/>
          <w:sz w:val="24"/>
        </w:rPr>
        <w:t xml:space="preserve"> </w:t>
      </w:r>
      <w:r>
        <w:rPr>
          <w:i/>
          <w:sz w:val="24"/>
        </w:rPr>
        <w:t>mental health issues still not getting the support they need - Care Quality Commission</w:t>
      </w:r>
      <w:r>
        <w:rPr>
          <w:sz w:val="24"/>
        </w:rPr>
        <w:t>. [online] Cqc.org.uk. Available at: https:/</w:t>
      </w:r>
      <w:hyperlink r:id="rId6">
        <w:r>
          <w:rPr>
            <w:sz w:val="24"/>
          </w:rPr>
          <w:t>/www.cqc.org.uk/press-release/high-demand-long-waits-and-insufficient-</w:t>
        </w:r>
      </w:hyperlink>
      <w:r>
        <w:rPr>
          <w:sz w:val="24"/>
        </w:rPr>
        <w:t xml:space="preserve"> </w:t>
      </w:r>
      <w:r>
        <w:rPr>
          <w:spacing w:val="-2"/>
          <w:sz w:val="24"/>
        </w:rPr>
        <w:t>support-mean-people-mental-health-issues-0.</w:t>
      </w:r>
    </w:p>
    <w:p w14:paraId="15633155" w14:textId="77777777" w:rsidR="00967495" w:rsidRDefault="00967495">
      <w:pPr>
        <w:spacing w:line="360" w:lineRule="auto"/>
        <w:jc w:val="both"/>
        <w:rPr>
          <w:sz w:val="24"/>
        </w:rPr>
        <w:sectPr w:rsidR="00967495">
          <w:pgSz w:w="12240" w:h="15840"/>
          <w:pgMar w:top="1820" w:right="1080" w:bottom="280" w:left="1440" w:header="720" w:footer="720" w:gutter="0"/>
          <w:pgBorders w:offsetFrom="page">
            <w:top w:val="single" w:sz="4" w:space="24" w:color="000000"/>
            <w:left w:val="single" w:sz="4" w:space="24" w:color="000000"/>
            <w:bottom w:val="single" w:sz="4" w:space="24" w:color="000000"/>
            <w:right w:val="single" w:sz="4" w:space="24" w:color="000000"/>
          </w:pgBorders>
          <w:cols w:space="720"/>
        </w:sectPr>
      </w:pPr>
    </w:p>
    <w:p w14:paraId="19683C15" w14:textId="77777777" w:rsidR="00967495" w:rsidRDefault="00000000">
      <w:pPr>
        <w:pStyle w:val="BodyText"/>
        <w:spacing w:before="62" w:line="360" w:lineRule="auto"/>
        <w:ind w:right="356"/>
        <w:jc w:val="both"/>
      </w:pPr>
      <w:r>
        <w:lastRenderedPageBreak/>
        <w:t>Dow, B., Lin, X., Tinney, J., Haralambous, B. and</w:t>
      </w:r>
      <w:r>
        <w:rPr>
          <w:spacing w:val="-14"/>
        </w:rPr>
        <w:t xml:space="preserve"> </w:t>
      </w:r>
      <w:r>
        <w:t xml:space="preserve">Ames, D. (2011). Depression in older people living in residential homes. </w:t>
      </w:r>
      <w:r>
        <w:rPr>
          <w:i/>
        </w:rPr>
        <w:t>International Psychogeriatrics</w:t>
      </w:r>
      <w:r>
        <w:t xml:space="preserve">, [online] 23(5), pp.681–699. </w:t>
      </w:r>
      <w:r>
        <w:rPr>
          <w:spacing w:val="-2"/>
        </w:rPr>
        <w:t>doi:https://doi.org/10.1017/s1041610211000494.</w:t>
      </w:r>
    </w:p>
    <w:p w14:paraId="4ED5BFEE" w14:textId="77777777" w:rsidR="00967495" w:rsidRDefault="00000000">
      <w:pPr>
        <w:spacing w:before="160" w:line="360" w:lineRule="auto"/>
        <w:ind w:right="354"/>
        <w:jc w:val="both"/>
        <w:rPr>
          <w:sz w:val="24"/>
        </w:rPr>
      </w:pPr>
      <w:r>
        <w:rPr>
          <w:sz w:val="24"/>
        </w:rPr>
        <w:t>Dunbar,</w:t>
      </w:r>
      <w:r>
        <w:rPr>
          <w:spacing w:val="-15"/>
          <w:sz w:val="24"/>
        </w:rPr>
        <w:t xml:space="preserve"> </w:t>
      </w:r>
      <w:r>
        <w:rPr>
          <w:sz w:val="24"/>
        </w:rPr>
        <w:t>R.I.M.</w:t>
      </w:r>
      <w:r>
        <w:rPr>
          <w:spacing w:val="-15"/>
          <w:sz w:val="24"/>
        </w:rPr>
        <w:t xml:space="preserve"> </w:t>
      </w:r>
      <w:r>
        <w:rPr>
          <w:sz w:val="24"/>
        </w:rPr>
        <w:t>(2017).</w:t>
      </w:r>
      <w:r>
        <w:rPr>
          <w:spacing w:val="-15"/>
          <w:sz w:val="24"/>
        </w:rPr>
        <w:t xml:space="preserve"> </w:t>
      </w:r>
      <w:r>
        <w:rPr>
          <w:sz w:val="24"/>
        </w:rPr>
        <w:t>Breaking</w:t>
      </w:r>
      <w:r>
        <w:rPr>
          <w:spacing w:val="-15"/>
          <w:sz w:val="24"/>
        </w:rPr>
        <w:t xml:space="preserve"> </w:t>
      </w:r>
      <w:r>
        <w:rPr>
          <w:sz w:val="24"/>
        </w:rPr>
        <w:t>Bread:</w:t>
      </w:r>
      <w:r>
        <w:rPr>
          <w:spacing w:val="-15"/>
          <w:sz w:val="24"/>
        </w:rPr>
        <w:t xml:space="preserve"> </w:t>
      </w:r>
      <w:r>
        <w:rPr>
          <w:sz w:val="24"/>
        </w:rPr>
        <w:t>the</w:t>
      </w:r>
      <w:r>
        <w:rPr>
          <w:spacing w:val="-15"/>
          <w:sz w:val="24"/>
        </w:rPr>
        <w:t xml:space="preserve"> </w:t>
      </w:r>
      <w:r>
        <w:rPr>
          <w:sz w:val="24"/>
        </w:rPr>
        <w:t>Functions</w:t>
      </w:r>
      <w:r>
        <w:rPr>
          <w:spacing w:val="-15"/>
          <w:sz w:val="24"/>
        </w:rPr>
        <w:t xml:space="preserve"> </w:t>
      </w:r>
      <w:r>
        <w:rPr>
          <w:sz w:val="24"/>
        </w:rPr>
        <w:t>of</w:t>
      </w:r>
      <w:r>
        <w:rPr>
          <w:spacing w:val="-15"/>
          <w:sz w:val="24"/>
        </w:rPr>
        <w:t xml:space="preserve"> </w:t>
      </w:r>
      <w:r>
        <w:rPr>
          <w:sz w:val="24"/>
        </w:rPr>
        <w:t>Social</w:t>
      </w:r>
      <w:r>
        <w:rPr>
          <w:spacing w:val="-15"/>
          <w:sz w:val="24"/>
        </w:rPr>
        <w:t xml:space="preserve"> </w:t>
      </w:r>
      <w:r>
        <w:rPr>
          <w:sz w:val="24"/>
        </w:rPr>
        <w:t>Eating.</w:t>
      </w:r>
      <w:r>
        <w:rPr>
          <w:spacing w:val="-15"/>
          <w:sz w:val="24"/>
        </w:rPr>
        <w:t xml:space="preserve"> </w:t>
      </w:r>
      <w:r>
        <w:rPr>
          <w:i/>
          <w:sz w:val="24"/>
        </w:rPr>
        <w:t>Adaptive</w:t>
      </w:r>
      <w:r>
        <w:rPr>
          <w:i/>
          <w:spacing w:val="-15"/>
          <w:sz w:val="24"/>
        </w:rPr>
        <w:t xml:space="preserve"> </w:t>
      </w:r>
      <w:r>
        <w:rPr>
          <w:i/>
          <w:sz w:val="24"/>
        </w:rPr>
        <w:t>Human</w:t>
      </w:r>
      <w:r>
        <w:rPr>
          <w:i/>
          <w:spacing w:val="-15"/>
          <w:sz w:val="24"/>
        </w:rPr>
        <w:t xml:space="preserve"> </w:t>
      </w:r>
      <w:r>
        <w:rPr>
          <w:i/>
          <w:sz w:val="24"/>
        </w:rPr>
        <w:t>Behavior and Physiology</w:t>
      </w:r>
      <w:r>
        <w:rPr>
          <w:sz w:val="24"/>
        </w:rPr>
        <w:t>, [online] 3(3), pp.198–211. doi:https://doi.org/10.1007/s40750-017-0061-4.</w:t>
      </w:r>
    </w:p>
    <w:p w14:paraId="7930E02E" w14:textId="77777777" w:rsidR="00967495" w:rsidRDefault="00000000">
      <w:pPr>
        <w:pStyle w:val="BodyText"/>
        <w:tabs>
          <w:tab w:val="left" w:pos="1968"/>
          <w:tab w:val="left" w:pos="3375"/>
          <w:tab w:val="left" w:pos="4225"/>
          <w:tab w:val="left" w:pos="6203"/>
          <w:tab w:val="left" w:pos="7446"/>
        </w:tabs>
        <w:spacing w:before="161" w:line="360" w:lineRule="auto"/>
        <w:ind w:right="351"/>
        <w:jc w:val="both"/>
      </w:pPr>
      <w:r>
        <w:t>EL Khoury, M., Jaouen,</w:t>
      </w:r>
      <w:r>
        <w:rPr>
          <w:spacing w:val="-4"/>
        </w:rPr>
        <w:t xml:space="preserve"> </w:t>
      </w:r>
      <w:r>
        <w:t>A. and Sammut, S. (2024). The liberated firm:</w:t>
      </w:r>
      <w:r>
        <w:rPr>
          <w:spacing w:val="-5"/>
        </w:rPr>
        <w:t xml:space="preserve"> </w:t>
      </w:r>
      <w:r>
        <w:t xml:space="preserve">An integrative approach involving sociocracy, holacracy, spaghetti organization, management 3.0 and teal organization. </w:t>
      </w:r>
      <w:r>
        <w:rPr>
          <w:i/>
          <w:spacing w:val="-2"/>
        </w:rPr>
        <w:t>Scandinavian</w:t>
      </w:r>
      <w:r>
        <w:rPr>
          <w:i/>
        </w:rPr>
        <w:tab/>
      </w:r>
      <w:r>
        <w:rPr>
          <w:i/>
          <w:spacing w:val="-2"/>
        </w:rPr>
        <w:t>Journal</w:t>
      </w:r>
      <w:r>
        <w:rPr>
          <w:i/>
        </w:rPr>
        <w:tab/>
      </w:r>
      <w:r>
        <w:rPr>
          <w:i/>
          <w:spacing w:val="-6"/>
        </w:rPr>
        <w:t>of</w:t>
      </w:r>
      <w:r>
        <w:rPr>
          <w:i/>
        </w:rPr>
        <w:tab/>
      </w:r>
      <w:r>
        <w:rPr>
          <w:i/>
          <w:spacing w:val="-2"/>
        </w:rPr>
        <w:t>Management</w:t>
      </w:r>
      <w:r>
        <w:rPr>
          <w:spacing w:val="-2"/>
        </w:rPr>
        <w:t>,</w:t>
      </w:r>
      <w:r>
        <w:tab/>
      </w:r>
      <w:r>
        <w:rPr>
          <w:spacing w:val="-2"/>
        </w:rPr>
        <w:t>40(1),</w:t>
      </w:r>
      <w:r>
        <w:tab/>
      </w:r>
      <w:r>
        <w:rPr>
          <w:spacing w:val="-2"/>
        </w:rPr>
        <w:t>pp.101312–101312. doi:https://doi.org/10.1016/j.scaman.2023.101312.</w:t>
      </w:r>
    </w:p>
    <w:p w14:paraId="631532EE" w14:textId="77777777" w:rsidR="00967495" w:rsidRDefault="00000000">
      <w:pPr>
        <w:tabs>
          <w:tab w:val="left" w:pos="1392"/>
          <w:tab w:val="left" w:pos="2525"/>
          <w:tab w:val="left" w:pos="3365"/>
          <w:tab w:val="left" w:pos="4557"/>
          <w:tab w:val="left" w:pos="5967"/>
          <w:tab w:val="left" w:pos="7556"/>
          <w:tab w:val="left" w:pos="9121"/>
        </w:tabs>
        <w:spacing w:before="159" w:line="360" w:lineRule="auto"/>
        <w:ind w:right="357"/>
        <w:rPr>
          <w:sz w:val="24"/>
        </w:rPr>
      </w:pPr>
      <w:r>
        <w:rPr>
          <w:sz w:val="24"/>
        </w:rPr>
        <w:t>GOV.UK</w:t>
      </w:r>
      <w:r>
        <w:rPr>
          <w:spacing w:val="26"/>
          <w:sz w:val="24"/>
        </w:rPr>
        <w:t xml:space="preserve"> </w:t>
      </w:r>
      <w:r>
        <w:rPr>
          <w:sz w:val="24"/>
        </w:rPr>
        <w:t>(2024).</w:t>
      </w:r>
      <w:r>
        <w:rPr>
          <w:spacing w:val="31"/>
          <w:sz w:val="24"/>
        </w:rPr>
        <w:t xml:space="preserve"> </w:t>
      </w:r>
      <w:r>
        <w:rPr>
          <w:i/>
          <w:sz w:val="24"/>
        </w:rPr>
        <w:t>Analysis</w:t>
      </w:r>
      <w:r>
        <w:rPr>
          <w:i/>
          <w:spacing w:val="30"/>
          <w:sz w:val="24"/>
        </w:rPr>
        <w:t xml:space="preserve"> </w:t>
      </w:r>
      <w:r>
        <w:rPr>
          <w:i/>
          <w:sz w:val="24"/>
        </w:rPr>
        <w:t>of</w:t>
      </w:r>
      <w:r>
        <w:rPr>
          <w:i/>
          <w:spacing w:val="28"/>
          <w:sz w:val="24"/>
        </w:rPr>
        <w:t xml:space="preserve"> </w:t>
      </w:r>
      <w:r>
        <w:rPr>
          <w:i/>
          <w:sz w:val="24"/>
        </w:rPr>
        <w:t>Care</w:t>
      </w:r>
      <w:r>
        <w:rPr>
          <w:i/>
          <w:spacing w:val="26"/>
          <w:sz w:val="24"/>
        </w:rPr>
        <w:t xml:space="preserve"> </w:t>
      </w:r>
      <w:r>
        <w:rPr>
          <w:i/>
          <w:sz w:val="24"/>
        </w:rPr>
        <w:t>Quality</w:t>
      </w:r>
      <w:r>
        <w:rPr>
          <w:i/>
          <w:spacing w:val="26"/>
          <w:sz w:val="24"/>
        </w:rPr>
        <w:t xml:space="preserve"> </w:t>
      </w:r>
      <w:r>
        <w:rPr>
          <w:i/>
          <w:sz w:val="24"/>
        </w:rPr>
        <w:t>Commission</w:t>
      </w:r>
      <w:r>
        <w:rPr>
          <w:i/>
          <w:spacing w:val="32"/>
          <w:sz w:val="24"/>
        </w:rPr>
        <w:t xml:space="preserve"> </w:t>
      </w:r>
      <w:r>
        <w:rPr>
          <w:i/>
          <w:sz w:val="24"/>
        </w:rPr>
        <w:t>data</w:t>
      </w:r>
      <w:r>
        <w:rPr>
          <w:i/>
          <w:spacing w:val="32"/>
          <w:sz w:val="24"/>
        </w:rPr>
        <w:t xml:space="preserve"> </w:t>
      </w:r>
      <w:r>
        <w:rPr>
          <w:i/>
          <w:sz w:val="24"/>
        </w:rPr>
        <w:t>on</w:t>
      </w:r>
      <w:r>
        <w:rPr>
          <w:i/>
          <w:spacing w:val="27"/>
          <w:sz w:val="24"/>
        </w:rPr>
        <w:t xml:space="preserve"> </w:t>
      </w:r>
      <w:r>
        <w:rPr>
          <w:i/>
          <w:sz w:val="24"/>
        </w:rPr>
        <w:t>inspections,</w:t>
      </w:r>
      <w:r>
        <w:rPr>
          <w:i/>
          <w:spacing w:val="30"/>
          <w:sz w:val="24"/>
        </w:rPr>
        <w:t xml:space="preserve"> </w:t>
      </w:r>
      <w:r>
        <w:rPr>
          <w:i/>
          <w:sz w:val="24"/>
        </w:rPr>
        <w:t>assessments</w:t>
      </w:r>
      <w:r>
        <w:rPr>
          <w:i/>
          <w:spacing w:val="30"/>
          <w:sz w:val="24"/>
        </w:rPr>
        <w:t xml:space="preserve"> </w:t>
      </w:r>
      <w:r>
        <w:rPr>
          <w:i/>
          <w:sz w:val="24"/>
        </w:rPr>
        <w:t xml:space="preserve">and </w:t>
      </w:r>
      <w:r>
        <w:rPr>
          <w:i/>
          <w:spacing w:val="-2"/>
          <w:sz w:val="24"/>
        </w:rPr>
        <w:t>ratings,</w:t>
      </w:r>
      <w:r>
        <w:rPr>
          <w:i/>
          <w:sz w:val="24"/>
        </w:rPr>
        <w:tab/>
      </w:r>
      <w:r>
        <w:rPr>
          <w:i/>
          <w:spacing w:val="-4"/>
          <w:sz w:val="24"/>
        </w:rPr>
        <w:t>2014</w:t>
      </w:r>
      <w:r>
        <w:rPr>
          <w:i/>
          <w:sz w:val="24"/>
        </w:rPr>
        <w:tab/>
      </w:r>
      <w:r>
        <w:rPr>
          <w:i/>
          <w:spacing w:val="-6"/>
          <w:sz w:val="24"/>
        </w:rPr>
        <w:t>to</w:t>
      </w:r>
      <w:r>
        <w:rPr>
          <w:i/>
          <w:sz w:val="24"/>
        </w:rPr>
        <w:tab/>
      </w:r>
      <w:r>
        <w:rPr>
          <w:i/>
          <w:spacing w:val="-2"/>
          <w:sz w:val="24"/>
        </w:rPr>
        <w:t>2024</w:t>
      </w:r>
      <w:r>
        <w:rPr>
          <w:spacing w:val="-2"/>
          <w:sz w:val="24"/>
        </w:rPr>
        <w:t>.</w:t>
      </w:r>
      <w:r>
        <w:rPr>
          <w:sz w:val="24"/>
        </w:rPr>
        <w:tab/>
      </w:r>
      <w:r>
        <w:rPr>
          <w:spacing w:val="-2"/>
          <w:sz w:val="24"/>
        </w:rPr>
        <w:t>[online]</w:t>
      </w:r>
      <w:r>
        <w:rPr>
          <w:sz w:val="24"/>
        </w:rPr>
        <w:tab/>
      </w:r>
      <w:r>
        <w:rPr>
          <w:spacing w:val="-2"/>
          <w:sz w:val="24"/>
        </w:rPr>
        <w:t>GOV.UK.</w:t>
      </w:r>
      <w:r>
        <w:rPr>
          <w:sz w:val="24"/>
        </w:rPr>
        <w:tab/>
      </w:r>
      <w:r>
        <w:rPr>
          <w:spacing w:val="-2"/>
          <w:sz w:val="24"/>
        </w:rPr>
        <w:t>Available</w:t>
      </w:r>
      <w:r>
        <w:rPr>
          <w:sz w:val="24"/>
        </w:rPr>
        <w:tab/>
      </w:r>
      <w:r>
        <w:rPr>
          <w:spacing w:val="-4"/>
          <w:sz w:val="24"/>
        </w:rPr>
        <w:t xml:space="preserve">at: </w:t>
      </w:r>
      <w:r>
        <w:rPr>
          <w:spacing w:val="-2"/>
          <w:sz w:val="24"/>
        </w:rPr>
        <w:t>https:/</w:t>
      </w:r>
      <w:hyperlink r:id="rId7">
        <w:r>
          <w:rPr>
            <w:spacing w:val="-2"/>
            <w:sz w:val="24"/>
          </w:rPr>
          <w:t>/www.gov.uk/government/publications/review-into-the-operational-effectiveness-of-the-</w:t>
        </w:r>
      </w:hyperlink>
      <w:r>
        <w:rPr>
          <w:spacing w:val="-2"/>
          <w:sz w:val="24"/>
        </w:rPr>
        <w:t xml:space="preserve"> care-quality-commission-full-report/analysis-of-care-quality-commission-data-on-inspections- assessments-and-ratings-2014-to-2024.</w:t>
      </w:r>
    </w:p>
    <w:p w14:paraId="3F4FB5CB" w14:textId="77777777" w:rsidR="00967495" w:rsidRDefault="00000000">
      <w:pPr>
        <w:pStyle w:val="BodyText"/>
        <w:spacing w:before="163" w:line="360" w:lineRule="auto"/>
        <w:ind w:right="349"/>
      </w:pPr>
      <w:r>
        <w:t>GOV.UK</w:t>
      </w:r>
      <w:r>
        <w:rPr>
          <w:spacing w:val="40"/>
        </w:rPr>
        <w:t xml:space="preserve"> </w:t>
      </w:r>
      <w:r>
        <w:t>(2025).</w:t>
      </w:r>
      <w:r>
        <w:rPr>
          <w:spacing w:val="75"/>
        </w:rPr>
        <w:t xml:space="preserve"> </w:t>
      </w:r>
      <w:r>
        <w:rPr>
          <w:i/>
        </w:rPr>
        <w:t>Care</w:t>
      </w:r>
      <w:r>
        <w:rPr>
          <w:i/>
          <w:spacing w:val="40"/>
        </w:rPr>
        <w:t xml:space="preserve"> </w:t>
      </w:r>
      <w:r>
        <w:rPr>
          <w:i/>
        </w:rPr>
        <w:t>and</w:t>
      </w:r>
      <w:r>
        <w:rPr>
          <w:i/>
          <w:spacing w:val="40"/>
        </w:rPr>
        <w:t xml:space="preserve"> </w:t>
      </w:r>
      <w:r>
        <w:rPr>
          <w:i/>
        </w:rPr>
        <w:t>Support</w:t>
      </w:r>
      <w:r>
        <w:rPr>
          <w:i/>
          <w:spacing w:val="76"/>
        </w:rPr>
        <w:t xml:space="preserve"> </w:t>
      </w:r>
      <w:r>
        <w:rPr>
          <w:i/>
        </w:rPr>
        <w:t>Statutory</w:t>
      </w:r>
      <w:r>
        <w:rPr>
          <w:i/>
          <w:spacing w:val="74"/>
        </w:rPr>
        <w:t xml:space="preserve"> </w:t>
      </w:r>
      <w:r>
        <w:rPr>
          <w:i/>
        </w:rPr>
        <w:t>Guidance</w:t>
      </w:r>
      <w:r>
        <w:t>.</w:t>
      </w:r>
      <w:r>
        <w:rPr>
          <w:spacing w:val="73"/>
        </w:rPr>
        <w:t xml:space="preserve"> </w:t>
      </w:r>
      <w:r>
        <w:t>[online]</w:t>
      </w:r>
      <w:r>
        <w:rPr>
          <w:spacing w:val="72"/>
        </w:rPr>
        <w:t xml:space="preserve"> </w:t>
      </w:r>
      <w:r>
        <w:t>GOV.UK.</w:t>
      </w:r>
      <w:r>
        <w:rPr>
          <w:spacing w:val="40"/>
        </w:rPr>
        <w:t xml:space="preserve"> </w:t>
      </w:r>
      <w:r>
        <w:t>Available</w:t>
      </w:r>
      <w:r>
        <w:rPr>
          <w:spacing w:val="75"/>
        </w:rPr>
        <w:t xml:space="preserve"> </w:t>
      </w:r>
      <w:r>
        <w:t xml:space="preserve">at: </w:t>
      </w:r>
      <w:r>
        <w:rPr>
          <w:spacing w:val="-2"/>
        </w:rPr>
        <w:t>https:/</w:t>
      </w:r>
      <w:hyperlink r:id="rId8">
        <w:r>
          <w:rPr>
            <w:spacing w:val="-2"/>
          </w:rPr>
          <w:t>/www.gov.uk/government/publications/care-act-statutory-guidance/care-and-support-</w:t>
        </w:r>
      </w:hyperlink>
      <w:r>
        <w:rPr>
          <w:spacing w:val="-2"/>
        </w:rPr>
        <w:t xml:space="preserve"> statutory-guidance.</w:t>
      </w:r>
    </w:p>
    <w:p w14:paraId="6FFE04B6" w14:textId="77777777" w:rsidR="00967495" w:rsidRDefault="00000000">
      <w:pPr>
        <w:pStyle w:val="BodyText"/>
        <w:spacing w:before="160" w:line="360" w:lineRule="auto"/>
        <w:ind w:right="359"/>
        <w:jc w:val="both"/>
      </w:pPr>
      <w:r>
        <w:t>Hakverdioğlu Yönt, G., Kisa, S. and Princeton, D.M. (2023). Physical Restraint Use in Nursing Homes—Regional</w:t>
      </w:r>
      <w:r>
        <w:rPr>
          <w:spacing w:val="-15"/>
        </w:rPr>
        <w:t xml:space="preserve"> </w:t>
      </w:r>
      <w:r>
        <w:t>Variances</w:t>
      </w:r>
      <w:r>
        <w:rPr>
          <w:spacing w:val="-15"/>
        </w:rPr>
        <w:t xml:space="preserve"> </w:t>
      </w:r>
      <w:r>
        <w:t>and</w:t>
      </w:r>
      <w:r>
        <w:rPr>
          <w:spacing w:val="-15"/>
        </w:rPr>
        <w:t xml:space="preserve"> </w:t>
      </w:r>
      <w:r>
        <w:t>Ethical</w:t>
      </w:r>
      <w:r>
        <w:rPr>
          <w:spacing w:val="-15"/>
        </w:rPr>
        <w:t xml:space="preserve"> </w:t>
      </w:r>
      <w:r>
        <w:t>Considerations:</w:t>
      </w:r>
      <w:r>
        <w:rPr>
          <w:spacing w:val="-15"/>
        </w:rPr>
        <w:t xml:space="preserve"> </w:t>
      </w:r>
      <w:r>
        <w:t>A</w:t>
      </w:r>
      <w:r>
        <w:rPr>
          <w:spacing w:val="-15"/>
        </w:rPr>
        <w:t xml:space="preserve"> </w:t>
      </w:r>
      <w:r>
        <w:t>Scoping</w:t>
      </w:r>
      <w:r>
        <w:rPr>
          <w:spacing w:val="-15"/>
        </w:rPr>
        <w:t xml:space="preserve"> </w:t>
      </w:r>
      <w:r>
        <w:t>Review</w:t>
      </w:r>
      <w:r>
        <w:rPr>
          <w:spacing w:val="-15"/>
        </w:rPr>
        <w:t xml:space="preserve"> </w:t>
      </w:r>
      <w:r>
        <w:t>of</w:t>
      </w:r>
      <w:r>
        <w:rPr>
          <w:spacing w:val="-15"/>
        </w:rPr>
        <w:t xml:space="preserve"> </w:t>
      </w:r>
      <w:r>
        <w:t>Empirical</w:t>
      </w:r>
      <w:r>
        <w:rPr>
          <w:spacing w:val="-15"/>
        </w:rPr>
        <w:t xml:space="preserve"> </w:t>
      </w:r>
      <w:r>
        <w:t xml:space="preserve">Studies. </w:t>
      </w:r>
      <w:r>
        <w:rPr>
          <w:i/>
        </w:rPr>
        <w:t>Healthcare</w:t>
      </w:r>
      <w:r>
        <w:t>, 11(15), pp.2204–2204. doi:https://doi.org/10.3390/healthcare11152204.</w:t>
      </w:r>
    </w:p>
    <w:p w14:paraId="7F079D65" w14:textId="77777777" w:rsidR="00967495" w:rsidRDefault="00000000">
      <w:pPr>
        <w:tabs>
          <w:tab w:val="left" w:pos="993"/>
          <w:tab w:val="left" w:pos="1295"/>
          <w:tab w:val="left" w:pos="2043"/>
          <w:tab w:val="left" w:pos="2340"/>
          <w:tab w:val="left" w:pos="2930"/>
          <w:tab w:val="left" w:pos="3981"/>
          <w:tab w:val="left" w:pos="5104"/>
          <w:tab w:val="left" w:pos="6087"/>
          <w:tab w:val="left" w:pos="7977"/>
          <w:tab w:val="left" w:pos="9124"/>
        </w:tabs>
        <w:spacing w:before="160" w:line="360" w:lineRule="auto"/>
        <w:ind w:right="354"/>
        <w:rPr>
          <w:sz w:val="24"/>
        </w:rPr>
      </w:pPr>
      <w:r>
        <w:rPr>
          <w:sz w:val="24"/>
        </w:rPr>
        <w:t>J.</w:t>
      </w:r>
      <w:r>
        <w:rPr>
          <w:spacing w:val="-14"/>
          <w:sz w:val="24"/>
        </w:rPr>
        <w:t xml:space="preserve"> </w:t>
      </w:r>
      <w:r>
        <w:rPr>
          <w:sz w:val="24"/>
        </w:rPr>
        <w:t>Giordano,</w:t>
      </w:r>
      <w:r>
        <w:rPr>
          <w:spacing w:val="-12"/>
          <w:sz w:val="24"/>
        </w:rPr>
        <w:t xml:space="preserve"> </w:t>
      </w:r>
      <w:r>
        <w:rPr>
          <w:sz w:val="24"/>
        </w:rPr>
        <w:t>J.</w:t>
      </w:r>
      <w:r>
        <w:rPr>
          <w:spacing w:val="-12"/>
          <w:sz w:val="24"/>
        </w:rPr>
        <w:t xml:space="preserve"> </w:t>
      </w:r>
      <w:r>
        <w:rPr>
          <w:sz w:val="24"/>
        </w:rPr>
        <w:t>(2022).</w:t>
      </w:r>
      <w:r>
        <w:rPr>
          <w:spacing w:val="-11"/>
          <w:sz w:val="24"/>
        </w:rPr>
        <w:t xml:space="preserve"> </w:t>
      </w:r>
      <w:r>
        <w:rPr>
          <w:i/>
          <w:sz w:val="24"/>
        </w:rPr>
        <w:t>Cambridge</w:t>
      </w:r>
      <w:r>
        <w:rPr>
          <w:i/>
          <w:spacing w:val="-11"/>
          <w:sz w:val="24"/>
        </w:rPr>
        <w:t xml:space="preserve"> </w:t>
      </w:r>
      <w:r>
        <w:rPr>
          <w:i/>
          <w:sz w:val="24"/>
        </w:rPr>
        <w:t>Residential</w:t>
      </w:r>
      <w:r>
        <w:rPr>
          <w:i/>
          <w:spacing w:val="-14"/>
          <w:sz w:val="24"/>
        </w:rPr>
        <w:t xml:space="preserve"> </w:t>
      </w:r>
      <w:r>
        <w:rPr>
          <w:i/>
          <w:sz w:val="24"/>
        </w:rPr>
        <w:t>Survey</w:t>
      </w:r>
      <w:r>
        <w:rPr>
          <w:i/>
          <w:spacing w:val="-12"/>
          <w:sz w:val="24"/>
        </w:rPr>
        <w:t xml:space="preserve"> </w:t>
      </w:r>
      <w:r>
        <w:rPr>
          <w:i/>
          <w:sz w:val="24"/>
        </w:rPr>
        <w:t>Shows</w:t>
      </w:r>
      <w:r>
        <w:rPr>
          <w:i/>
          <w:spacing w:val="-15"/>
          <w:sz w:val="24"/>
        </w:rPr>
        <w:t xml:space="preserve"> </w:t>
      </w:r>
      <w:r>
        <w:rPr>
          <w:i/>
          <w:sz w:val="24"/>
        </w:rPr>
        <w:t>Affordable</w:t>
      </w:r>
      <w:r>
        <w:rPr>
          <w:i/>
          <w:spacing w:val="-15"/>
          <w:sz w:val="24"/>
        </w:rPr>
        <w:t xml:space="preserve"> </w:t>
      </w:r>
      <w:r>
        <w:rPr>
          <w:i/>
          <w:sz w:val="24"/>
        </w:rPr>
        <w:t>Housing</w:t>
      </w:r>
      <w:r>
        <w:rPr>
          <w:i/>
          <w:spacing w:val="-10"/>
          <w:sz w:val="24"/>
        </w:rPr>
        <w:t xml:space="preserve"> </w:t>
      </w:r>
      <w:r>
        <w:rPr>
          <w:i/>
          <w:sz w:val="24"/>
        </w:rPr>
        <w:t>is</w:t>
      </w:r>
      <w:r>
        <w:rPr>
          <w:i/>
          <w:spacing w:val="-15"/>
          <w:sz w:val="24"/>
        </w:rPr>
        <w:t xml:space="preserve"> </w:t>
      </w:r>
      <w:r>
        <w:rPr>
          <w:i/>
          <w:sz w:val="24"/>
        </w:rPr>
        <w:t>Residents’</w:t>
      </w:r>
      <w:r>
        <w:rPr>
          <w:i/>
          <w:spacing w:val="-30"/>
          <w:sz w:val="24"/>
        </w:rPr>
        <w:t xml:space="preserve"> </w:t>
      </w:r>
      <w:r>
        <w:rPr>
          <w:i/>
          <w:sz w:val="24"/>
        </w:rPr>
        <w:t xml:space="preserve">Top </w:t>
      </w:r>
      <w:r>
        <w:rPr>
          <w:i/>
          <w:spacing w:val="-2"/>
          <w:sz w:val="24"/>
        </w:rPr>
        <w:t>Priority</w:t>
      </w:r>
      <w:r>
        <w:rPr>
          <w:i/>
          <w:sz w:val="24"/>
        </w:rPr>
        <w:tab/>
      </w:r>
      <w:r>
        <w:rPr>
          <w:i/>
          <w:spacing w:val="-10"/>
          <w:sz w:val="24"/>
        </w:rPr>
        <w:t>|</w:t>
      </w:r>
      <w:r>
        <w:rPr>
          <w:i/>
          <w:sz w:val="24"/>
        </w:rPr>
        <w:tab/>
      </w:r>
      <w:r>
        <w:rPr>
          <w:i/>
          <w:spacing w:val="-4"/>
          <w:sz w:val="24"/>
        </w:rPr>
        <w:t>News</w:t>
      </w:r>
      <w:r>
        <w:rPr>
          <w:i/>
          <w:sz w:val="24"/>
        </w:rPr>
        <w:tab/>
      </w:r>
      <w:r>
        <w:rPr>
          <w:i/>
          <w:spacing w:val="-10"/>
          <w:sz w:val="24"/>
        </w:rPr>
        <w:t>|</w:t>
      </w:r>
      <w:r>
        <w:rPr>
          <w:i/>
          <w:sz w:val="24"/>
        </w:rPr>
        <w:tab/>
      </w:r>
      <w:r>
        <w:rPr>
          <w:i/>
          <w:spacing w:val="-4"/>
          <w:sz w:val="24"/>
        </w:rPr>
        <w:t>The</w:t>
      </w:r>
      <w:r>
        <w:rPr>
          <w:i/>
          <w:sz w:val="24"/>
        </w:rPr>
        <w:tab/>
      </w:r>
      <w:r>
        <w:rPr>
          <w:i/>
          <w:spacing w:val="-2"/>
          <w:sz w:val="24"/>
        </w:rPr>
        <w:t>Harvard</w:t>
      </w:r>
      <w:r>
        <w:rPr>
          <w:i/>
          <w:sz w:val="24"/>
        </w:rPr>
        <w:tab/>
      </w:r>
      <w:r>
        <w:rPr>
          <w:i/>
          <w:spacing w:val="-2"/>
          <w:sz w:val="24"/>
        </w:rPr>
        <w:t>Crimson</w:t>
      </w:r>
      <w:r>
        <w:rPr>
          <w:spacing w:val="-2"/>
          <w:sz w:val="24"/>
        </w:rPr>
        <w:t>.</w:t>
      </w:r>
      <w:r>
        <w:rPr>
          <w:sz w:val="24"/>
        </w:rPr>
        <w:tab/>
      </w:r>
      <w:r>
        <w:rPr>
          <w:spacing w:val="-2"/>
          <w:sz w:val="24"/>
        </w:rPr>
        <w:t>[online]</w:t>
      </w:r>
      <w:r>
        <w:rPr>
          <w:sz w:val="24"/>
        </w:rPr>
        <w:tab/>
      </w:r>
      <w:r>
        <w:rPr>
          <w:spacing w:val="-2"/>
          <w:sz w:val="24"/>
        </w:rPr>
        <w:t>Thecrimson.com.</w:t>
      </w:r>
      <w:r>
        <w:rPr>
          <w:sz w:val="24"/>
        </w:rPr>
        <w:tab/>
      </w:r>
      <w:r>
        <w:rPr>
          <w:spacing w:val="-2"/>
          <w:sz w:val="24"/>
        </w:rPr>
        <w:t>Available</w:t>
      </w:r>
      <w:r>
        <w:rPr>
          <w:sz w:val="24"/>
        </w:rPr>
        <w:tab/>
      </w:r>
      <w:r>
        <w:rPr>
          <w:spacing w:val="-4"/>
          <w:sz w:val="24"/>
        </w:rPr>
        <w:t xml:space="preserve">at: </w:t>
      </w:r>
      <w:r>
        <w:rPr>
          <w:spacing w:val="-2"/>
          <w:sz w:val="24"/>
        </w:rPr>
        <w:t>https:/</w:t>
      </w:r>
      <w:hyperlink r:id="rId9">
        <w:r>
          <w:rPr>
            <w:spacing w:val="-2"/>
            <w:sz w:val="24"/>
          </w:rPr>
          <w:t>/www.thecrimson.com/article/2024/2/6/cambridge-affordable-housing-top-priority/</w:t>
        </w:r>
      </w:hyperlink>
      <w:r>
        <w:rPr>
          <w:spacing w:val="-2"/>
          <w:sz w:val="24"/>
        </w:rPr>
        <w:t xml:space="preserve"> </w:t>
      </w:r>
      <w:r>
        <w:rPr>
          <w:sz w:val="24"/>
        </w:rPr>
        <w:t>[Accessed 8 Jul. 2025].</w:t>
      </w:r>
    </w:p>
    <w:p w14:paraId="622E1F74" w14:textId="77777777" w:rsidR="00967495" w:rsidRDefault="00000000">
      <w:pPr>
        <w:pStyle w:val="BodyText"/>
        <w:spacing w:before="159" w:line="360" w:lineRule="auto"/>
        <w:ind w:right="356"/>
        <w:jc w:val="both"/>
      </w:pPr>
      <w:r>
        <w:t xml:space="preserve">Johnston, C. and Liddle, J. (2007). The Mental Capacity Act 2005: a New Framework for Healthcare Decision Making. </w:t>
      </w:r>
      <w:r>
        <w:rPr>
          <w:i/>
        </w:rPr>
        <w:t>Journal of Medical Ethics</w:t>
      </w:r>
      <w:r>
        <w:t>, [online] 33(2), pp.94–97.</w:t>
      </w:r>
      <w:r>
        <w:rPr>
          <w:spacing w:val="-2"/>
        </w:rPr>
        <w:t xml:space="preserve"> </w:t>
      </w:r>
      <w:r>
        <w:t xml:space="preserve">Available at: </w:t>
      </w:r>
      <w:r>
        <w:rPr>
          <w:spacing w:val="-2"/>
        </w:rPr>
        <w:t>https://pmc.ncbi.nlm.nih.gov/articles/PMC2598235/.</w:t>
      </w:r>
    </w:p>
    <w:p w14:paraId="1E799769" w14:textId="77777777" w:rsidR="00967495" w:rsidRDefault="00967495">
      <w:pPr>
        <w:pStyle w:val="BodyText"/>
        <w:spacing w:line="360" w:lineRule="auto"/>
        <w:jc w:val="both"/>
        <w:sectPr w:rsidR="00967495">
          <w:pgSz w:w="12240" w:h="15840"/>
          <w:pgMar w:top="1380" w:right="1080" w:bottom="280" w:left="1440" w:header="720" w:footer="720" w:gutter="0"/>
          <w:pgBorders w:offsetFrom="page">
            <w:top w:val="single" w:sz="4" w:space="24" w:color="000000"/>
            <w:left w:val="single" w:sz="4" w:space="24" w:color="000000"/>
            <w:bottom w:val="single" w:sz="4" w:space="24" w:color="000000"/>
            <w:right w:val="single" w:sz="4" w:space="24" w:color="000000"/>
          </w:pgBorders>
          <w:cols w:space="720"/>
        </w:sectPr>
      </w:pPr>
    </w:p>
    <w:p w14:paraId="39B24AB2" w14:textId="77777777" w:rsidR="00967495" w:rsidRDefault="00000000">
      <w:pPr>
        <w:pStyle w:val="BodyText"/>
        <w:spacing w:before="62" w:line="360" w:lineRule="auto"/>
        <w:ind w:right="355"/>
        <w:jc w:val="both"/>
      </w:pPr>
      <w:r>
        <w:lastRenderedPageBreak/>
        <w:t>Luo, M.</w:t>
      </w:r>
      <w:r>
        <w:rPr>
          <w:spacing w:val="-1"/>
        </w:rPr>
        <w:t xml:space="preserve"> </w:t>
      </w:r>
      <w:r>
        <w:t>(2022).</w:t>
      </w:r>
      <w:r>
        <w:rPr>
          <w:spacing w:val="-1"/>
        </w:rPr>
        <w:t xml:space="preserve"> </w:t>
      </w:r>
      <w:r>
        <w:t>Social isolation, loneliness, and depressive symptoms:</w:t>
      </w:r>
      <w:r>
        <w:rPr>
          <w:spacing w:val="-11"/>
        </w:rPr>
        <w:t xml:space="preserve"> </w:t>
      </w:r>
      <w:r>
        <w:t>A</w:t>
      </w:r>
      <w:r>
        <w:rPr>
          <w:spacing w:val="-12"/>
        </w:rPr>
        <w:t xml:space="preserve"> </w:t>
      </w:r>
      <w:r>
        <w:t xml:space="preserve">twelve-year population study of temporal dynamics. </w:t>
      </w:r>
      <w:r>
        <w:rPr>
          <w:i/>
        </w:rPr>
        <w:t>The Journals of Gerontology: Series B</w:t>
      </w:r>
      <w:r>
        <w:t xml:space="preserve">, [online] 78(2). </w:t>
      </w:r>
      <w:r>
        <w:rPr>
          <w:spacing w:val="-2"/>
        </w:rPr>
        <w:t>doi:https://doi.org/10.1093/geronb/gbac174.</w:t>
      </w:r>
    </w:p>
    <w:p w14:paraId="07E8674F" w14:textId="77777777" w:rsidR="00967495" w:rsidRDefault="00000000">
      <w:pPr>
        <w:pStyle w:val="BodyText"/>
        <w:spacing w:before="160" w:line="360" w:lineRule="auto"/>
        <w:ind w:right="351"/>
        <w:jc w:val="both"/>
      </w:pPr>
      <w:r>
        <w:t>Mearsheimer, J.J. (1994).</w:t>
      </w:r>
      <w:r>
        <w:rPr>
          <w:spacing w:val="-2"/>
        </w:rPr>
        <w:t xml:space="preserve"> </w:t>
      </w:r>
      <w:r>
        <w:t xml:space="preserve">The False Promise of International Institutions. </w:t>
      </w:r>
      <w:r>
        <w:rPr>
          <w:i/>
        </w:rPr>
        <w:t>International Security</w:t>
      </w:r>
      <w:r>
        <w:t>, 19(3), pp.5–49. doi:https://doi.org/10.2307/2539078.</w:t>
      </w:r>
    </w:p>
    <w:p w14:paraId="79CFF09A" w14:textId="77777777" w:rsidR="00967495" w:rsidRDefault="00000000">
      <w:pPr>
        <w:pStyle w:val="BodyText"/>
        <w:tabs>
          <w:tab w:val="left" w:pos="1181"/>
          <w:tab w:val="left" w:pos="2544"/>
          <w:tab w:val="left" w:pos="4182"/>
          <w:tab w:val="left" w:pos="6275"/>
          <w:tab w:val="left" w:pos="7926"/>
        </w:tabs>
        <w:spacing w:before="161" w:line="360" w:lineRule="auto"/>
        <w:ind w:right="351"/>
        <w:jc w:val="both"/>
      </w:pPr>
      <w:r>
        <w:t>Park, J.H. and Kang, S.-W. (2023). Social Interaction and Life Satisfaction among Older</w:t>
      </w:r>
      <w:r>
        <w:rPr>
          <w:spacing w:val="-5"/>
        </w:rPr>
        <w:t xml:space="preserve"> </w:t>
      </w:r>
      <w:r>
        <w:t xml:space="preserve">Adults </w:t>
      </w:r>
      <w:r>
        <w:rPr>
          <w:spacing w:val="-6"/>
        </w:rPr>
        <w:t>by</w:t>
      </w:r>
      <w:r>
        <w:tab/>
      </w:r>
      <w:r>
        <w:rPr>
          <w:spacing w:val="-4"/>
        </w:rPr>
        <w:t>Age</w:t>
      </w:r>
      <w:r>
        <w:tab/>
      </w:r>
      <w:r>
        <w:rPr>
          <w:spacing w:val="-2"/>
        </w:rPr>
        <w:t>Group.</w:t>
      </w:r>
      <w:r>
        <w:tab/>
      </w:r>
      <w:r>
        <w:rPr>
          <w:i/>
          <w:spacing w:val="-2"/>
        </w:rPr>
        <w:t>Healthcare</w:t>
      </w:r>
      <w:r>
        <w:rPr>
          <w:spacing w:val="-2"/>
        </w:rPr>
        <w:t>,</w:t>
      </w:r>
      <w:r>
        <w:tab/>
      </w:r>
      <w:r>
        <w:rPr>
          <w:spacing w:val="-2"/>
        </w:rPr>
        <w:t>11(22),</w:t>
      </w:r>
      <w:r>
        <w:tab/>
      </w:r>
      <w:r>
        <w:rPr>
          <w:spacing w:val="-2"/>
        </w:rPr>
        <w:t>pp.2951–2951. doi:https://doi.org/10.3390/healthcare11222951.</w:t>
      </w:r>
    </w:p>
    <w:p w14:paraId="394E38E9" w14:textId="77777777" w:rsidR="00967495" w:rsidRDefault="00000000">
      <w:pPr>
        <w:pStyle w:val="BodyText"/>
        <w:spacing w:before="160" w:line="360" w:lineRule="auto"/>
        <w:ind w:right="351"/>
        <w:jc w:val="both"/>
      </w:pPr>
      <w:r>
        <w:t>Sahar Keyvanloo Shahrestanaki, Rafii, F., Ashghali Farahani, M., Ghezeljeh, T.N. and Zahra (2023). Contributing factors</w:t>
      </w:r>
      <w:r>
        <w:rPr>
          <w:spacing w:val="-3"/>
        </w:rPr>
        <w:t xml:space="preserve"> </w:t>
      </w:r>
      <w:r>
        <w:t>involved in the safety of elderly people</w:t>
      </w:r>
      <w:r>
        <w:rPr>
          <w:spacing w:val="-1"/>
        </w:rPr>
        <w:t xml:space="preserve"> </w:t>
      </w:r>
      <w:r>
        <w:t xml:space="preserve">with chronic illness in home healthcare: a qualitative study. 12(3), pp.e002335–e002335. doi:https://doi.org/10.1136/bmjoq- </w:t>
      </w:r>
      <w:r>
        <w:rPr>
          <w:spacing w:val="-2"/>
        </w:rPr>
        <w:t>2023-002335.</w:t>
      </w:r>
    </w:p>
    <w:p w14:paraId="08EA0AF4" w14:textId="77777777" w:rsidR="00967495" w:rsidRDefault="00000000">
      <w:pPr>
        <w:pStyle w:val="BodyText"/>
        <w:spacing w:before="159" w:line="362" w:lineRule="auto"/>
        <w:ind w:right="360"/>
        <w:jc w:val="both"/>
      </w:pPr>
      <w:r>
        <w:t>Tay,</w:t>
      </w:r>
      <w:r>
        <w:rPr>
          <w:spacing w:val="-12"/>
        </w:rPr>
        <w:t xml:space="preserve"> </w:t>
      </w:r>
      <w:r>
        <w:t>Y.L.,</w:t>
      </w:r>
      <w:r>
        <w:rPr>
          <w:spacing w:val="-15"/>
        </w:rPr>
        <w:t xml:space="preserve"> </w:t>
      </w:r>
      <w:r>
        <w:t>Abu</w:t>
      </w:r>
      <w:r>
        <w:rPr>
          <w:spacing w:val="-4"/>
        </w:rPr>
        <w:t xml:space="preserve"> </w:t>
      </w:r>
      <w:r>
        <w:t>Bakar,</w:t>
      </w:r>
      <w:r>
        <w:rPr>
          <w:spacing w:val="-6"/>
        </w:rPr>
        <w:t xml:space="preserve"> </w:t>
      </w:r>
      <w:r>
        <w:t>N.S.,</w:t>
      </w:r>
      <w:r>
        <w:rPr>
          <w:spacing w:val="-6"/>
        </w:rPr>
        <w:t xml:space="preserve"> </w:t>
      </w:r>
      <w:r>
        <w:t>Tumiran,</w:t>
      </w:r>
      <w:r>
        <w:rPr>
          <w:spacing w:val="-6"/>
        </w:rPr>
        <w:t xml:space="preserve"> </w:t>
      </w:r>
      <w:r>
        <w:t>R.,</w:t>
      </w:r>
      <w:r>
        <w:rPr>
          <w:spacing w:val="-15"/>
        </w:rPr>
        <w:t xml:space="preserve"> </w:t>
      </w:r>
      <w:r>
        <w:t>Ab</w:t>
      </w:r>
      <w:r>
        <w:rPr>
          <w:spacing w:val="-4"/>
        </w:rPr>
        <w:t xml:space="preserve"> </w:t>
      </w:r>
      <w:r>
        <w:t>Rahman,</w:t>
      </w:r>
      <w:r>
        <w:rPr>
          <w:spacing w:val="-2"/>
        </w:rPr>
        <w:t xml:space="preserve"> </w:t>
      </w:r>
      <w:r>
        <w:t>N.H.,</w:t>
      </w:r>
      <w:r>
        <w:rPr>
          <w:spacing w:val="-6"/>
        </w:rPr>
        <w:t xml:space="preserve"> </w:t>
      </w:r>
      <w:r>
        <w:t>Mohd</w:t>
      </w:r>
      <w:r>
        <w:rPr>
          <w:spacing w:val="-4"/>
        </w:rPr>
        <w:t xml:space="preserve"> </w:t>
      </w:r>
      <w:r>
        <w:t>Ma’amor,</w:t>
      </w:r>
      <w:r>
        <w:rPr>
          <w:spacing w:val="-2"/>
        </w:rPr>
        <w:t xml:space="preserve"> </w:t>
      </w:r>
      <w:r>
        <w:t>N.A.A.,</w:t>
      </w:r>
      <w:r>
        <w:rPr>
          <w:spacing w:val="-14"/>
        </w:rPr>
        <w:t xml:space="preserve"> </w:t>
      </w:r>
      <w:r>
        <w:t>Yau,</w:t>
      </w:r>
      <w:r>
        <w:rPr>
          <w:spacing w:val="-10"/>
        </w:rPr>
        <w:t xml:space="preserve"> </w:t>
      </w:r>
      <w:r>
        <w:t>W.K. and</w:t>
      </w:r>
      <w:r>
        <w:rPr>
          <w:spacing w:val="-15"/>
        </w:rPr>
        <w:t xml:space="preserve"> </w:t>
      </w:r>
      <w:r>
        <w:t>Abdullah,</w:t>
      </w:r>
      <w:r>
        <w:rPr>
          <w:spacing w:val="-4"/>
        </w:rPr>
        <w:t xml:space="preserve"> </w:t>
      </w:r>
      <w:r>
        <w:t>Z.</w:t>
      </w:r>
      <w:r>
        <w:rPr>
          <w:spacing w:val="-4"/>
        </w:rPr>
        <w:t xml:space="preserve"> </w:t>
      </w:r>
      <w:r>
        <w:t>(2021).</w:t>
      </w:r>
      <w:r>
        <w:rPr>
          <w:spacing w:val="-9"/>
        </w:rPr>
        <w:t xml:space="preserve"> </w:t>
      </w:r>
      <w:r>
        <w:t>Effects</w:t>
      </w:r>
      <w:r>
        <w:rPr>
          <w:spacing w:val="-8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home</w:t>
      </w:r>
      <w:r>
        <w:rPr>
          <w:spacing w:val="-6"/>
        </w:rPr>
        <w:t xml:space="preserve"> </w:t>
      </w:r>
      <w:r>
        <w:t>visits</w:t>
      </w:r>
      <w:r>
        <w:rPr>
          <w:spacing w:val="-8"/>
        </w:rPr>
        <w:t xml:space="preserve"> </w:t>
      </w:r>
      <w:r>
        <w:t>on</w:t>
      </w:r>
      <w:r>
        <w:rPr>
          <w:spacing w:val="-6"/>
        </w:rPr>
        <w:t xml:space="preserve"> </w:t>
      </w:r>
      <w:r>
        <w:t>quality</w:t>
      </w:r>
      <w:r>
        <w:rPr>
          <w:spacing w:val="-5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life</w:t>
      </w:r>
      <w:r>
        <w:rPr>
          <w:spacing w:val="-7"/>
        </w:rPr>
        <w:t xml:space="preserve"> </w:t>
      </w:r>
      <w:r>
        <w:t>among</w:t>
      </w:r>
      <w:r>
        <w:rPr>
          <w:spacing w:val="-5"/>
        </w:rPr>
        <w:t xml:space="preserve"> </w:t>
      </w:r>
      <w:r>
        <w:t>older</w:t>
      </w:r>
      <w:r>
        <w:rPr>
          <w:spacing w:val="-5"/>
        </w:rPr>
        <w:t xml:space="preserve"> </w:t>
      </w:r>
      <w:r>
        <w:t>adults:</w:t>
      </w:r>
      <w:r>
        <w:rPr>
          <w:spacing w:val="-5"/>
        </w:rPr>
        <w:t xml:space="preserve"> </w:t>
      </w:r>
      <w:r>
        <w:t>a</w:t>
      </w:r>
      <w:r>
        <w:rPr>
          <w:spacing w:val="-7"/>
        </w:rPr>
        <w:t xml:space="preserve"> </w:t>
      </w:r>
      <w:r>
        <w:t xml:space="preserve">systematic review protocol. </w:t>
      </w:r>
      <w:r>
        <w:rPr>
          <w:i/>
        </w:rPr>
        <w:t>Systematic Reviews</w:t>
      </w:r>
      <w:r>
        <w:t>, 10(1). doi:https://doi.org/10.1186/s13643-021-01862-8.</w:t>
      </w:r>
    </w:p>
    <w:p w14:paraId="77EDA14D" w14:textId="2B74D2C7" w:rsidR="00967495" w:rsidRDefault="00000000" w:rsidP="00BD3376">
      <w:pPr>
        <w:pStyle w:val="BodyText"/>
        <w:spacing w:before="152" w:line="360" w:lineRule="auto"/>
        <w:ind w:right="351"/>
        <w:jc w:val="both"/>
      </w:pPr>
      <w:r>
        <w:t xml:space="preserve">Verderber, S., Koyabashi, U., Cruz, C.D., Sadat, A. and Anderson, D.C. (2023). Residential Environments for Older Persons: A Comprehensive Literature Review (2005–2022). </w:t>
      </w:r>
      <w:r>
        <w:rPr>
          <w:i/>
        </w:rPr>
        <w:t>HERD: Health Environments Research &amp; Design Journal</w:t>
      </w:r>
      <w:r>
        <w:t xml:space="preserve">, 16(3), p.193758672311526. </w:t>
      </w:r>
      <w:r>
        <w:rPr>
          <w:spacing w:val="-2"/>
        </w:rPr>
        <w:t>doi:https://doi.org/10.1177/19375867231152611</w:t>
      </w:r>
      <w:r w:rsidR="00BD3376">
        <w:rPr>
          <w:spacing w:val="-2"/>
        </w:rPr>
        <w:t>.</w:t>
      </w:r>
      <w:r w:rsidR="00BD3376">
        <w:t xml:space="preserve"> </w:t>
      </w:r>
    </w:p>
    <w:sectPr w:rsidR="00967495">
      <w:pgSz w:w="12240" w:h="15840"/>
      <w:pgMar w:top="1380" w:right="1080" w:bottom="280" w:left="1440" w:header="720" w:footer="720" w:gutter="0"/>
      <w:pgBorders w:offsetFrom="page">
        <w:top w:val="single" w:sz="4" w:space="24" w:color="000000"/>
        <w:left w:val="single" w:sz="4" w:space="24" w:color="000000"/>
        <w:bottom w:val="single" w:sz="4" w:space="24" w:color="000000"/>
        <w:right w:val="single" w:sz="4" w:space="24" w:color="000000"/>
      </w:pgBorders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967495"/>
    <w:rsid w:val="00967495"/>
    <w:rsid w:val="00BD3376"/>
    <w:rsid w:val="00C129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P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465C55"/>
  <w15:docId w15:val="{F9A9AFBE-9B06-4E89-A4BA-A00E152C59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Title">
    <w:name w:val="Title"/>
    <w:basedOn w:val="Normal"/>
    <w:uiPriority w:val="10"/>
    <w:qFormat/>
    <w:pPr>
      <w:ind w:left="1988" w:hanging="927"/>
    </w:pPr>
    <w:rPr>
      <w:b/>
      <w:bCs/>
      <w:sz w:val="32"/>
      <w:szCs w:val="32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gov.uk/government/publications/care-act-statutory-guidance/care-and-support-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gov.uk/government/publications/review-into-the-operational-effectiveness-of-the-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cqc.org.uk/press-release/high-demand-long-waits-and-insufficient-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www.bgs.org.uk/CareHomesData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://www.alz.org/news/2024/new-alzheimers-association-report-" TargetMode="External"/><Relationship Id="rId9" Type="http://schemas.openxmlformats.org/officeDocument/2006/relationships/hyperlink" Target="http://www.thecrimson.com/article/2024/2/6/cambridge-affordable-housing-top-priorit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887</Words>
  <Characters>5057</Characters>
  <Application>Microsoft Office Word</Application>
  <DocSecurity>0</DocSecurity>
  <Lines>42</Lines>
  <Paragraphs>11</Paragraphs>
  <ScaleCrop>false</ScaleCrop>
  <Company/>
  <LinksUpToDate>false</LinksUpToDate>
  <CharactersWithSpaces>5933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CDC</dc:creator>
  <cp:lastModifiedBy>Aqsa Fazal</cp:lastModifiedBy>
  <cp:revision>2</cp:revision>
  <dcterms:created xsi:type="dcterms:W3CDTF">2025-12-01T17:13:00Z</dcterms:created>
  <dcterms:modified xsi:type="dcterms:W3CDTF">2025-12-01T17:18:00Z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2025-07-11T00:00:00Z</vt:filetime>
  </property>
  <property fmtid="{D5CDD505-2E9C-101B-9397-08002B2CF9AE}" pid="3" name="Creator">
    <vt:lpwstr>Microsoft® Word LTSC</vt:lpwstr>
  </property>
  <property fmtid="{D5CDD505-2E9C-101B-9397-08002B2CF9AE}" pid="4" name="LastSaved">
    <vt:filetime>2025-12-01T00:00:00Z</vt:filetime>
  </property>
  <property fmtid="{D5CDD505-2E9C-101B-9397-08002B2CF9AE}" pid="5" name="Producer">
    <vt:lpwstr>3-Heights(TM) PDF Analysis &amp; Repair Shell 4.12.26.3 (http://www.pdf-tools.com)</vt:lpwstr>
  </property>
</Properties>
</file>