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1F34E" w14:textId="48D14A41" w:rsidR="00D93480" w:rsidRDefault="00D93480" w:rsidP="00FC1A10">
      <w:pPr>
        <w:jc w:val="both"/>
        <w:rPr>
          <w:b/>
          <w:bCs/>
        </w:rPr>
      </w:pPr>
    </w:p>
    <w:p w14:paraId="73515B44" w14:textId="77777777" w:rsidR="00E358F5" w:rsidRDefault="00E358F5" w:rsidP="00E358F5">
      <w:pPr>
        <w:rPr>
          <w:rFonts w:ascii="Arial Nova" w:eastAsia="Arial Nova" w:hAnsi="Arial Nova" w:cs="Arial Nova"/>
        </w:rPr>
      </w:pPr>
    </w:p>
    <w:tbl>
      <w:tblPr>
        <w:tblStyle w:val="TableGrid"/>
        <w:tblW w:w="9606" w:type="dxa"/>
        <w:tblLook w:val="04A0" w:firstRow="1" w:lastRow="0" w:firstColumn="1" w:lastColumn="0" w:noHBand="0" w:noVBand="1"/>
      </w:tblPr>
      <w:tblGrid>
        <w:gridCol w:w="4803"/>
        <w:gridCol w:w="4803"/>
      </w:tblGrid>
      <w:tr w:rsidR="00E358F5" w:rsidRPr="00E668EE" w14:paraId="5D53E810" w14:textId="77777777" w:rsidTr="007D63E8">
        <w:trPr>
          <w:trHeight w:val="1243"/>
        </w:trPr>
        <w:tc>
          <w:tcPr>
            <w:tcW w:w="4803" w:type="dxa"/>
          </w:tcPr>
          <w:p w14:paraId="13273006" w14:textId="77777777" w:rsidR="00E358F5" w:rsidRDefault="00E358F5" w:rsidP="007D63E8">
            <w:pPr>
              <w:jc w:val="center"/>
              <w:rPr>
                <w:rFonts w:ascii="Arial" w:hAnsi="Arial" w:cs="Arial"/>
                <w:b/>
                <w:bCs/>
              </w:rPr>
            </w:pPr>
          </w:p>
          <w:p w14:paraId="616A1472" w14:textId="77777777" w:rsidR="00E358F5" w:rsidRDefault="00E358F5" w:rsidP="007D63E8">
            <w:pPr>
              <w:jc w:val="center"/>
              <w:rPr>
                <w:rFonts w:ascii="Arial" w:hAnsi="Arial" w:cs="Arial"/>
                <w:b/>
                <w:bCs/>
              </w:rPr>
            </w:pPr>
          </w:p>
          <w:p w14:paraId="3D9F3115" w14:textId="77777777" w:rsidR="00E358F5" w:rsidRPr="005E354F" w:rsidRDefault="00E358F5" w:rsidP="007D63E8">
            <w:pPr>
              <w:jc w:val="center"/>
              <w:rPr>
                <w:rFonts w:ascii="Arial" w:hAnsi="Arial" w:cs="Arial"/>
                <w:b/>
                <w:bCs/>
              </w:rPr>
            </w:pPr>
            <w:r w:rsidRPr="005E354F">
              <w:rPr>
                <w:rFonts w:ascii="Arial" w:hAnsi="Arial" w:cs="Arial"/>
                <w:b/>
                <w:bCs/>
              </w:rPr>
              <w:t>STUDENT NAME</w:t>
            </w:r>
          </w:p>
        </w:tc>
        <w:tc>
          <w:tcPr>
            <w:tcW w:w="4803" w:type="dxa"/>
          </w:tcPr>
          <w:p w14:paraId="1F2ABA0A" w14:textId="77777777" w:rsidR="00E358F5" w:rsidRPr="00E668EE" w:rsidRDefault="00E358F5" w:rsidP="007D63E8">
            <w:pPr>
              <w:jc w:val="center"/>
              <w:rPr>
                <w:rFonts w:ascii="Arial" w:hAnsi="Arial" w:cs="Arial"/>
                <w:b/>
                <w:bCs/>
                <w:color w:val="000000" w:themeColor="text1"/>
              </w:rPr>
            </w:pPr>
          </w:p>
          <w:p w14:paraId="452FC914" w14:textId="77777777" w:rsidR="00E358F5" w:rsidRPr="00E668EE" w:rsidRDefault="00E358F5" w:rsidP="007D63E8">
            <w:pPr>
              <w:jc w:val="center"/>
              <w:rPr>
                <w:rFonts w:ascii="Arial" w:hAnsi="Arial" w:cs="Arial"/>
                <w:b/>
                <w:bCs/>
                <w:color w:val="000000" w:themeColor="text1"/>
              </w:rPr>
            </w:pPr>
          </w:p>
          <w:p w14:paraId="5541EDFD" w14:textId="77777777" w:rsidR="00E358F5" w:rsidRPr="00E668EE" w:rsidRDefault="00E358F5" w:rsidP="007D63E8">
            <w:pPr>
              <w:jc w:val="center"/>
              <w:rPr>
                <w:rFonts w:ascii="Arial" w:hAnsi="Arial" w:cs="Arial"/>
                <w:b/>
                <w:bCs/>
              </w:rPr>
            </w:pPr>
            <w:r w:rsidRPr="00E668EE">
              <w:rPr>
                <w:rFonts w:ascii="Arial" w:hAnsi="Arial" w:cs="Arial"/>
                <w:b/>
                <w:bCs/>
                <w:color w:val="000000" w:themeColor="text1"/>
              </w:rPr>
              <w:t>NAZISH SHAHID (2330299)</w:t>
            </w:r>
          </w:p>
        </w:tc>
      </w:tr>
      <w:tr w:rsidR="00E358F5" w:rsidRPr="00E668EE" w14:paraId="4932686A" w14:textId="77777777" w:rsidTr="007D63E8">
        <w:trPr>
          <w:trHeight w:val="1243"/>
        </w:trPr>
        <w:tc>
          <w:tcPr>
            <w:tcW w:w="4803" w:type="dxa"/>
          </w:tcPr>
          <w:p w14:paraId="76FA8FE4" w14:textId="77777777" w:rsidR="00E358F5" w:rsidRDefault="00E358F5" w:rsidP="007D63E8">
            <w:pPr>
              <w:jc w:val="center"/>
              <w:rPr>
                <w:rFonts w:ascii="Arial" w:hAnsi="Arial" w:cs="Arial"/>
                <w:b/>
                <w:bCs/>
              </w:rPr>
            </w:pPr>
          </w:p>
          <w:p w14:paraId="056F151E" w14:textId="77777777" w:rsidR="00E358F5" w:rsidRDefault="00E358F5" w:rsidP="007D63E8">
            <w:pPr>
              <w:jc w:val="center"/>
              <w:rPr>
                <w:rFonts w:ascii="Arial" w:hAnsi="Arial" w:cs="Arial"/>
                <w:b/>
                <w:bCs/>
              </w:rPr>
            </w:pPr>
          </w:p>
          <w:p w14:paraId="1189D9F9" w14:textId="77777777" w:rsidR="00E358F5" w:rsidRPr="005E354F" w:rsidRDefault="00E358F5" w:rsidP="007D63E8">
            <w:pPr>
              <w:jc w:val="center"/>
              <w:rPr>
                <w:rFonts w:ascii="Arial" w:hAnsi="Arial" w:cs="Arial"/>
                <w:b/>
                <w:bCs/>
              </w:rPr>
            </w:pPr>
            <w:r w:rsidRPr="005E354F">
              <w:rPr>
                <w:rFonts w:ascii="Arial" w:hAnsi="Arial" w:cs="Arial"/>
                <w:b/>
                <w:bCs/>
              </w:rPr>
              <w:t>MODULE CODE</w:t>
            </w:r>
          </w:p>
        </w:tc>
        <w:tc>
          <w:tcPr>
            <w:tcW w:w="4803" w:type="dxa"/>
          </w:tcPr>
          <w:p w14:paraId="707BD02A" w14:textId="77777777" w:rsidR="00E358F5" w:rsidRPr="00E668EE" w:rsidRDefault="00E358F5" w:rsidP="007D63E8">
            <w:pPr>
              <w:jc w:val="center"/>
              <w:rPr>
                <w:rFonts w:ascii="Arial" w:hAnsi="Arial" w:cs="Arial"/>
                <w:b/>
                <w:bCs/>
              </w:rPr>
            </w:pPr>
          </w:p>
          <w:p w14:paraId="58EDC9A0" w14:textId="77777777" w:rsidR="00E358F5" w:rsidRPr="00E668EE" w:rsidRDefault="00E358F5" w:rsidP="007D63E8">
            <w:pPr>
              <w:jc w:val="center"/>
              <w:rPr>
                <w:rFonts w:ascii="Arial" w:hAnsi="Arial" w:cs="Arial"/>
                <w:b/>
                <w:bCs/>
              </w:rPr>
            </w:pPr>
          </w:p>
          <w:p w14:paraId="355CEE65" w14:textId="67C0DE52" w:rsidR="00E358F5" w:rsidRPr="00E668EE" w:rsidRDefault="00E358F5" w:rsidP="007D63E8">
            <w:pPr>
              <w:jc w:val="center"/>
              <w:rPr>
                <w:rFonts w:ascii="Arial" w:hAnsi="Arial" w:cs="Arial"/>
                <w:b/>
                <w:bCs/>
              </w:rPr>
            </w:pPr>
            <w:r w:rsidRPr="00E668EE">
              <w:rPr>
                <w:rFonts w:ascii="Arial" w:hAnsi="Arial" w:cs="Arial"/>
                <w:b/>
                <w:bCs/>
              </w:rPr>
              <w:t>BMHP501</w:t>
            </w:r>
            <w:r w:rsidR="001C4EC8">
              <w:rPr>
                <w:rFonts w:ascii="Arial" w:hAnsi="Arial" w:cs="Arial"/>
                <w:b/>
                <w:bCs/>
              </w:rPr>
              <w:t>9</w:t>
            </w:r>
          </w:p>
        </w:tc>
      </w:tr>
      <w:tr w:rsidR="00E358F5" w:rsidRPr="00E668EE" w14:paraId="493D2EE3" w14:textId="77777777" w:rsidTr="007D63E8">
        <w:trPr>
          <w:trHeight w:val="1243"/>
        </w:trPr>
        <w:tc>
          <w:tcPr>
            <w:tcW w:w="4803" w:type="dxa"/>
          </w:tcPr>
          <w:p w14:paraId="2DDC8E8A" w14:textId="77777777" w:rsidR="00E358F5" w:rsidRDefault="00E358F5" w:rsidP="007D63E8">
            <w:pPr>
              <w:jc w:val="center"/>
              <w:rPr>
                <w:rFonts w:ascii="Arial" w:hAnsi="Arial" w:cs="Arial"/>
                <w:b/>
                <w:bCs/>
              </w:rPr>
            </w:pPr>
          </w:p>
          <w:p w14:paraId="01550A6B" w14:textId="77777777" w:rsidR="00E358F5" w:rsidRDefault="00E358F5" w:rsidP="007D63E8">
            <w:pPr>
              <w:jc w:val="center"/>
              <w:rPr>
                <w:rFonts w:ascii="Arial" w:hAnsi="Arial" w:cs="Arial"/>
                <w:b/>
                <w:bCs/>
              </w:rPr>
            </w:pPr>
          </w:p>
          <w:p w14:paraId="367D6CE2" w14:textId="77777777" w:rsidR="00E358F5" w:rsidRPr="005E354F" w:rsidRDefault="00E358F5" w:rsidP="007D63E8">
            <w:pPr>
              <w:jc w:val="center"/>
              <w:rPr>
                <w:rFonts w:ascii="Arial" w:hAnsi="Arial" w:cs="Arial"/>
                <w:b/>
                <w:bCs/>
              </w:rPr>
            </w:pPr>
            <w:r w:rsidRPr="005E354F">
              <w:rPr>
                <w:rFonts w:ascii="Arial" w:hAnsi="Arial" w:cs="Arial"/>
                <w:b/>
                <w:bCs/>
              </w:rPr>
              <w:t>MODULE TITLE</w:t>
            </w:r>
          </w:p>
        </w:tc>
        <w:tc>
          <w:tcPr>
            <w:tcW w:w="4803" w:type="dxa"/>
          </w:tcPr>
          <w:p w14:paraId="04C6F4EB" w14:textId="77777777" w:rsidR="00E358F5" w:rsidRPr="00E668EE" w:rsidRDefault="00E358F5" w:rsidP="007D63E8">
            <w:pPr>
              <w:jc w:val="center"/>
              <w:rPr>
                <w:rFonts w:ascii="Arial" w:hAnsi="Arial" w:cs="Arial"/>
                <w:b/>
                <w:bCs/>
              </w:rPr>
            </w:pPr>
          </w:p>
          <w:p w14:paraId="5FAEA001" w14:textId="61DA1AF2" w:rsidR="00E358F5" w:rsidRPr="00E668EE" w:rsidRDefault="001C4EC8" w:rsidP="007D63E8">
            <w:pPr>
              <w:jc w:val="center"/>
              <w:rPr>
                <w:rFonts w:ascii="Arial" w:hAnsi="Arial" w:cs="Arial"/>
                <w:b/>
                <w:bCs/>
              </w:rPr>
            </w:pPr>
            <w:r w:rsidRPr="003C0C73">
              <w:rPr>
                <w:rFonts w:ascii="Arial" w:hAnsi="Arial" w:cs="Arial"/>
                <w:b/>
              </w:rPr>
              <w:t>Introduction to Independent Research Skills</w:t>
            </w:r>
            <w:r w:rsidRPr="003F0515">
              <w:rPr>
                <w:rFonts w:ascii="Arial" w:hAnsi="Arial" w:cs="Arial"/>
                <w:b/>
              </w:rPr>
              <w:t xml:space="preserve">  </w:t>
            </w:r>
          </w:p>
        </w:tc>
      </w:tr>
      <w:tr w:rsidR="00E358F5" w:rsidRPr="00E668EE" w14:paraId="1EE4429A" w14:textId="77777777" w:rsidTr="007D63E8">
        <w:trPr>
          <w:trHeight w:val="1243"/>
        </w:trPr>
        <w:tc>
          <w:tcPr>
            <w:tcW w:w="4803" w:type="dxa"/>
          </w:tcPr>
          <w:p w14:paraId="4B3CA337" w14:textId="77777777" w:rsidR="00E358F5" w:rsidRDefault="00E358F5" w:rsidP="007D63E8">
            <w:pPr>
              <w:jc w:val="center"/>
              <w:rPr>
                <w:rFonts w:ascii="Arial" w:hAnsi="Arial" w:cs="Arial"/>
                <w:b/>
                <w:bCs/>
              </w:rPr>
            </w:pPr>
          </w:p>
          <w:p w14:paraId="704E4C45" w14:textId="77777777" w:rsidR="00E358F5" w:rsidRDefault="00E358F5" w:rsidP="007D63E8">
            <w:pPr>
              <w:jc w:val="center"/>
              <w:rPr>
                <w:rFonts w:ascii="Arial" w:hAnsi="Arial" w:cs="Arial"/>
                <w:b/>
                <w:bCs/>
              </w:rPr>
            </w:pPr>
          </w:p>
          <w:p w14:paraId="06D0E45D" w14:textId="77777777" w:rsidR="00E358F5" w:rsidRPr="005E354F" w:rsidRDefault="00E358F5" w:rsidP="007D63E8">
            <w:pPr>
              <w:jc w:val="center"/>
              <w:rPr>
                <w:rFonts w:ascii="Arial" w:hAnsi="Arial" w:cs="Arial"/>
                <w:b/>
                <w:bCs/>
              </w:rPr>
            </w:pPr>
            <w:r w:rsidRPr="005E354F">
              <w:rPr>
                <w:rFonts w:ascii="Arial" w:hAnsi="Arial" w:cs="Arial"/>
                <w:b/>
                <w:bCs/>
              </w:rPr>
              <w:t>LE</w:t>
            </w:r>
            <w:r>
              <w:rPr>
                <w:rFonts w:ascii="Arial" w:hAnsi="Arial" w:cs="Arial"/>
                <w:b/>
                <w:bCs/>
              </w:rPr>
              <w:t>C</w:t>
            </w:r>
            <w:r w:rsidRPr="005E354F">
              <w:rPr>
                <w:rFonts w:ascii="Arial" w:hAnsi="Arial" w:cs="Arial"/>
                <w:b/>
                <w:bCs/>
              </w:rPr>
              <w:t>TURER NAME</w:t>
            </w:r>
          </w:p>
        </w:tc>
        <w:tc>
          <w:tcPr>
            <w:tcW w:w="4803" w:type="dxa"/>
          </w:tcPr>
          <w:p w14:paraId="16D5697A" w14:textId="77777777" w:rsidR="00E358F5" w:rsidRPr="00E668EE" w:rsidRDefault="00E358F5" w:rsidP="007D63E8">
            <w:pPr>
              <w:jc w:val="center"/>
              <w:rPr>
                <w:rFonts w:ascii="Arial" w:hAnsi="Arial" w:cs="Arial"/>
                <w:b/>
                <w:bCs/>
              </w:rPr>
            </w:pPr>
          </w:p>
          <w:p w14:paraId="63DC8B98" w14:textId="5D7218F9" w:rsidR="00E358F5" w:rsidRPr="008C256F" w:rsidRDefault="001C4EC8" w:rsidP="007D63E8">
            <w:pPr>
              <w:jc w:val="center"/>
              <w:rPr>
                <w:rFonts w:ascii="Arial" w:hAnsi="Arial" w:cs="Arial"/>
                <w:b/>
                <w:bCs/>
              </w:rPr>
            </w:pPr>
            <w:r w:rsidRPr="004B3354">
              <w:rPr>
                <w:rFonts w:ascii="Arial" w:hAnsi="Arial" w:cs="Arial"/>
                <w:b/>
                <w:bCs/>
                <w:color w:val="242130"/>
                <w:shd w:val="clear" w:color="auto" w:fill="FFFFFF"/>
              </w:rPr>
              <w:t>Ayazullah Safi</w:t>
            </w:r>
          </w:p>
        </w:tc>
      </w:tr>
      <w:tr w:rsidR="00E358F5" w:rsidRPr="00E668EE" w14:paraId="4A4F60EB" w14:textId="77777777" w:rsidTr="007D63E8">
        <w:trPr>
          <w:trHeight w:val="1243"/>
        </w:trPr>
        <w:tc>
          <w:tcPr>
            <w:tcW w:w="4803" w:type="dxa"/>
          </w:tcPr>
          <w:p w14:paraId="35DBD581" w14:textId="77777777" w:rsidR="00E358F5" w:rsidRDefault="00E358F5" w:rsidP="007D63E8">
            <w:pPr>
              <w:jc w:val="center"/>
              <w:rPr>
                <w:rFonts w:ascii="Arial" w:hAnsi="Arial" w:cs="Arial"/>
                <w:b/>
                <w:bCs/>
              </w:rPr>
            </w:pPr>
          </w:p>
          <w:p w14:paraId="4D9A7B3F" w14:textId="77777777" w:rsidR="00E358F5" w:rsidRDefault="00E358F5" w:rsidP="007D63E8">
            <w:pPr>
              <w:jc w:val="center"/>
              <w:rPr>
                <w:rFonts w:ascii="Arial" w:hAnsi="Arial" w:cs="Arial"/>
                <w:b/>
                <w:bCs/>
              </w:rPr>
            </w:pPr>
          </w:p>
          <w:p w14:paraId="3A77015E" w14:textId="77777777" w:rsidR="00E358F5" w:rsidRPr="005E354F" w:rsidRDefault="00E358F5" w:rsidP="007D63E8">
            <w:pPr>
              <w:jc w:val="center"/>
              <w:rPr>
                <w:rFonts w:ascii="Arial" w:hAnsi="Arial" w:cs="Arial"/>
                <w:b/>
                <w:bCs/>
              </w:rPr>
            </w:pPr>
            <w:r w:rsidRPr="005E354F">
              <w:rPr>
                <w:rFonts w:ascii="Arial" w:hAnsi="Arial" w:cs="Arial"/>
                <w:b/>
                <w:bCs/>
              </w:rPr>
              <w:t>ASSIGNMENT TITLE</w:t>
            </w:r>
          </w:p>
        </w:tc>
        <w:tc>
          <w:tcPr>
            <w:tcW w:w="4803" w:type="dxa"/>
          </w:tcPr>
          <w:p w14:paraId="6A915265" w14:textId="77777777" w:rsidR="001C4EC8" w:rsidRDefault="001C4EC8" w:rsidP="007D63E8">
            <w:pPr>
              <w:jc w:val="center"/>
              <w:rPr>
                <w:rFonts w:ascii="Arial" w:hAnsi="Arial" w:cs="Arial"/>
                <w:b/>
                <w:bCs/>
              </w:rPr>
            </w:pPr>
          </w:p>
          <w:p w14:paraId="777122C2" w14:textId="2CB30346" w:rsidR="00E358F5" w:rsidRPr="00E668EE" w:rsidRDefault="001C4EC8" w:rsidP="007D63E8">
            <w:pPr>
              <w:jc w:val="center"/>
              <w:rPr>
                <w:rFonts w:ascii="Arial" w:hAnsi="Arial" w:cs="Arial"/>
                <w:b/>
                <w:bCs/>
              </w:rPr>
            </w:pPr>
            <w:r w:rsidRPr="15F6C73A">
              <w:rPr>
                <w:rFonts w:ascii="Arial" w:hAnsi="Arial" w:cs="Arial"/>
                <w:b/>
                <w:bCs/>
              </w:rPr>
              <w:t xml:space="preserve">Component 2: </w:t>
            </w:r>
            <w:r w:rsidRPr="003C0C73">
              <w:rPr>
                <w:rFonts w:ascii="Arial" w:hAnsi="Arial" w:cs="Arial"/>
                <w:b/>
                <w:bCs/>
              </w:rPr>
              <w:t xml:space="preserve">Written Assignment (Research </w:t>
            </w:r>
            <w:r>
              <w:rPr>
                <w:rFonts w:ascii="Arial" w:hAnsi="Arial" w:cs="Arial"/>
                <w:b/>
                <w:bCs/>
              </w:rPr>
              <w:t>Report</w:t>
            </w:r>
            <w:r w:rsidRPr="003C0C73">
              <w:rPr>
                <w:rFonts w:ascii="Arial" w:hAnsi="Arial" w:cs="Arial"/>
                <w:b/>
                <w:bCs/>
              </w:rPr>
              <w:t>)</w:t>
            </w:r>
          </w:p>
        </w:tc>
      </w:tr>
    </w:tbl>
    <w:p w14:paraId="7FF16358" w14:textId="77777777" w:rsidR="00D93480" w:rsidRDefault="00D93480" w:rsidP="00FC1A10">
      <w:pPr>
        <w:jc w:val="both"/>
        <w:rPr>
          <w:b/>
          <w:bCs/>
        </w:rPr>
      </w:pPr>
    </w:p>
    <w:p w14:paraId="5E2C568A" w14:textId="77777777" w:rsidR="00D93480" w:rsidRDefault="00D93480" w:rsidP="00FC1A10">
      <w:pPr>
        <w:jc w:val="both"/>
        <w:rPr>
          <w:b/>
          <w:bCs/>
        </w:rPr>
      </w:pPr>
    </w:p>
    <w:p w14:paraId="4A976683" w14:textId="77777777" w:rsidR="00D93480" w:rsidRDefault="00D93480" w:rsidP="00FC1A10">
      <w:pPr>
        <w:jc w:val="both"/>
        <w:rPr>
          <w:b/>
          <w:bCs/>
        </w:rPr>
      </w:pPr>
    </w:p>
    <w:p w14:paraId="38EEB76B" w14:textId="77777777" w:rsidR="00D93480" w:rsidRDefault="00D93480" w:rsidP="00FC1A10">
      <w:pPr>
        <w:jc w:val="both"/>
        <w:rPr>
          <w:b/>
          <w:bCs/>
        </w:rPr>
      </w:pPr>
    </w:p>
    <w:p w14:paraId="3784433F" w14:textId="77777777" w:rsidR="00D93480" w:rsidRDefault="00D93480" w:rsidP="00FC1A10">
      <w:pPr>
        <w:jc w:val="both"/>
        <w:rPr>
          <w:b/>
          <w:bCs/>
        </w:rPr>
      </w:pPr>
    </w:p>
    <w:p w14:paraId="7AB84C4D" w14:textId="77777777" w:rsidR="00D93480" w:rsidRDefault="00D93480" w:rsidP="00FC1A10">
      <w:pPr>
        <w:jc w:val="both"/>
        <w:rPr>
          <w:b/>
          <w:bCs/>
        </w:rPr>
      </w:pPr>
    </w:p>
    <w:p w14:paraId="32B46747" w14:textId="77777777" w:rsidR="00D93480" w:rsidRDefault="00D93480" w:rsidP="00FC1A10">
      <w:pPr>
        <w:jc w:val="both"/>
        <w:rPr>
          <w:b/>
          <w:bCs/>
        </w:rPr>
      </w:pPr>
    </w:p>
    <w:p w14:paraId="43A431CC" w14:textId="77777777" w:rsidR="00D93480" w:rsidRDefault="00D93480" w:rsidP="00FC1A10">
      <w:pPr>
        <w:jc w:val="both"/>
        <w:rPr>
          <w:b/>
          <w:bCs/>
        </w:rPr>
      </w:pPr>
    </w:p>
    <w:p w14:paraId="4E74F982" w14:textId="77777777" w:rsidR="00D93480" w:rsidRDefault="00D93480" w:rsidP="00FC1A10">
      <w:pPr>
        <w:jc w:val="both"/>
        <w:rPr>
          <w:b/>
          <w:bCs/>
        </w:rPr>
      </w:pPr>
    </w:p>
    <w:p w14:paraId="0296B7A2" w14:textId="77777777" w:rsidR="00D93480" w:rsidRDefault="00D93480" w:rsidP="00FC1A10">
      <w:pPr>
        <w:jc w:val="both"/>
        <w:rPr>
          <w:b/>
          <w:bCs/>
        </w:rPr>
      </w:pPr>
    </w:p>
    <w:p w14:paraId="48ADC4DE" w14:textId="77777777" w:rsidR="00D93480" w:rsidRDefault="00D93480" w:rsidP="00FC1A10">
      <w:pPr>
        <w:jc w:val="both"/>
        <w:rPr>
          <w:b/>
          <w:bCs/>
        </w:rPr>
      </w:pPr>
    </w:p>
    <w:p w14:paraId="670A7304" w14:textId="77777777" w:rsidR="00D93480" w:rsidRDefault="00D93480" w:rsidP="00FC1A10">
      <w:pPr>
        <w:jc w:val="both"/>
        <w:rPr>
          <w:b/>
          <w:bCs/>
        </w:rPr>
      </w:pPr>
    </w:p>
    <w:p w14:paraId="5A41D43E" w14:textId="77777777" w:rsidR="00D93480" w:rsidRDefault="00D93480" w:rsidP="00FC1A10">
      <w:pPr>
        <w:jc w:val="both"/>
        <w:rPr>
          <w:b/>
          <w:bCs/>
        </w:rPr>
      </w:pPr>
    </w:p>
    <w:p w14:paraId="6157AAEF" w14:textId="77777777" w:rsidR="00D93480" w:rsidRDefault="00D93480" w:rsidP="00FC1A10">
      <w:pPr>
        <w:jc w:val="both"/>
        <w:rPr>
          <w:b/>
          <w:bCs/>
        </w:rPr>
      </w:pPr>
    </w:p>
    <w:p w14:paraId="3067CEA9" w14:textId="77777777" w:rsidR="00E358F5" w:rsidRDefault="00E358F5" w:rsidP="00FC1A10">
      <w:pPr>
        <w:jc w:val="both"/>
        <w:rPr>
          <w:b/>
          <w:bCs/>
        </w:rPr>
      </w:pPr>
    </w:p>
    <w:p w14:paraId="2832FDC5" w14:textId="201A6A2C" w:rsidR="00D93480" w:rsidRPr="00D93480" w:rsidRDefault="00D93480" w:rsidP="00AF1F93">
      <w:pPr>
        <w:spacing w:line="360" w:lineRule="auto"/>
        <w:jc w:val="both"/>
        <w:rPr>
          <w:rFonts w:ascii="Arial" w:hAnsi="Arial" w:cs="Arial"/>
          <w:b/>
          <w:bCs/>
        </w:rPr>
      </w:pPr>
      <w:r w:rsidRPr="00D93480">
        <w:rPr>
          <w:rFonts w:ascii="Arial" w:hAnsi="Arial" w:cs="Arial"/>
          <w:b/>
          <w:bCs/>
        </w:rPr>
        <w:lastRenderedPageBreak/>
        <w:t xml:space="preserve">Contents </w:t>
      </w:r>
      <w:r>
        <w:rPr>
          <w:rFonts w:ascii="Arial" w:hAnsi="Arial" w:cs="Arial"/>
          <w:b/>
          <w:bCs/>
        </w:rPr>
        <w:t xml:space="preserve">                                                                                                                      Page No.</w:t>
      </w:r>
    </w:p>
    <w:p w14:paraId="0F12FAF9" w14:textId="77777777" w:rsidR="00DA6CE3" w:rsidRDefault="00DA6CE3" w:rsidP="00AF1F93">
      <w:pPr>
        <w:spacing w:line="360" w:lineRule="auto"/>
        <w:jc w:val="both"/>
        <w:rPr>
          <w:b/>
          <w:bCs/>
        </w:rPr>
      </w:pPr>
    </w:p>
    <w:p w14:paraId="693D1A4F" w14:textId="037A8A29" w:rsidR="00024B2B" w:rsidRPr="003B2D78" w:rsidRDefault="003C564C" w:rsidP="00AF1F93">
      <w:pPr>
        <w:spacing w:line="360" w:lineRule="auto"/>
        <w:jc w:val="both"/>
        <w:rPr>
          <w:rFonts w:ascii="Arial" w:hAnsi="Arial" w:cs="Arial"/>
          <w:b/>
          <w:bCs/>
        </w:rPr>
      </w:pPr>
      <w:r>
        <w:rPr>
          <w:rFonts w:ascii="Arial" w:hAnsi="Arial" w:cs="Arial"/>
          <w:b/>
          <w:bCs/>
        </w:rPr>
        <w:t xml:space="preserve">1. </w:t>
      </w:r>
      <w:r w:rsidR="00024B2B" w:rsidRPr="003B2D78">
        <w:rPr>
          <w:rFonts w:ascii="Arial" w:hAnsi="Arial" w:cs="Arial"/>
          <w:b/>
          <w:bCs/>
        </w:rPr>
        <w:t>Introduction</w:t>
      </w:r>
      <w:r w:rsidR="00677A38">
        <w:rPr>
          <w:rFonts w:ascii="Arial" w:hAnsi="Arial" w:cs="Arial"/>
          <w:b/>
          <w:bCs/>
        </w:rPr>
        <w:t xml:space="preserve">                                                                                                                1</w:t>
      </w:r>
    </w:p>
    <w:p w14:paraId="7CFCA18C" w14:textId="45290FB5" w:rsidR="00024B2B" w:rsidRPr="003B2D78" w:rsidRDefault="003C564C" w:rsidP="00AF1F93">
      <w:pPr>
        <w:spacing w:line="360" w:lineRule="auto"/>
        <w:jc w:val="both"/>
        <w:rPr>
          <w:rFonts w:ascii="Arial" w:hAnsi="Arial" w:cs="Arial"/>
          <w:b/>
          <w:bCs/>
        </w:rPr>
      </w:pPr>
      <w:r>
        <w:rPr>
          <w:rFonts w:ascii="Arial" w:hAnsi="Arial" w:cs="Arial"/>
          <w:b/>
          <w:bCs/>
        </w:rPr>
        <w:t xml:space="preserve">2. </w:t>
      </w:r>
      <w:r w:rsidR="00024B2B" w:rsidRPr="003B2D78">
        <w:rPr>
          <w:rFonts w:ascii="Arial" w:hAnsi="Arial" w:cs="Arial"/>
          <w:b/>
          <w:bCs/>
        </w:rPr>
        <w:t>Background</w:t>
      </w:r>
      <w:r w:rsidR="00677A38">
        <w:rPr>
          <w:rFonts w:ascii="Arial" w:hAnsi="Arial" w:cs="Arial"/>
          <w:b/>
          <w:bCs/>
        </w:rPr>
        <w:t xml:space="preserve">                                                                                                               1-2</w:t>
      </w:r>
    </w:p>
    <w:p w14:paraId="057A44FE" w14:textId="1BDCC8D8" w:rsidR="008912FD" w:rsidRDefault="003C564C" w:rsidP="00AF1F93">
      <w:pPr>
        <w:spacing w:line="360" w:lineRule="auto"/>
        <w:jc w:val="both"/>
        <w:rPr>
          <w:rFonts w:ascii="Arial" w:hAnsi="Arial" w:cs="Arial"/>
          <w:b/>
          <w:bCs/>
        </w:rPr>
      </w:pPr>
      <w:r>
        <w:rPr>
          <w:rFonts w:ascii="Arial" w:hAnsi="Arial" w:cs="Arial"/>
          <w:b/>
          <w:bCs/>
        </w:rPr>
        <w:t xml:space="preserve">3. </w:t>
      </w:r>
      <w:r w:rsidR="008912FD" w:rsidRPr="003B2D78">
        <w:rPr>
          <w:rFonts w:ascii="Arial" w:hAnsi="Arial" w:cs="Arial"/>
          <w:b/>
          <w:bCs/>
        </w:rPr>
        <w:t>Methods</w:t>
      </w:r>
      <w:r w:rsidR="00156367">
        <w:rPr>
          <w:rFonts w:ascii="Arial" w:hAnsi="Arial" w:cs="Arial"/>
          <w:b/>
          <w:bCs/>
        </w:rPr>
        <w:t xml:space="preserve">                                                                                                                      2-4</w:t>
      </w:r>
    </w:p>
    <w:p w14:paraId="11FA51EC" w14:textId="7F0EC468" w:rsidR="00C66F19" w:rsidRDefault="0004384E" w:rsidP="00AF1F93">
      <w:pPr>
        <w:spacing w:line="360" w:lineRule="auto"/>
        <w:jc w:val="both"/>
        <w:rPr>
          <w:rFonts w:ascii="Arial" w:hAnsi="Arial" w:cs="Arial"/>
          <w:lang w:eastAsia="en-GB"/>
        </w:rPr>
      </w:pPr>
      <w:r>
        <w:rPr>
          <w:rFonts w:ascii="Arial" w:hAnsi="Arial" w:cs="Arial"/>
          <w:b/>
          <w:bCs/>
        </w:rPr>
        <w:tab/>
        <w:t xml:space="preserve">3.1 </w:t>
      </w:r>
      <w:r w:rsidR="00C66F19" w:rsidRPr="00331DE8">
        <w:rPr>
          <w:rFonts w:ascii="Arial" w:hAnsi="Arial" w:cs="Arial"/>
          <w:lang w:eastAsia="en-GB"/>
        </w:rPr>
        <w:t>Search Strategy</w:t>
      </w:r>
      <w:r w:rsidR="00156367">
        <w:rPr>
          <w:rFonts w:ascii="Arial" w:hAnsi="Arial" w:cs="Arial"/>
          <w:lang w:eastAsia="en-GB"/>
        </w:rPr>
        <w:t xml:space="preserve">                                                                                             </w:t>
      </w:r>
      <w:r w:rsidR="000E34F4">
        <w:rPr>
          <w:rFonts w:ascii="Arial" w:hAnsi="Arial" w:cs="Arial"/>
          <w:lang w:eastAsia="en-GB"/>
        </w:rPr>
        <w:t xml:space="preserve"> </w:t>
      </w:r>
      <w:r w:rsidR="000E34F4" w:rsidRPr="00DB2315">
        <w:rPr>
          <w:rFonts w:ascii="Arial" w:hAnsi="Arial" w:cs="Arial"/>
          <w:b/>
          <w:bCs/>
          <w:lang w:eastAsia="en-GB"/>
        </w:rPr>
        <w:t>3</w:t>
      </w:r>
    </w:p>
    <w:p w14:paraId="19E8A3B0" w14:textId="7491B706" w:rsidR="00687F83" w:rsidRPr="00331DE8" w:rsidRDefault="00C66F19" w:rsidP="00AF1F93">
      <w:pPr>
        <w:spacing w:line="360" w:lineRule="auto"/>
        <w:jc w:val="both"/>
        <w:rPr>
          <w:rFonts w:ascii="Arial" w:hAnsi="Arial" w:cs="Arial"/>
        </w:rPr>
      </w:pPr>
      <w:r>
        <w:rPr>
          <w:rFonts w:ascii="Arial" w:hAnsi="Arial" w:cs="Arial"/>
          <w:lang w:eastAsia="en-GB"/>
        </w:rPr>
        <w:tab/>
      </w:r>
      <w:r w:rsidRPr="009171DC">
        <w:rPr>
          <w:rFonts w:ascii="Arial" w:hAnsi="Arial" w:cs="Arial"/>
          <w:b/>
          <w:bCs/>
          <w:lang w:eastAsia="en-GB"/>
        </w:rPr>
        <w:t>3.2</w:t>
      </w:r>
      <w:r w:rsidRPr="00331DE8">
        <w:rPr>
          <w:rFonts w:ascii="Arial" w:hAnsi="Arial" w:cs="Arial"/>
          <w:lang w:eastAsia="en-GB"/>
        </w:rPr>
        <w:t xml:space="preserve"> </w:t>
      </w:r>
      <w:r w:rsidR="00687F83" w:rsidRPr="00331DE8">
        <w:rPr>
          <w:rFonts w:ascii="Arial" w:hAnsi="Arial" w:cs="Arial"/>
          <w:lang w:eastAsia="en-GB"/>
        </w:rPr>
        <w:t>Eligibility Criteria</w:t>
      </w:r>
      <w:r w:rsidR="000E34F4">
        <w:rPr>
          <w:rFonts w:ascii="Arial" w:hAnsi="Arial" w:cs="Arial"/>
          <w:lang w:eastAsia="en-GB"/>
        </w:rPr>
        <w:t xml:space="preserve">                                                                                            </w:t>
      </w:r>
      <w:r w:rsidR="000E34F4" w:rsidRPr="00DB2315">
        <w:rPr>
          <w:rFonts w:ascii="Arial" w:hAnsi="Arial" w:cs="Arial"/>
          <w:b/>
          <w:bCs/>
          <w:lang w:eastAsia="en-GB"/>
        </w:rPr>
        <w:t xml:space="preserve"> 3</w:t>
      </w:r>
    </w:p>
    <w:p w14:paraId="74A0E913" w14:textId="42E332BB" w:rsidR="009171DC" w:rsidRDefault="009171DC" w:rsidP="00AF1F93">
      <w:pPr>
        <w:spacing w:line="360" w:lineRule="auto"/>
        <w:jc w:val="both"/>
        <w:rPr>
          <w:rFonts w:ascii="Arial" w:hAnsi="Arial" w:cs="Arial"/>
          <w:lang w:eastAsia="en-GB"/>
        </w:rPr>
      </w:pPr>
      <w:r>
        <w:rPr>
          <w:rFonts w:ascii="Arial" w:hAnsi="Arial" w:cs="Arial"/>
        </w:rPr>
        <w:tab/>
      </w:r>
      <w:r w:rsidRPr="009171DC">
        <w:rPr>
          <w:rFonts w:ascii="Arial" w:hAnsi="Arial" w:cs="Arial"/>
          <w:b/>
          <w:bCs/>
        </w:rPr>
        <w:t>3.3</w:t>
      </w:r>
      <w:r>
        <w:rPr>
          <w:rFonts w:ascii="Arial" w:hAnsi="Arial" w:cs="Arial"/>
        </w:rPr>
        <w:t xml:space="preserve"> </w:t>
      </w:r>
      <w:r w:rsidRPr="00331DE8">
        <w:rPr>
          <w:rFonts w:ascii="Arial" w:hAnsi="Arial" w:cs="Arial"/>
          <w:lang w:eastAsia="en-GB"/>
        </w:rPr>
        <w:t xml:space="preserve">Study Selection </w:t>
      </w:r>
      <w:r w:rsidR="000E34F4">
        <w:rPr>
          <w:rFonts w:ascii="Arial" w:hAnsi="Arial" w:cs="Arial"/>
          <w:lang w:eastAsia="en-GB"/>
        </w:rPr>
        <w:t xml:space="preserve">                                                                                              </w:t>
      </w:r>
      <w:r w:rsidR="00E41985" w:rsidRPr="00DB2315">
        <w:rPr>
          <w:rFonts w:ascii="Arial" w:hAnsi="Arial" w:cs="Arial"/>
          <w:b/>
          <w:bCs/>
          <w:lang w:eastAsia="en-GB"/>
        </w:rPr>
        <w:t>3</w:t>
      </w:r>
    </w:p>
    <w:p w14:paraId="7B60511E" w14:textId="511C2C55" w:rsidR="009171DC" w:rsidRPr="00331DE8" w:rsidRDefault="009171DC" w:rsidP="00AF1F93">
      <w:pPr>
        <w:spacing w:line="360" w:lineRule="auto"/>
        <w:jc w:val="both"/>
        <w:rPr>
          <w:rFonts w:ascii="Arial" w:hAnsi="Arial" w:cs="Arial"/>
        </w:rPr>
      </w:pPr>
      <w:r>
        <w:rPr>
          <w:rFonts w:ascii="Arial" w:hAnsi="Arial" w:cs="Arial"/>
          <w:lang w:eastAsia="en-GB"/>
        </w:rPr>
        <w:tab/>
      </w:r>
      <w:r w:rsidRPr="009171DC">
        <w:rPr>
          <w:rFonts w:ascii="Arial" w:hAnsi="Arial" w:cs="Arial"/>
          <w:b/>
          <w:bCs/>
          <w:lang w:eastAsia="en-GB"/>
        </w:rPr>
        <w:t>3.4</w:t>
      </w:r>
      <w:r>
        <w:rPr>
          <w:rFonts w:ascii="Arial" w:hAnsi="Arial" w:cs="Arial"/>
          <w:b/>
          <w:bCs/>
          <w:lang w:eastAsia="en-GB"/>
        </w:rPr>
        <w:t xml:space="preserve"> </w:t>
      </w:r>
      <w:r w:rsidRPr="00331DE8">
        <w:rPr>
          <w:rFonts w:ascii="Arial" w:hAnsi="Arial" w:cs="Arial"/>
          <w:lang w:eastAsia="en-GB"/>
        </w:rPr>
        <w:t>Data Charting and Analysis</w:t>
      </w:r>
      <w:r w:rsidR="00E41985">
        <w:rPr>
          <w:rFonts w:ascii="Arial" w:hAnsi="Arial" w:cs="Arial"/>
          <w:lang w:eastAsia="en-GB"/>
        </w:rPr>
        <w:t xml:space="preserve">                                                                             </w:t>
      </w:r>
      <w:r w:rsidR="00E41985" w:rsidRPr="00DB2315">
        <w:rPr>
          <w:rFonts w:ascii="Arial" w:hAnsi="Arial" w:cs="Arial"/>
          <w:b/>
          <w:bCs/>
          <w:lang w:eastAsia="en-GB"/>
        </w:rPr>
        <w:t>4</w:t>
      </w:r>
    </w:p>
    <w:p w14:paraId="17B87D77" w14:textId="718DFD16" w:rsidR="009171DC" w:rsidRPr="00331DE8" w:rsidRDefault="009171DC" w:rsidP="00AF1F93">
      <w:pPr>
        <w:spacing w:line="360" w:lineRule="auto"/>
        <w:jc w:val="both"/>
        <w:rPr>
          <w:rFonts w:ascii="Arial" w:hAnsi="Arial" w:cs="Arial"/>
        </w:rPr>
      </w:pPr>
      <w:r>
        <w:rPr>
          <w:rFonts w:ascii="Arial" w:hAnsi="Arial" w:cs="Arial"/>
        </w:rPr>
        <w:tab/>
      </w:r>
      <w:r>
        <w:rPr>
          <w:rFonts w:ascii="Arial" w:hAnsi="Arial" w:cs="Arial"/>
          <w:b/>
          <w:bCs/>
        </w:rPr>
        <w:t xml:space="preserve">3.5 </w:t>
      </w:r>
      <w:r w:rsidRPr="00331DE8">
        <w:rPr>
          <w:rFonts w:ascii="Arial" w:hAnsi="Arial" w:cs="Arial"/>
          <w:lang w:eastAsia="en-GB"/>
        </w:rPr>
        <w:t xml:space="preserve">Ethical Considerations </w:t>
      </w:r>
      <w:r w:rsidR="00E41985">
        <w:rPr>
          <w:rFonts w:ascii="Arial" w:hAnsi="Arial" w:cs="Arial"/>
          <w:lang w:eastAsia="en-GB"/>
        </w:rPr>
        <w:t xml:space="preserve">                                                                                    </w:t>
      </w:r>
      <w:r w:rsidR="00E41985" w:rsidRPr="00DB2315">
        <w:rPr>
          <w:rFonts w:ascii="Arial" w:hAnsi="Arial" w:cs="Arial"/>
          <w:b/>
          <w:bCs/>
          <w:lang w:eastAsia="en-GB"/>
        </w:rPr>
        <w:t>4</w:t>
      </w:r>
    </w:p>
    <w:p w14:paraId="014C5550" w14:textId="5F0CFE70" w:rsidR="00E358F5" w:rsidRDefault="003C564C" w:rsidP="00AF1F93">
      <w:pPr>
        <w:spacing w:line="360" w:lineRule="auto"/>
        <w:jc w:val="both"/>
        <w:rPr>
          <w:rFonts w:ascii="Arial" w:hAnsi="Arial" w:cs="Arial"/>
          <w:b/>
          <w:bCs/>
          <w:lang w:eastAsia="en-GB"/>
        </w:rPr>
      </w:pPr>
      <w:r>
        <w:rPr>
          <w:rFonts w:ascii="Arial" w:hAnsi="Arial" w:cs="Arial"/>
          <w:b/>
          <w:bCs/>
          <w:lang w:eastAsia="en-GB"/>
        </w:rPr>
        <w:t xml:space="preserve">4. </w:t>
      </w:r>
      <w:r w:rsidR="00F574A2" w:rsidRPr="003B2D78">
        <w:rPr>
          <w:rFonts w:ascii="Arial" w:hAnsi="Arial" w:cs="Arial"/>
          <w:b/>
          <w:bCs/>
          <w:lang w:eastAsia="en-GB"/>
        </w:rPr>
        <w:t>Results</w:t>
      </w:r>
      <w:r w:rsidR="00E41985">
        <w:rPr>
          <w:rFonts w:ascii="Arial" w:hAnsi="Arial" w:cs="Arial"/>
          <w:b/>
          <w:bCs/>
          <w:lang w:eastAsia="en-GB"/>
        </w:rPr>
        <w:t xml:space="preserve">                                                                                                                         </w:t>
      </w:r>
      <w:r w:rsidR="002E2B64">
        <w:rPr>
          <w:rFonts w:ascii="Arial" w:hAnsi="Arial" w:cs="Arial"/>
          <w:b/>
          <w:bCs/>
          <w:lang w:eastAsia="en-GB"/>
        </w:rPr>
        <w:t>4-6</w:t>
      </w:r>
    </w:p>
    <w:p w14:paraId="546101E6" w14:textId="438B1C7B" w:rsidR="009F218E" w:rsidRDefault="009F218E" w:rsidP="00AF1F93">
      <w:pPr>
        <w:spacing w:line="360" w:lineRule="auto"/>
        <w:jc w:val="both"/>
        <w:rPr>
          <w:rFonts w:ascii="Arial" w:hAnsi="Arial" w:cs="Arial"/>
          <w:lang w:eastAsia="en-GB"/>
        </w:rPr>
      </w:pPr>
      <w:r>
        <w:rPr>
          <w:rFonts w:ascii="Arial" w:hAnsi="Arial" w:cs="Arial"/>
          <w:b/>
          <w:bCs/>
          <w:lang w:eastAsia="en-GB"/>
        </w:rPr>
        <w:tab/>
        <w:t xml:space="preserve">4.1 </w:t>
      </w:r>
      <w:r w:rsidRPr="009F218E">
        <w:rPr>
          <w:rFonts w:ascii="Arial" w:hAnsi="Arial" w:cs="Arial"/>
          <w:lang w:eastAsia="en-GB"/>
        </w:rPr>
        <w:t>Table 1 Summary of the Included Studies</w:t>
      </w:r>
      <w:r w:rsidR="002E2B64">
        <w:rPr>
          <w:rFonts w:ascii="Arial" w:hAnsi="Arial" w:cs="Arial"/>
          <w:lang w:eastAsia="en-GB"/>
        </w:rPr>
        <w:t xml:space="preserve">                                                        </w:t>
      </w:r>
      <w:r w:rsidR="002E2B64" w:rsidRPr="00DB2315">
        <w:rPr>
          <w:rFonts w:ascii="Arial" w:hAnsi="Arial" w:cs="Arial"/>
          <w:b/>
          <w:bCs/>
          <w:lang w:eastAsia="en-GB"/>
        </w:rPr>
        <w:t>5</w:t>
      </w:r>
      <w:r w:rsidR="002E2B64">
        <w:rPr>
          <w:rFonts w:ascii="Arial" w:hAnsi="Arial" w:cs="Arial"/>
          <w:lang w:eastAsia="en-GB"/>
        </w:rPr>
        <w:t xml:space="preserve">                                </w:t>
      </w:r>
    </w:p>
    <w:p w14:paraId="2C780C0B" w14:textId="4CAC07AA" w:rsidR="00B57234" w:rsidRDefault="008B5AF4" w:rsidP="00AF1F93">
      <w:pPr>
        <w:spacing w:line="360" w:lineRule="auto"/>
        <w:jc w:val="both"/>
        <w:rPr>
          <w:rFonts w:ascii="Arial" w:hAnsi="Arial" w:cs="Arial"/>
          <w:lang w:eastAsia="en-GB"/>
        </w:rPr>
      </w:pPr>
      <w:r>
        <w:rPr>
          <w:rFonts w:ascii="Arial" w:hAnsi="Arial" w:cs="Arial"/>
          <w:lang w:eastAsia="en-GB"/>
        </w:rPr>
        <w:tab/>
      </w:r>
      <w:r w:rsidR="00B57234" w:rsidRPr="00B57234">
        <w:rPr>
          <w:rFonts w:ascii="Arial" w:hAnsi="Arial" w:cs="Arial"/>
          <w:b/>
          <w:bCs/>
          <w:lang w:eastAsia="en-GB"/>
        </w:rPr>
        <w:t>4.2</w:t>
      </w:r>
      <w:r w:rsidR="00B57234">
        <w:rPr>
          <w:rFonts w:ascii="Arial" w:hAnsi="Arial" w:cs="Arial"/>
          <w:b/>
          <w:bCs/>
          <w:lang w:eastAsia="en-GB"/>
        </w:rPr>
        <w:t xml:space="preserve"> </w:t>
      </w:r>
      <w:r w:rsidR="00B57234" w:rsidRPr="00B57234">
        <w:rPr>
          <w:rFonts w:ascii="Arial" w:hAnsi="Arial" w:cs="Arial"/>
          <w:lang w:eastAsia="en-GB"/>
        </w:rPr>
        <w:t>Theme 1: Supporting independence and safety</w:t>
      </w:r>
      <w:r w:rsidR="002E2B64">
        <w:rPr>
          <w:rFonts w:ascii="Arial" w:hAnsi="Arial" w:cs="Arial"/>
          <w:lang w:eastAsia="en-GB"/>
        </w:rPr>
        <w:t xml:space="preserve">                                               </w:t>
      </w:r>
      <w:r w:rsidR="002E2B64" w:rsidRPr="00DB2315">
        <w:rPr>
          <w:rFonts w:ascii="Arial" w:hAnsi="Arial" w:cs="Arial"/>
          <w:b/>
          <w:bCs/>
          <w:lang w:eastAsia="en-GB"/>
        </w:rPr>
        <w:t>6</w:t>
      </w:r>
    </w:p>
    <w:p w14:paraId="1976AA95" w14:textId="69EB36B2" w:rsidR="008B5AF4" w:rsidRDefault="00B57234" w:rsidP="00AF1F93">
      <w:pPr>
        <w:spacing w:line="360" w:lineRule="auto"/>
        <w:jc w:val="both"/>
        <w:rPr>
          <w:rFonts w:ascii="Arial" w:hAnsi="Arial" w:cs="Arial"/>
          <w:lang w:eastAsia="en-GB"/>
        </w:rPr>
      </w:pPr>
      <w:r>
        <w:rPr>
          <w:rFonts w:ascii="Arial" w:hAnsi="Arial" w:cs="Arial"/>
          <w:lang w:eastAsia="en-GB"/>
        </w:rPr>
        <w:tab/>
      </w:r>
      <w:r w:rsidRPr="00B57234">
        <w:rPr>
          <w:rFonts w:ascii="Arial" w:hAnsi="Arial" w:cs="Arial"/>
          <w:b/>
          <w:bCs/>
          <w:lang w:eastAsia="en-GB"/>
        </w:rPr>
        <w:t xml:space="preserve">4.3 </w:t>
      </w:r>
      <w:r w:rsidRPr="00B57234">
        <w:rPr>
          <w:rFonts w:ascii="Arial" w:hAnsi="Arial" w:cs="Arial"/>
          <w:lang w:eastAsia="en-GB"/>
        </w:rPr>
        <w:t>Theme 2: Barriers to Access and digital Exclusion</w:t>
      </w:r>
      <w:r w:rsidR="002E2B64">
        <w:rPr>
          <w:rFonts w:ascii="Arial" w:hAnsi="Arial" w:cs="Arial"/>
          <w:lang w:eastAsia="en-GB"/>
        </w:rPr>
        <w:t xml:space="preserve">                                           </w:t>
      </w:r>
      <w:r w:rsidR="002E2B64" w:rsidRPr="00DB2315">
        <w:rPr>
          <w:rFonts w:ascii="Arial" w:hAnsi="Arial" w:cs="Arial"/>
          <w:b/>
          <w:bCs/>
          <w:lang w:eastAsia="en-GB"/>
        </w:rPr>
        <w:t>6</w:t>
      </w:r>
    </w:p>
    <w:p w14:paraId="2D7D6859" w14:textId="2BAA4852" w:rsidR="00B57234" w:rsidRPr="00B57234" w:rsidRDefault="00B57234" w:rsidP="00AF1F93">
      <w:pPr>
        <w:spacing w:line="360" w:lineRule="auto"/>
        <w:jc w:val="both"/>
        <w:rPr>
          <w:rFonts w:ascii="Arial" w:hAnsi="Arial" w:cs="Arial"/>
          <w:lang w:eastAsia="en-GB"/>
        </w:rPr>
      </w:pPr>
      <w:r>
        <w:rPr>
          <w:rFonts w:ascii="Arial" w:hAnsi="Arial" w:cs="Arial"/>
          <w:lang w:eastAsia="en-GB"/>
        </w:rPr>
        <w:tab/>
      </w:r>
      <w:r w:rsidRPr="00B57234">
        <w:rPr>
          <w:rFonts w:ascii="Arial" w:hAnsi="Arial" w:cs="Arial"/>
          <w:b/>
          <w:bCs/>
          <w:lang w:eastAsia="en-GB"/>
        </w:rPr>
        <w:t>4.4</w:t>
      </w:r>
      <w:r>
        <w:rPr>
          <w:rFonts w:ascii="Arial" w:hAnsi="Arial" w:cs="Arial"/>
          <w:b/>
          <w:bCs/>
          <w:lang w:eastAsia="en-GB"/>
        </w:rPr>
        <w:t xml:space="preserve"> </w:t>
      </w:r>
      <w:r w:rsidRPr="00B57234">
        <w:rPr>
          <w:rFonts w:ascii="Arial" w:hAnsi="Arial" w:cs="Arial"/>
          <w:lang w:eastAsia="en-GB"/>
        </w:rPr>
        <w:t>Theme 3: Hybrid and Person-Centred Care</w:t>
      </w:r>
      <w:r w:rsidR="002E2B64">
        <w:rPr>
          <w:rFonts w:ascii="Arial" w:hAnsi="Arial" w:cs="Arial"/>
          <w:lang w:eastAsia="en-GB"/>
        </w:rPr>
        <w:t xml:space="preserve">                                                    </w:t>
      </w:r>
      <w:r w:rsidR="002E2B64" w:rsidRPr="00DB2315">
        <w:rPr>
          <w:rFonts w:ascii="Arial" w:hAnsi="Arial" w:cs="Arial"/>
          <w:b/>
          <w:bCs/>
          <w:lang w:eastAsia="en-GB"/>
        </w:rPr>
        <w:t xml:space="preserve"> 6</w:t>
      </w:r>
    </w:p>
    <w:p w14:paraId="2F4B8F18" w14:textId="4A5F7132" w:rsidR="006B0A09" w:rsidRDefault="003C564C" w:rsidP="00AF1F93">
      <w:pPr>
        <w:spacing w:line="360" w:lineRule="auto"/>
        <w:jc w:val="both"/>
        <w:rPr>
          <w:rFonts w:ascii="Arial" w:hAnsi="Arial" w:cs="Arial"/>
          <w:b/>
          <w:bCs/>
          <w:lang w:eastAsia="en-GB"/>
        </w:rPr>
      </w:pPr>
      <w:r>
        <w:rPr>
          <w:rFonts w:ascii="Arial" w:hAnsi="Arial" w:cs="Arial"/>
          <w:b/>
          <w:bCs/>
          <w:lang w:eastAsia="en-GB"/>
        </w:rPr>
        <w:t xml:space="preserve">5. </w:t>
      </w:r>
      <w:r w:rsidR="005A24A2" w:rsidRPr="003B2D78">
        <w:rPr>
          <w:rFonts w:ascii="Arial" w:hAnsi="Arial" w:cs="Arial"/>
          <w:b/>
          <w:bCs/>
          <w:lang w:eastAsia="en-GB"/>
        </w:rPr>
        <w:t>Discussion</w:t>
      </w:r>
      <w:r w:rsidR="00207CEA">
        <w:rPr>
          <w:rFonts w:ascii="Arial" w:hAnsi="Arial" w:cs="Arial"/>
          <w:b/>
          <w:bCs/>
          <w:lang w:eastAsia="en-GB"/>
        </w:rPr>
        <w:t xml:space="preserve">                                                                                                                     7</w:t>
      </w:r>
    </w:p>
    <w:p w14:paraId="4AE47873" w14:textId="466FC659" w:rsidR="006B0A09" w:rsidRPr="003B2D78" w:rsidRDefault="003C564C" w:rsidP="00AF1F93">
      <w:pPr>
        <w:spacing w:line="360" w:lineRule="auto"/>
        <w:jc w:val="both"/>
        <w:rPr>
          <w:rFonts w:ascii="Arial" w:hAnsi="Arial" w:cs="Arial"/>
          <w:b/>
          <w:bCs/>
          <w:lang w:eastAsia="en-GB"/>
        </w:rPr>
      </w:pPr>
      <w:r>
        <w:rPr>
          <w:rFonts w:ascii="Arial" w:hAnsi="Arial" w:cs="Arial"/>
          <w:b/>
          <w:bCs/>
          <w:lang w:eastAsia="en-GB"/>
        </w:rPr>
        <w:t xml:space="preserve">6. </w:t>
      </w:r>
      <w:r w:rsidR="006B0A09" w:rsidRPr="003B2D78">
        <w:rPr>
          <w:rFonts w:ascii="Arial" w:hAnsi="Arial" w:cs="Arial"/>
          <w:b/>
          <w:bCs/>
          <w:lang w:eastAsia="en-GB"/>
        </w:rPr>
        <w:t>Limitations</w:t>
      </w:r>
      <w:r w:rsidR="00207CEA">
        <w:rPr>
          <w:rFonts w:ascii="Arial" w:hAnsi="Arial" w:cs="Arial"/>
          <w:b/>
          <w:bCs/>
          <w:lang w:eastAsia="en-GB"/>
        </w:rPr>
        <w:t xml:space="preserve">                                                                                                                     8</w:t>
      </w:r>
    </w:p>
    <w:p w14:paraId="08C1DB44" w14:textId="4CD83F5F" w:rsidR="006B0A09" w:rsidRPr="003B2D78" w:rsidRDefault="003C564C" w:rsidP="00AF1F93">
      <w:pPr>
        <w:spacing w:line="360" w:lineRule="auto"/>
        <w:jc w:val="both"/>
        <w:rPr>
          <w:rFonts w:ascii="Arial" w:hAnsi="Arial" w:cs="Arial"/>
          <w:b/>
          <w:bCs/>
          <w:lang w:eastAsia="en-GB"/>
        </w:rPr>
      </w:pPr>
      <w:r>
        <w:rPr>
          <w:rFonts w:ascii="Arial" w:hAnsi="Arial" w:cs="Arial"/>
          <w:b/>
          <w:bCs/>
          <w:lang w:eastAsia="en-GB"/>
        </w:rPr>
        <w:t xml:space="preserve">7. </w:t>
      </w:r>
      <w:r w:rsidR="006B0A09" w:rsidRPr="003B2D78">
        <w:rPr>
          <w:rFonts w:ascii="Arial" w:hAnsi="Arial" w:cs="Arial"/>
          <w:b/>
          <w:bCs/>
          <w:lang w:eastAsia="en-GB"/>
        </w:rPr>
        <w:t>Conclusion</w:t>
      </w:r>
      <w:r w:rsidR="00207CEA">
        <w:rPr>
          <w:rFonts w:ascii="Arial" w:hAnsi="Arial" w:cs="Arial"/>
          <w:b/>
          <w:bCs/>
          <w:lang w:eastAsia="en-GB"/>
        </w:rPr>
        <w:t xml:space="preserve">                                                                                                                   9-10 </w:t>
      </w:r>
    </w:p>
    <w:p w14:paraId="64001DD1" w14:textId="7FC67973" w:rsidR="006B0A09" w:rsidRDefault="003C564C" w:rsidP="00AF1F93">
      <w:pPr>
        <w:spacing w:line="360" w:lineRule="auto"/>
        <w:jc w:val="both"/>
        <w:rPr>
          <w:rFonts w:ascii="Arial" w:hAnsi="Arial" w:cs="Arial"/>
          <w:b/>
          <w:bCs/>
          <w:lang w:eastAsia="en-GB"/>
        </w:rPr>
      </w:pPr>
      <w:r>
        <w:rPr>
          <w:rFonts w:ascii="Arial" w:hAnsi="Arial" w:cs="Arial"/>
          <w:b/>
          <w:bCs/>
          <w:lang w:eastAsia="en-GB"/>
        </w:rPr>
        <w:t xml:space="preserve">8. </w:t>
      </w:r>
      <w:r w:rsidR="006B0A09" w:rsidRPr="003B2D78">
        <w:rPr>
          <w:rFonts w:ascii="Arial" w:hAnsi="Arial" w:cs="Arial"/>
          <w:b/>
          <w:bCs/>
          <w:lang w:eastAsia="en-GB"/>
        </w:rPr>
        <w:t>Recommendations</w:t>
      </w:r>
      <w:r w:rsidR="003D2821">
        <w:rPr>
          <w:rFonts w:ascii="Arial" w:hAnsi="Arial" w:cs="Arial"/>
          <w:b/>
          <w:bCs/>
          <w:lang w:eastAsia="en-GB"/>
        </w:rPr>
        <w:t xml:space="preserve">                                                                                                      10-11 </w:t>
      </w:r>
    </w:p>
    <w:p w14:paraId="5107FE3B" w14:textId="61FC364E" w:rsidR="00455DC2" w:rsidRPr="005E3B11" w:rsidRDefault="00455DC2" w:rsidP="00AF1F93">
      <w:pPr>
        <w:spacing w:line="360" w:lineRule="auto"/>
        <w:jc w:val="both"/>
        <w:rPr>
          <w:rFonts w:ascii="Arial" w:hAnsi="Arial" w:cs="Arial"/>
          <w:lang w:eastAsia="en-GB"/>
        </w:rPr>
      </w:pPr>
      <w:r>
        <w:rPr>
          <w:rFonts w:ascii="Arial" w:hAnsi="Arial" w:cs="Arial"/>
          <w:b/>
          <w:bCs/>
          <w:lang w:eastAsia="en-GB"/>
        </w:rPr>
        <w:tab/>
        <w:t xml:space="preserve">8.1 </w:t>
      </w:r>
      <w:r w:rsidRPr="005E3B11">
        <w:rPr>
          <w:rFonts w:ascii="Arial" w:hAnsi="Arial" w:cs="Arial"/>
          <w:lang w:eastAsia="en-GB"/>
        </w:rPr>
        <w:t xml:space="preserve">Future Research </w:t>
      </w:r>
      <w:r w:rsidR="007A081C">
        <w:rPr>
          <w:rFonts w:ascii="Arial" w:hAnsi="Arial" w:cs="Arial"/>
          <w:lang w:eastAsia="en-GB"/>
        </w:rPr>
        <w:t xml:space="preserve">                                                                                              </w:t>
      </w:r>
      <w:r w:rsidR="007A081C" w:rsidRPr="00DB2315">
        <w:rPr>
          <w:rFonts w:ascii="Arial" w:hAnsi="Arial" w:cs="Arial"/>
          <w:b/>
          <w:bCs/>
          <w:lang w:eastAsia="en-GB"/>
        </w:rPr>
        <w:t>10</w:t>
      </w:r>
    </w:p>
    <w:p w14:paraId="5F84951E" w14:textId="298E8408" w:rsidR="00C61ECD" w:rsidRPr="005E3B11" w:rsidRDefault="00455DC2" w:rsidP="00AF1F93">
      <w:pPr>
        <w:spacing w:line="360" w:lineRule="auto"/>
        <w:jc w:val="both"/>
        <w:rPr>
          <w:rFonts w:ascii="Arial" w:hAnsi="Arial" w:cs="Arial"/>
          <w:lang w:eastAsia="en-GB"/>
        </w:rPr>
      </w:pPr>
      <w:r>
        <w:rPr>
          <w:rFonts w:ascii="Arial" w:hAnsi="Arial" w:cs="Arial"/>
          <w:b/>
          <w:bCs/>
          <w:lang w:eastAsia="en-GB"/>
        </w:rPr>
        <w:tab/>
        <w:t xml:space="preserve">8.2 </w:t>
      </w:r>
      <w:r w:rsidR="00C61ECD" w:rsidRPr="005E3B11">
        <w:rPr>
          <w:rFonts w:ascii="Arial" w:hAnsi="Arial" w:cs="Arial"/>
          <w:lang w:eastAsia="en-GB"/>
        </w:rPr>
        <w:t xml:space="preserve">Policy Recommendations </w:t>
      </w:r>
      <w:r w:rsidR="007A081C">
        <w:rPr>
          <w:rFonts w:ascii="Arial" w:hAnsi="Arial" w:cs="Arial"/>
          <w:lang w:eastAsia="en-GB"/>
        </w:rPr>
        <w:t xml:space="preserve">                                                                               </w:t>
      </w:r>
      <w:r w:rsidR="00EF7493" w:rsidRPr="00DB2315">
        <w:rPr>
          <w:rFonts w:ascii="Arial" w:hAnsi="Arial" w:cs="Arial"/>
          <w:b/>
          <w:bCs/>
          <w:lang w:eastAsia="en-GB"/>
        </w:rPr>
        <w:t>10-11</w:t>
      </w:r>
    </w:p>
    <w:p w14:paraId="29BBE109" w14:textId="3A8FF885" w:rsidR="00C61ECD" w:rsidRPr="005E3B11" w:rsidRDefault="00C61ECD" w:rsidP="00AF1F93">
      <w:pPr>
        <w:spacing w:line="360" w:lineRule="auto"/>
        <w:jc w:val="both"/>
        <w:rPr>
          <w:rFonts w:ascii="Arial" w:hAnsi="Arial" w:cs="Arial"/>
          <w:lang w:eastAsia="en-GB"/>
        </w:rPr>
      </w:pPr>
      <w:r>
        <w:rPr>
          <w:rFonts w:ascii="Arial" w:hAnsi="Arial" w:cs="Arial"/>
          <w:b/>
          <w:bCs/>
          <w:lang w:eastAsia="en-GB"/>
        </w:rPr>
        <w:tab/>
        <w:t xml:space="preserve">8.3 </w:t>
      </w:r>
      <w:r w:rsidRPr="005E3B11">
        <w:rPr>
          <w:rFonts w:ascii="Arial" w:hAnsi="Arial" w:cs="Arial"/>
          <w:lang w:eastAsia="en-GB"/>
        </w:rPr>
        <w:t xml:space="preserve">Practice Recommendations </w:t>
      </w:r>
      <w:r w:rsidR="00EF7493">
        <w:rPr>
          <w:rFonts w:ascii="Arial" w:hAnsi="Arial" w:cs="Arial"/>
          <w:lang w:eastAsia="en-GB"/>
        </w:rPr>
        <w:t xml:space="preserve">                                                                              </w:t>
      </w:r>
      <w:r w:rsidR="00EF7493" w:rsidRPr="00DB2315">
        <w:rPr>
          <w:rFonts w:ascii="Arial" w:hAnsi="Arial" w:cs="Arial"/>
          <w:b/>
          <w:bCs/>
          <w:lang w:eastAsia="en-GB"/>
        </w:rPr>
        <w:t xml:space="preserve">11 </w:t>
      </w:r>
      <w:r w:rsidR="00EF7493">
        <w:rPr>
          <w:rFonts w:ascii="Arial" w:hAnsi="Arial" w:cs="Arial"/>
          <w:lang w:eastAsia="en-GB"/>
        </w:rPr>
        <w:t xml:space="preserve">   </w:t>
      </w:r>
    </w:p>
    <w:p w14:paraId="4109C8EE" w14:textId="59628E5F" w:rsidR="00E358F5" w:rsidRPr="003B2D78" w:rsidRDefault="003C564C" w:rsidP="00AF1F93">
      <w:pPr>
        <w:spacing w:line="360" w:lineRule="auto"/>
        <w:jc w:val="both"/>
        <w:rPr>
          <w:rFonts w:ascii="Arial" w:hAnsi="Arial" w:cs="Arial"/>
          <w:b/>
          <w:bCs/>
        </w:rPr>
      </w:pPr>
      <w:r>
        <w:rPr>
          <w:rFonts w:ascii="Arial" w:hAnsi="Arial" w:cs="Arial"/>
          <w:b/>
          <w:bCs/>
        </w:rPr>
        <w:t xml:space="preserve">9. </w:t>
      </w:r>
      <w:r w:rsidR="003B2D78" w:rsidRPr="003B2D78">
        <w:rPr>
          <w:rFonts w:ascii="Arial" w:hAnsi="Arial" w:cs="Arial"/>
          <w:b/>
          <w:bCs/>
        </w:rPr>
        <w:t>Reference List</w:t>
      </w:r>
      <w:r w:rsidR="00EF7493">
        <w:rPr>
          <w:rFonts w:ascii="Arial" w:hAnsi="Arial" w:cs="Arial"/>
          <w:b/>
          <w:bCs/>
        </w:rPr>
        <w:t xml:space="preserve">                                                                                                              </w:t>
      </w:r>
      <w:r w:rsidR="00DB2315">
        <w:rPr>
          <w:rFonts w:ascii="Arial" w:hAnsi="Arial" w:cs="Arial"/>
          <w:b/>
          <w:bCs/>
        </w:rPr>
        <w:t>12-14</w:t>
      </w:r>
    </w:p>
    <w:p w14:paraId="7A72A663" w14:textId="77777777" w:rsidR="00E358F5" w:rsidRDefault="00E358F5" w:rsidP="00FC1A10">
      <w:pPr>
        <w:jc w:val="both"/>
        <w:rPr>
          <w:b/>
          <w:bCs/>
        </w:rPr>
      </w:pPr>
    </w:p>
    <w:p w14:paraId="6DA9B11C" w14:textId="77777777" w:rsidR="00D93480" w:rsidRDefault="00D93480" w:rsidP="00FC1A10">
      <w:pPr>
        <w:jc w:val="both"/>
        <w:rPr>
          <w:b/>
          <w:bCs/>
        </w:rPr>
      </w:pPr>
    </w:p>
    <w:p w14:paraId="6A45AA85" w14:textId="77777777" w:rsidR="00D93480" w:rsidRDefault="00D93480" w:rsidP="00FC1A10">
      <w:pPr>
        <w:jc w:val="both"/>
        <w:rPr>
          <w:b/>
          <w:bCs/>
        </w:rPr>
      </w:pPr>
    </w:p>
    <w:p w14:paraId="50992AB6" w14:textId="77777777" w:rsidR="00AC0113" w:rsidRDefault="00AC0113" w:rsidP="00FC1A10">
      <w:pPr>
        <w:jc w:val="both"/>
        <w:rPr>
          <w:b/>
          <w:bCs/>
        </w:rPr>
        <w:sectPr w:rsidR="00AC011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226D749D" w14:textId="7DA91E1C" w:rsidR="00A60032" w:rsidRPr="00DF32AC" w:rsidRDefault="00FD2EDE" w:rsidP="00DF32AC">
      <w:pPr>
        <w:pStyle w:val="ListParagraph"/>
        <w:numPr>
          <w:ilvl w:val="0"/>
          <w:numId w:val="1"/>
        </w:numPr>
        <w:spacing w:line="360" w:lineRule="auto"/>
        <w:jc w:val="both"/>
        <w:rPr>
          <w:rFonts w:ascii="Arial" w:hAnsi="Arial" w:cs="Arial"/>
          <w:b/>
          <w:bCs/>
        </w:rPr>
      </w:pPr>
      <w:r w:rsidRPr="00DF32AC">
        <w:rPr>
          <w:rFonts w:ascii="Arial" w:hAnsi="Arial" w:cs="Arial"/>
          <w:b/>
          <w:bCs/>
        </w:rPr>
        <w:lastRenderedPageBreak/>
        <w:t>Introduction</w:t>
      </w:r>
    </w:p>
    <w:p w14:paraId="393487B0" w14:textId="422F94CA" w:rsidR="00A16948" w:rsidRPr="006B7702" w:rsidRDefault="00A16948" w:rsidP="00A16948">
      <w:pPr>
        <w:spacing w:line="360" w:lineRule="auto"/>
        <w:jc w:val="both"/>
        <w:rPr>
          <w:rFonts w:ascii="Arial" w:hAnsi="Arial" w:cs="Arial"/>
        </w:rPr>
      </w:pPr>
      <w:r w:rsidRPr="006B7702">
        <w:rPr>
          <w:rFonts w:ascii="Arial" w:hAnsi="Arial" w:cs="Arial"/>
        </w:rPr>
        <w:t xml:space="preserve">This research report expands upon the scoping review proposal and </w:t>
      </w:r>
      <w:r w:rsidR="00891E96" w:rsidRPr="006B7702">
        <w:rPr>
          <w:rFonts w:ascii="Arial" w:hAnsi="Arial" w:cs="Arial"/>
        </w:rPr>
        <w:t>conducts</w:t>
      </w:r>
      <w:r w:rsidRPr="006B7702">
        <w:rPr>
          <w:rFonts w:ascii="Arial" w:hAnsi="Arial" w:cs="Arial"/>
        </w:rPr>
        <w:t xml:space="preserve"> the systematic search and evidence synthesis of the </w:t>
      </w:r>
      <w:r w:rsidR="00375834">
        <w:rPr>
          <w:rFonts w:ascii="Arial" w:hAnsi="Arial" w:cs="Arial"/>
        </w:rPr>
        <w:t>use</w:t>
      </w:r>
      <w:r w:rsidRPr="006B7702">
        <w:rPr>
          <w:rFonts w:ascii="Arial" w:hAnsi="Arial" w:cs="Arial"/>
        </w:rPr>
        <w:t>, benefits, and difficulties of telehealth in older adults in the UK social care industry. Telehealth is the provision of health and social care remotely by means of technologies, such</w:t>
      </w:r>
      <w:r>
        <w:rPr>
          <w:rFonts w:ascii="Arial" w:hAnsi="Arial" w:cs="Arial"/>
        </w:rPr>
        <w:t xml:space="preserve"> </w:t>
      </w:r>
      <w:r w:rsidRPr="006B7702">
        <w:rPr>
          <w:rFonts w:ascii="Arial" w:hAnsi="Arial" w:cs="Arial"/>
        </w:rPr>
        <w:t xml:space="preserve">as video calls, phone consultations, remote monitoring devices and telecare devices (World Health Organization, 2022). The NHS Long Term Plan </w:t>
      </w:r>
      <w:r w:rsidR="00375834">
        <w:rPr>
          <w:rFonts w:ascii="Arial" w:hAnsi="Arial" w:cs="Arial"/>
        </w:rPr>
        <w:t>emphasis</w:t>
      </w:r>
      <w:r w:rsidRPr="006B7702">
        <w:rPr>
          <w:rFonts w:ascii="Arial" w:hAnsi="Arial" w:cs="Arial"/>
        </w:rPr>
        <w:t xml:space="preserve"> on the digital transformation of care (NHS England, 2019). People at the Heart of Care describes investment in digital infrastructure to enable older adults to live longer, independently (Department of Health and Social Care, 2022).</w:t>
      </w:r>
    </w:p>
    <w:p w14:paraId="2F465004" w14:textId="32E86B6F" w:rsidR="00A16948" w:rsidRPr="006B7702" w:rsidRDefault="00A16948" w:rsidP="00A16948">
      <w:pPr>
        <w:spacing w:line="360" w:lineRule="auto"/>
        <w:jc w:val="both"/>
        <w:rPr>
          <w:rFonts w:ascii="Arial" w:hAnsi="Arial" w:cs="Arial"/>
        </w:rPr>
      </w:pPr>
      <w:r w:rsidRPr="006B7702">
        <w:rPr>
          <w:rFonts w:ascii="Arial" w:hAnsi="Arial" w:cs="Arial"/>
        </w:rPr>
        <w:t xml:space="preserve">The rationale behind this review is the increasing disparity between the demand and capacity of the workforce. The Health Foundation (2024) </w:t>
      </w:r>
      <w:r w:rsidR="00375834">
        <w:rPr>
          <w:rFonts w:ascii="Arial" w:hAnsi="Arial" w:cs="Arial"/>
        </w:rPr>
        <w:t>identifies that</w:t>
      </w:r>
      <w:r w:rsidRPr="006B7702">
        <w:rPr>
          <w:rFonts w:ascii="Arial" w:hAnsi="Arial" w:cs="Arial"/>
        </w:rPr>
        <w:t xml:space="preserve"> the greatest challenge is the growing complexity of needs with the number of over </w:t>
      </w:r>
      <w:r w:rsidR="00891E96" w:rsidRPr="006B7702">
        <w:rPr>
          <w:rFonts w:ascii="Arial" w:hAnsi="Arial" w:cs="Arial"/>
        </w:rPr>
        <w:t>seventy-fives</w:t>
      </w:r>
      <w:r w:rsidRPr="006B7702">
        <w:rPr>
          <w:rFonts w:ascii="Arial" w:hAnsi="Arial" w:cs="Arial"/>
        </w:rPr>
        <w:t xml:space="preserve"> living with numerous long-term conditions increasing significantly. At the same time, The King’s Fund (2025) documents the vacancy rate in social care at 9.9%, almost three times higher than the vacancy rate in the broader economy. Telehealth </w:t>
      </w:r>
      <w:r w:rsidR="00375834">
        <w:rPr>
          <w:rFonts w:ascii="Arial" w:hAnsi="Arial" w:cs="Arial"/>
        </w:rPr>
        <w:t>offers</w:t>
      </w:r>
      <w:r w:rsidRPr="006B7702">
        <w:rPr>
          <w:rFonts w:ascii="Arial" w:hAnsi="Arial" w:cs="Arial"/>
        </w:rPr>
        <w:t xml:space="preserve"> a p</w:t>
      </w:r>
      <w:r w:rsidR="00375834">
        <w:rPr>
          <w:rFonts w:ascii="Arial" w:hAnsi="Arial" w:cs="Arial"/>
        </w:rPr>
        <w:t>otential</w:t>
      </w:r>
      <w:r w:rsidRPr="006B7702">
        <w:rPr>
          <w:rFonts w:ascii="Arial" w:hAnsi="Arial" w:cs="Arial"/>
        </w:rPr>
        <w:t xml:space="preserve"> solution to these predicaments by expanding the scope of an overburdened workforce.</w:t>
      </w:r>
    </w:p>
    <w:p w14:paraId="37788491" w14:textId="19CBF69A" w:rsidR="00A16948" w:rsidRPr="006B7702" w:rsidRDefault="00A16948" w:rsidP="00A16948">
      <w:pPr>
        <w:spacing w:line="360" w:lineRule="auto"/>
        <w:jc w:val="both"/>
        <w:rPr>
          <w:rFonts w:ascii="Arial" w:hAnsi="Arial" w:cs="Arial"/>
        </w:rPr>
      </w:pPr>
      <w:r w:rsidRPr="006B7702">
        <w:rPr>
          <w:rFonts w:ascii="Arial" w:hAnsi="Arial" w:cs="Arial"/>
        </w:rPr>
        <w:t>Video consultations were introduced at a scale never seen before, illustrating weaknesses in digital capacity and clinical appropriateness (Greenhalgh et al., 2020). A critical issue is digital exclusion targeting older adults disproportionately. A significant number of people are offline or experience limited digital confidence, threatening unequal access (Age UK, 2022; Ofcom, 2022). In the absence of proper support, digital transformation can lead to disparities (Ofcom, 2022). This scoping revi</w:t>
      </w:r>
      <w:r w:rsidR="00375834">
        <w:rPr>
          <w:rFonts w:ascii="Arial" w:hAnsi="Arial" w:cs="Arial"/>
        </w:rPr>
        <w:t xml:space="preserve">ew aims to </w:t>
      </w:r>
      <w:r w:rsidRPr="006B7702">
        <w:rPr>
          <w:rFonts w:ascii="Arial" w:hAnsi="Arial" w:cs="Arial"/>
        </w:rPr>
        <w:t xml:space="preserve">look into available peer reviewed evidence on how telehealth benefits older adults in UK social </w:t>
      </w:r>
      <w:r w:rsidR="000B66B3" w:rsidRPr="006B7702">
        <w:rPr>
          <w:rFonts w:ascii="Arial" w:hAnsi="Arial" w:cs="Arial"/>
        </w:rPr>
        <w:t>care.</w:t>
      </w:r>
    </w:p>
    <w:p w14:paraId="61163089" w14:textId="77777777" w:rsidR="00A16948" w:rsidRDefault="00A16948" w:rsidP="00FC1A10">
      <w:pPr>
        <w:spacing w:line="360" w:lineRule="auto"/>
        <w:jc w:val="both"/>
        <w:rPr>
          <w:rFonts w:ascii="Arial" w:hAnsi="Arial" w:cs="Arial"/>
        </w:rPr>
      </w:pPr>
    </w:p>
    <w:p w14:paraId="7BD111B1" w14:textId="2A287A3B" w:rsidR="00331DE8" w:rsidRPr="00274DB1" w:rsidRDefault="00331DE8" w:rsidP="00274DB1">
      <w:pPr>
        <w:pStyle w:val="ListParagraph"/>
        <w:numPr>
          <w:ilvl w:val="0"/>
          <w:numId w:val="1"/>
        </w:numPr>
        <w:spacing w:line="360" w:lineRule="auto"/>
        <w:jc w:val="both"/>
        <w:rPr>
          <w:rFonts w:ascii="Arial" w:hAnsi="Arial" w:cs="Arial"/>
          <w:b/>
          <w:bCs/>
        </w:rPr>
      </w:pPr>
      <w:r w:rsidRPr="00274DB1">
        <w:rPr>
          <w:rFonts w:ascii="Arial" w:hAnsi="Arial" w:cs="Arial"/>
          <w:b/>
          <w:bCs/>
        </w:rPr>
        <w:t>Background</w:t>
      </w:r>
    </w:p>
    <w:p w14:paraId="0F566BA6" w14:textId="1C5705C1" w:rsidR="00331DE8" w:rsidRDefault="00331DE8" w:rsidP="00FC1A10">
      <w:pPr>
        <w:spacing w:line="360" w:lineRule="auto"/>
        <w:jc w:val="both"/>
        <w:rPr>
          <w:rFonts w:ascii="Arial" w:hAnsi="Arial" w:cs="Arial"/>
        </w:rPr>
      </w:pPr>
      <w:r w:rsidRPr="00331DE8">
        <w:rPr>
          <w:rFonts w:ascii="Arial" w:hAnsi="Arial" w:cs="Arial"/>
        </w:rPr>
        <w:t xml:space="preserve">Social care in the United Kingdom is the provision of vital assistance in the form of personal care, daily activities and social involvement to individuals who are unable to </w:t>
      </w:r>
      <w:r w:rsidR="000E020E">
        <w:rPr>
          <w:rFonts w:ascii="Arial" w:hAnsi="Arial" w:cs="Arial"/>
        </w:rPr>
        <w:t>live independently</w:t>
      </w:r>
      <w:r w:rsidRPr="00331DE8">
        <w:rPr>
          <w:rFonts w:ascii="Arial" w:hAnsi="Arial" w:cs="Arial"/>
        </w:rPr>
        <w:t xml:space="preserve"> on their own. With the ag</w:t>
      </w:r>
      <w:r w:rsidR="00375834">
        <w:rPr>
          <w:rFonts w:ascii="Arial" w:hAnsi="Arial" w:cs="Arial"/>
        </w:rPr>
        <w:t>e</w:t>
      </w:r>
      <w:r w:rsidRPr="00331DE8">
        <w:rPr>
          <w:rFonts w:ascii="Arial" w:hAnsi="Arial" w:cs="Arial"/>
        </w:rPr>
        <w:t xml:space="preserve">ing population, the main issue facing the sector is the increasing complexity of needs among </w:t>
      </w:r>
      <w:r>
        <w:rPr>
          <w:rFonts w:ascii="Arial" w:hAnsi="Arial" w:cs="Arial"/>
        </w:rPr>
        <w:t xml:space="preserve">the </w:t>
      </w:r>
      <w:r w:rsidRPr="00331DE8">
        <w:rPr>
          <w:rFonts w:ascii="Arial" w:hAnsi="Arial" w:cs="Arial"/>
        </w:rPr>
        <w:t xml:space="preserve">over </w:t>
      </w:r>
      <w:r w:rsidR="000B66B3" w:rsidRPr="00331DE8">
        <w:rPr>
          <w:rFonts w:ascii="Arial" w:hAnsi="Arial" w:cs="Arial"/>
        </w:rPr>
        <w:t>seventy-fives</w:t>
      </w:r>
      <w:r w:rsidRPr="00331DE8">
        <w:rPr>
          <w:rFonts w:ascii="Arial" w:hAnsi="Arial" w:cs="Arial"/>
        </w:rPr>
        <w:t xml:space="preserve"> population which consists of many who have numerous long-term illnesses and frailty (The Health Foundation, 2024). The older adults are the most common users of social care and the growing demand of high acuity support at home has put a long-term pressure to already significant community services. All these demographic changes are accompanied by a long-term workforce crisis. The </w:t>
      </w:r>
      <w:r>
        <w:rPr>
          <w:rFonts w:ascii="Arial" w:hAnsi="Arial" w:cs="Arial"/>
        </w:rPr>
        <w:t>sector</w:t>
      </w:r>
      <w:r w:rsidRPr="00331DE8">
        <w:rPr>
          <w:rFonts w:ascii="Arial" w:hAnsi="Arial" w:cs="Arial"/>
        </w:rPr>
        <w:t xml:space="preserve"> remains troubled by structural challenges such as high turnover and </w:t>
      </w:r>
      <w:r>
        <w:rPr>
          <w:rFonts w:ascii="Arial" w:hAnsi="Arial" w:cs="Arial"/>
        </w:rPr>
        <w:t>larger gaps</w:t>
      </w:r>
      <w:r w:rsidRPr="00331DE8">
        <w:rPr>
          <w:rFonts w:ascii="Arial" w:hAnsi="Arial" w:cs="Arial"/>
        </w:rPr>
        <w:t xml:space="preserve"> in recruitment that </w:t>
      </w:r>
      <w:r w:rsidRPr="00331DE8">
        <w:rPr>
          <w:rFonts w:ascii="Arial" w:hAnsi="Arial" w:cs="Arial"/>
        </w:rPr>
        <w:lastRenderedPageBreak/>
        <w:t xml:space="preserve">diminish capacity and disrupt the process of addressing increasing demand (The King’s Fund, 2025). Both of these pressures with an increased complexity of need, and an exhausted workforce, have intensified the </w:t>
      </w:r>
      <w:r>
        <w:rPr>
          <w:rFonts w:ascii="Arial" w:hAnsi="Arial" w:cs="Arial"/>
        </w:rPr>
        <w:t>need</w:t>
      </w:r>
      <w:r w:rsidRPr="00331DE8">
        <w:rPr>
          <w:rFonts w:ascii="Arial" w:hAnsi="Arial" w:cs="Arial"/>
        </w:rPr>
        <w:t xml:space="preserve"> to explore technology enabled solutions, including telehealth and telecare as the necessary tools to aid service sustainability and user safety. The UK has a</w:t>
      </w:r>
      <w:r w:rsidR="000E020E">
        <w:rPr>
          <w:rFonts w:ascii="Arial" w:hAnsi="Arial" w:cs="Arial"/>
        </w:rPr>
        <w:t xml:space="preserve"> well- established framework </w:t>
      </w:r>
      <w:r w:rsidRPr="00331DE8">
        <w:rPr>
          <w:rFonts w:ascii="Arial" w:hAnsi="Arial" w:cs="Arial"/>
        </w:rPr>
        <w:t>in terms of the implementation of these digital tools. The Care Act 2014 imposes legal obligations on local authorities to advance wellbeing and prevent, diminish, or postpone the emergence of care demands. These principles are consistent with the aspects of telehealth interventions that make it possible to monitor remotely, reassure, and detect risks early. This is supported by national strategy documents, including the NHS Long Term Plan (2019), which focuses on digitally enabled care and enhanced integration between health and community services, and the white paper People at the Heart of Care (2022), which projects a major investment in digital infrastructure to modernise the delivery of social care (Department of Health and Social Care, 2022). Nevertheless, the possible advantages of telehealth are also limited through existing disparities in digital access. Older adults, especially those aged 75 years and older, are disproportionately disadvantaged through digital exclusion because they tend to have lower digital skills, lack confidence, or do not have reliable access to the Internet compared to younger generations (Age UK, 2022; Ofcom, 2022). Affordability, limited digital literacy, and health related impairments are also identified as barriers, thus, requiring an inclusive design and sufficient support, to maintain equitable access (Ofcom, 2022). Combined with each other, these demographic, workforce, and policy strains highlight an increasing demand to comprehend how telehealth is applied to UK social care and what circumstances are needed to make the implementation of telehealth effective and fair.</w:t>
      </w:r>
    </w:p>
    <w:p w14:paraId="2C8DE463" w14:textId="4DDCB790" w:rsidR="00331DE8" w:rsidRDefault="00331DE8" w:rsidP="00FC1A10">
      <w:pPr>
        <w:spacing w:line="360" w:lineRule="auto"/>
        <w:jc w:val="both"/>
        <w:rPr>
          <w:rFonts w:ascii="Arial" w:hAnsi="Arial" w:cs="Arial"/>
          <w:color w:val="111111"/>
          <w:sz w:val="27"/>
          <w:szCs w:val="27"/>
          <w:shd w:val="clear" w:color="auto" w:fill="D4EDDA"/>
        </w:rPr>
      </w:pPr>
    </w:p>
    <w:p w14:paraId="33773603" w14:textId="6B4188B1" w:rsidR="00331DE8" w:rsidRPr="00274DB1" w:rsidRDefault="00331DE8" w:rsidP="00274DB1">
      <w:pPr>
        <w:pStyle w:val="ListParagraph"/>
        <w:numPr>
          <w:ilvl w:val="0"/>
          <w:numId w:val="1"/>
        </w:numPr>
        <w:jc w:val="both"/>
        <w:rPr>
          <w:rFonts w:ascii="Arial" w:hAnsi="Arial" w:cs="Arial"/>
          <w:b/>
          <w:bCs/>
        </w:rPr>
      </w:pPr>
      <w:r w:rsidRPr="00274DB1">
        <w:rPr>
          <w:rFonts w:ascii="Arial" w:hAnsi="Arial" w:cs="Arial"/>
          <w:b/>
          <w:bCs/>
        </w:rPr>
        <w:t>Methods</w:t>
      </w:r>
    </w:p>
    <w:p w14:paraId="2BB599EE" w14:textId="15B3E192" w:rsidR="00331DE8" w:rsidRPr="00331DE8" w:rsidRDefault="00331DE8" w:rsidP="00FC1A10">
      <w:pPr>
        <w:spacing w:line="360" w:lineRule="auto"/>
        <w:jc w:val="both"/>
        <w:rPr>
          <w:rFonts w:ascii="Arial" w:hAnsi="Arial" w:cs="Arial"/>
        </w:rPr>
      </w:pPr>
      <w:r w:rsidRPr="00331DE8">
        <w:rPr>
          <w:rFonts w:ascii="Arial" w:hAnsi="Arial" w:cs="Arial"/>
          <w:lang w:eastAsia="en-GB"/>
        </w:rPr>
        <w:t xml:space="preserve">This study </w:t>
      </w:r>
      <w:r w:rsidR="000E020E">
        <w:rPr>
          <w:rFonts w:ascii="Arial" w:hAnsi="Arial" w:cs="Arial"/>
          <w:lang w:eastAsia="en-GB"/>
        </w:rPr>
        <w:t>adopted</w:t>
      </w:r>
      <w:r w:rsidRPr="00331DE8">
        <w:rPr>
          <w:rFonts w:ascii="Arial" w:hAnsi="Arial" w:cs="Arial"/>
          <w:lang w:eastAsia="en-GB"/>
        </w:rPr>
        <w:t xml:space="preserve"> a scoping review design to identify the scope, nature and characteristics of peer reviewed literature about the use of telehealth to support older adults in the UK social care environment. Scoping reviews are especially useful in exploring an expanding or wider body of evidence since they allow one to identify important concepts, summari</w:t>
      </w:r>
      <w:r w:rsidRPr="00331DE8">
        <w:rPr>
          <w:rFonts w:ascii="Arial" w:hAnsi="Arial" w:cs="Arial"/>
        </w:rPr>
        <w:t>s</w:t>
      </w:r>
      <w:r w:rsidRPr="00331DE8">
        <w:rPr>
          <w:rFonts w:ascii="Arial" w:hAnsi="Arial" w:cs="Arial"/>
          <w:lang w:eastAsia="en-GB"/>
        </w:rPr>
        <w:t xml:space="preserve">e various study designs, and explain evidence gaps (Arksey and O'Malley, 2005). The study methodology was based on the five-stage framework suggested by Arksey and O'Malley (2005) and was complemented by the step-by-step framework of health and social care evidence synthesis suggested by Aveyard (2014). Also, the recommendations of Levac, Colquhoun and O'Brien (2010) were implemented to make the analysis more detailed, focusing on the iterative selection and definition of the purpose of the review. The PRISMA Extension to Scoping </w:t>
      </w:r>
      <w:r w:rsidRPr="00331DE8">
        <w:rPr>
          <w:rFonts w:ascii="Arial" w:hAnsi="Arial" w:cs="Arial"/>
          <w:lang w:eastAsia="en-GB"/>
        </w:rPr>
        <w:lastRenderedPageBreak/>
        <w:t>Reviews (PRISMA ScR) was used to guide reporting, and it presents the best practice standards to document search methods, eligibility decisions and synthesis procedures to improve their clarity and reproducibility (Tricco et al., 2018). These research methodologies have been extensively used in research on telehealth and ageing, with recent systematic and realist reviews shaping the approach of this study (Fothergill et al., 2025; Fernandes et al., 2025).</w:t>
      </w:r>
    </w:p>
    <w:p w14:paraId="6BE13C47" w14:textId="77777777" w:rsidR="00331DE8" w:rsidRPr="00331DE8" w:rsidRDefault="00331DE8" w:rsidP="00FC1A10">
      <w:pPr>
        <w:spacing w:line="360" w:lineRule="auto"/>
        <w:jc w:val="both"/>
        <w:rPr>
          <w:rFonts w:ascii="Arial" w:hAnsi="Arial" w:cs="Arial"/>
        </w:rPr>
      </w:pPr>
    </w:p>
    <w:p w14:paraId="38A6DE7C" w14:textId="4FF20E85" w:rsidR="00331DE8" w:rsidRPr="00331DE8" w:rsidRDefault="00274DB1" w:rsidP="00FC1A10">
      <w:pPr>
        <w:spacing w:line="360" w:lineRule="auto"/>
        <w:jc w:val="both"/>
        <w:rPr>
          <w:rFonts w:ascii="Arial" w:hAnsi="Arial" w:cs="Arial"/>
        </w:rPr>
      </w:pPr>
      <w:r>
        <w:rPr>
          <w:rFonts w:ascii="Arial" w:hAnsi="Arial" w:cs="Arial"/>
          <w:lang w:eastAsia="en-GB"/>
        </w:rPr>
        <w:t xml:space="preserve">3.1 </w:t>
      </w:r>
      <w:r w:rsidR="00331DE8" w:rsidRPr="00331DE8">
        <w:rPr>
          <w:rFonts w:ascii="Arial" w:hAnsi="Arial" w:cs="Arial"/>
          <w:lang w:eastAsia="en-GB"/>
        </w:rPr>
        <w:t xml:space="preserve">Search Strategy </w:t>
      </w:r>
    </w:p>
    <w:p w14:paraId="22606942" w14:textId="62CE8C48" w:rsidR="00331DE8" w:rsidRPr="00331DE8" w:rsidRDefault="00331DE8" w:rsidP="00FC1A10">
      <w:pPr>
        <w:spacing w:line="360" w:lineRule="auto"/>
        <w:jc w:val="both"/>
        <w:rPr>
          <w:rFonts w:ascii="Arial" w:hAnsi="Arial" w:cs="Arial"/>
        </w:rPr>
      </w:pPr>
      <w:r w:rsidRPr="00331DE8">
        <w:rPr>
          <w:rFonts w:ascii="Arial" w:hAnsi="Arial" w:cs="Arial"/>
          <w:lang w:eastAsia="en-GB"/>
        </w:rPr>
        <w:t>Three key databases on the topics of health, ageing and social care were</w:t>
      </w:r>
      <w:r w:rsidR="000B66B3">
        <w:rPr>
          <w:rFonts w:ascii="Arial" w:hAnsi="Arial" w:cs="Arial"/>
          <w:lang w:eastAsia="en-GB"/>
        </w:rPr>
        <w:t xml:space="preserve"> </w:t>
      </w:r>
      <w:r w:rsidRPr="00331DE8">
        <w:rPr>
          <w:rFonts w:ascii="Arial" w:hAnsi="Arial" w:cs="Arial"/>
          <w:lang w:eastAsia="en-GB"/>
        </w:rPr>
        <w:t xml:space="preserve">searched: MEDLINE, CINAHL and PubMed, using a structured electronic search. These databases were chosen because of the extensive scope of telehealth, gerontology and applied social care research covered. The keywords used </w:t>
      </w:r>
      <w:r w:rsidRPr="00331DE8">
        <w:rPr>
          <w:rFonts w:ascii="Arial" w:hAnsi="Arial" w:cs="Arial"/>
        </w:rPr>
        <w:t>were</w:t>
      </w:r>
      <w:r w:rsidRPr="00331DE8">
        <w:rPr>
          <w:rFonts w:ascii="Arial" w:hAnsi="Arial" w:cs="Arial"/>
          <w:lang w:eastAsia="en-GB"/>
        </w:rPr>
        <w:t xml:space="preserve"> telehealth, telecare, remote monitoring, older adults, older people, social care, community care and United Kingdom. Search refinement was done using </w:t>
      </w:r>
      <w:r w:rsidRPr="00331DE8">
        <w:rPr>
          <w:rFonts w:ascii="Arial" w:hAnsi="Arial" w:cs="Arial"/>
        </w:rPr>
        <w:t>Boolean</w:t>
      </w:r>
      <w:r w:rsidRPr="00331DE8">
        <w:rPr>
          <w:rFonts w:ascii="Arial" w:hAnsi="Arial" w:cs="Arial"/>
          <w:lang w:eastAsia="en-GB"/>
        </w:rPr>
        <w:t xml:space="preserve"> operators. The search period (2013 - 2025) was used to select the most recent information regarding digital health policy and to include the major growth of telehealth in the wake of the COVID 19 pandemic (Greenhalgh et al., 2020).</w:t>
      </w:r>
    </w:p>
    <w:p w14:paraId="28C896EB" w14:textId="77777777" w:rsidR="00331DE8" w:rsidRPr="00331DE8" w:rsidRDefault="00331DE8" w:rsidP="00FC1A10">
      <w:pPr>
        <w:spacing w:line="360" w:lineRule="auto"/>
        <w:jc w:val="both"/>
        <w:rPr>
          <w:rFonts w:ascii="Arial" w:hAnsi="Arial" w:cs="Arial"/>
        </w:rPr>
      </w:pPr>
      <w:r w:rsidRPr="00331DE8">
        <w:rPr>
          <w:rFonts w:ascii="Arial" w:hAnsi="Arial" w:cs="Arial"/>
          <w:lang w:eastAsia="en-GB"/>
        </w:rPr>
        <w:t xml:space="preserve"> </w:t>
      </w:r>
    </w:p>
    <w:p w14:paraId="5338CEAB" w14:textId="5349745F" w:rsidR="00331DE8" w:rsidRPr="00331DE8" w:rsidRDefault="00274DB1" w:rsidP="00FC1A10">
      <w:pPr>
        <w:spacing w:line="360" w:lineRule="auto"/>
        <w:jc w:val="both"/>
        <w:rPr>
          <w:rFonts w:ascii="Arial" w:hAnsi="Arial" w:cs="Arial"/>
        </w:rPr>
      </w:pPr>
      <w:r>
        <w:rPr>
          <w:rFonts w:ascii="Arial" w:hAnsi="Arial" w:cs="Arial"/>
          <w:lang w:eastAsia="en-GB"/>
        </w:rPr>
        <w:t xml:space="preserve">3.2 </w:t>
      </w:r>
      <w:r w:rsidR="00331DE8" w:rsidRPr="00331DE8">
        <w:rPr>
          <w:rFonts w:ascii="Arial" w:hAnsi="Arial" w:cs="Arial"/>
          <w:lang w:eastAsia="en-GB"/>
        </w:rPr>
        <w:t>Eligibility Criteria</w:t>
      </w:r>
    </w:p>
    <w:p w14:paraId="2E1120C1" w14:textId="347BCDA9" w:rsidR="00331DE8" w:rsidRPr="00331DE8" w:rsidRDefault="00331DE8" w:rsidP="00FC1A10">
      <w:pPr>
        <w:spacing w:line="360" w:lineRule="auto"/>
        <w:jc w:val="both"/>
        <w:rPr>
          <w:rFonts w:ascii="Arial" w:hAnsi="Arial" w:cs="Arial"/>
        </w:rPr>
      </w:pPr>
      <w:r w:rsidRPr="00331DE8">
        <w:rPr>
          <w:rFonts w:ascii="Arial" w:hAnsi="Arial" w:cs="Arial"/>
        </w:rPr>
        <w:t>S</w:t>
      </w:r>
      <w:r w:rsidRPr="00331DE8">
        <w:rPr>
          <w:rFonts w:ascii="Arial" w:hAnsi="Arial" w:cs="Arial"/>
          <w:lang w:eastAsia="en-GB"/>
        </w:rPr>
        <w:t xml:space="preserve">tudies were </w:t>
      </w:r>
      <w:r w:rsidRPr="00331DE8">
        <w:rPr>
          <w:rFonts w:ascii="Arial" w:hAnsi="Arial" w:cs="Arial"/>
        </w:rPr>
        <w:t xml:space="preserve">only </w:t>
      </w:r>
      <w:r w:rsidRPr="00331DE8">
        <w:rPr>
          <w:rFonts w:ascii="Arial" w:hAnsi="Arial" w:cs="Arial"/>
          <w:lang w:eastAsia="en-GB"/>
        </w:rPr>
        <w:t xml:space="preserve">included </w:t>
      </w:r>
      <w:r w:rsidRPr="00331DE8">
        <w:rPr>
          <w:rFonts w:ascii="Arial" w:hAnsi="Arial" w:cs="Arial"/>
        </w:rPr>
        <w:t xml:space="preserve">if </w:t>
      </w:r>
      <w:r w:rsidRPr="00331DE8">
        <w:rPr>
          <w:rFonts w:ascii="Arial" w:hAnsi="Arial" w:cs="Arial"/>
          <w:lang w:eastAsia="en-GB"/>
        </w:rPr>
        <w:t>the</w:t>
      </w:r>
      <w:r w:rsidRPr="00331DE8">
        <w:rPr>
          <w:rFonts w:ascii="Arial" w:hAnsi="Arial" w:cs="Arial"/>
        </w:rPr>
        <w:t>y</w:t>
      </w:r>
      <w:r w:rsidRPr="00331DE8">
        <w:rPr>
          <w:rFonts w:ascii="Arial" w:hAnsi="Arial" w:cs="Arial"/>
          <w:lang w:eastAsia="en-GB"/>
        </w:rPr>
        <w:t xml:space="preserve"> follow</w:t>
      </w:r>
      <w:r w:rsidRPr="00331DE8">
        <w:rPr>
          <w:rFonts w:ascii="Arial" w:hAnsi="Arial" w:cs="Arial"/>
        </w:rPr>
        <w:t>ed the following</w:t>
      </w:r>
      <w:r w:rsidRPr="00331DE8">
        <w:rPr>
          <w:rFonts w:ascii="Arial" w:hAnsi="Arial" w:cs="Arial"/>
          <w:lang w:eastAsia="en-GB"/>
        </w:rPr>
        <w:t xml:space="preserve"> criteria:</w:t>
      </w:r>
    </w:p>
    <w:p w14:paraId="302F48FB" w14:textId="55944672" w:rsidR="00331DE8" w:rsidRPr="00331DE8" w:rsidRDefault="00331DE8" w:rsidP="00FC1A10">
      <w:pPr>
        <w:spacing w:line="360" w:lineRule="auto"/>
        <w:jc w:val="both"/>
        <w:rPr>
          <w:rFonts w:ascii="Arial" w:hAnsi="Arial" w:cs="Arial"/>
        </w:rPr>
      </w:pPr>
      <w:r w:rsidRPr="00331DE8">
        <w:rPr>
          <w:rFonts w:ascii="Arial" w:hAnsi="Arial" w:cs="Arial"/>
        </w:rPr>
        <w:t>1.</w:t>
      </w:r>
      <w:r w:rsidRPr="00331DE8">
        <w:rPr>
          <w:rFonts w:ascii="Arial" w:hAnsi="Arial" w:cs="Arial"/>
          <w:lang w:eastAsia="en-GB"/>
        </w:rPr>
        <w:t>Peer reviewed journal articles.</w:t>
      </w:r>
    </w:p>
    <w:p w14:paraId="157049D8" w14:textId="17D7164C" w:rsidR="00331DE8" w:rsidRPr="00331DE8" w:rsidRDefault="00331DE8" w:rsidP="00FC1A10">
      <w:pPr>
        <w:spacing w:line="360" w:lineRule="auto"/>
        <w:jc w:val="both"/>
        <w:rPr>
          <w:rFonts w:ascii="Arial" w:hAnsi="Arial" w:cs="Arial"/>
        </w:rPr>
      </w:pPr>
      <w:r w:rsidRPr="00331DE8">
        <w:rPr>
          <w:rFonts w:ascii="Arial" w:hAnsi="Arial" w:cs="Arial"/>
        </w:rPr>
        <w:t>2.</w:t>
      </w:r>
      <w:r w:rsidRPr="00331DE8">
        <w:rPr>
          <w:rFonts w:ascii="Arial" w:hAnsi="Arial" w:cs="Arial"/>
          <w:lang w:eastAsia="en-GB"/>
        </w:rPr>
        <w:t xml:space="preserve">The research was </w:t>
      </w:r>
      <w:r w:rsidR="008B7F21" w:rsidRPr="00331DE8">
        <w:rPr>
          <w:rFonts w:ascii="Arial" w:hAnsi="Arial" w:cs="Arial"/>
          <w:lang w:eastAsia="en-GB"/>
        </w:rPr>
        <w:t>conducted</w:t>
      </w:r>
      <w:r w:rsidRPr="00331DE8">
        <w:rPr>
          <w:rFonts w:ascii="Arial" w:hAnsi="Arial" w:cs="Arial"/>
          <w:lang w:eastAsia="en-GB"/>
        </w:rPr>
        <w:t xml:space="preserve"> in the United Kingdom.</w:t>
      </w:r>
    </w:p>
    <w:p w14:paraId="15F509F5" w14:textId="330F5F55" w:rsidR="00331DE8" w:rsidRPr="00331DE8" w:rsidRDefault="00331DE8" w:rsidP="00FC1A10">
      <w:pPr>
        <w:spacing w:line="360" w:lineRule="auto"/>
        <w:jc w:val="both"/>
        <w:rPr>
          <w:rFonts w:ascii="Arial" w:hAnsi="Arial" w:cs="Arial"/>
        </w:rPr>
      </w:pPr>
      <w:r w:rsidRPr="00331DE8">
        <w:rPr>
          <w:rFonts w:ascii="Arial" w:hAnsi="Arial" w:cs="Arial"/>
        </w:rPr>
        <w:t>3.</w:t>
      </w:r>
      <w:r w:rsidRPr="00331DE8">
        <w:rPr>
          <w:rFonts w:ascii="Arial" w:hAnsi="Arial" w:cs="Arial"/>
          <w:lang w:eastAsia="en-GB"/>
        </w:rPr>
        <w:t xml:space="preserve">Dedicated to interventions of telehealth or telecare. </w:t>
      </w:r>
    </w:p>
    <w:p w14:paraId="0C19DA95" w14:textId="7580A5D5" w:rsidR="00331DE8" w:rsidRPr="00331DE8" w:rsidRDefault="00331DE8" w:rsidP="00FC1A10">
      <w:pPr>
        <w:spacing w:line="360" w:lineRule="auto"/>
        <w:jc w:val="both"/>
        <w:rPr>
          <w:rFonts w:ascii="Arial" w:hAnsi="Arial" w:cs="Arial"/>
        </w:rPr>
      </w:pPr>
      <w:r w:rsidRPr="00331DE8">
        <w:rPr>
          <w:rFonts w:ascii="Arial" w:hAnsi="Arial" w:cs="Arial"/>
        </w:rPr>
        <w:t xml:space="preserve">4.Only included </w:t>
      </w:r>
      <w:r w:rsidR="008B7F21" w:rsidRPr="00331DE8">
        <w:rPr>
          <w:rFonts w:ascii="Arial" w:hAnsi="Arial" w:cs="Arial"/>
        </w:rPr>
        <w:t>people who</w:t>
      </w:r>
      <w:r w:rsidRPr="00331DE8">
        <w:rPr>
          <w:rFonts w:ascii="Arial" w:hAnsi="Arial" w:cs="Arial"/>
        </w:rPr>
        <w:t xml:space="preserve"> </w:t>
      </w:r>
      <w:r w:rsidRPr="00331DE8">
        <w:rPr>
          <w:rFonts w:ascii="Arial" w:hAnsi="Arial" w:cs="Arial"/>
          <w:lang w:eastAsia="en-GB"/>
        </w:rPr>
        <w:t xml:space="preserve">were 65 years and above. </w:t>
      </w:r>
    </w:p>
    <w:p w14:paraId="67F1AC49" w14:textId="6FC92029" w:rsidR="00331DE8" w:rsidRPr="00331DE8" w:rsidRDefault="00331DE8" w:rsidP="00FC1A10">
      <w:pPr>
        <w:spacing w:line="360" w:lineRule="auto"/>
        <w:jc w:val="both"/>
        <w:rPr>
          <w:rFonts w:ascii="Arial" w:hAnsi="Arial" w:cs="Arial"/>
        </w:rPr>
      </w:pPr>
      <w:r w:rsidRPr="00331DE8">
        <w:rPr>
          <w:rFonts w:ascii="Arial" w:hAnsi="Arial" w:cs="Arial"/>
        </w:rPr>
        <w:t>5.</w:t>
      </w:r>
      <w:r w:rsidRPr="00331DE8">
        <w:rPr>
          <w:rFonts w:ascii="Arial" w:hAnsi="Arial" w:cs="Arial"/>
          <w:lang w:eastAsia="en-GB"/>
        </w:rPr>
        <w:t xml:space="preserve">Social care settings addressed or integrated contexts of health social care. </w:t>
      </w:r>
    </w:p>
    <w:p w14:paraId="6E49EE87" w14:textId="77777777" w:rsidR="00331DE8" w:rsidRPr="00331DE8" w:rsidRDefault="00331DE8" w:rsidP="00FC1A10">
      <w:pPr>
        <w:spacing w:line="360" w:lineRule="auto"/>
        <w:jc w:val="both"/>
        <w:rPr>
          <w:rFonts w:ascii="Arial" w:hAnsi="Arial" w:cs="Arial"/>
        </w:rPr>
      </w:pPr>
      <w:r w:rsidRPr="00331DE8">
        <w:rPr>
          <w:rFonts w:ascii="Arial" w:hAnsi="Arial" w:cs="Arial"/>
          <w:lang w:eastAsia="en-GB"/>
        </w:rPr>
        <w:t>Others considered as exclusion criteria include grey literature, conference papers, editorials, commentaries, non-UK publications and papers that do not have access to the full text.</w:t>
      </w:r>
    </w:p>
    <w:p w14:paraId="33EFFD99" w14:textId="3561C35F" w:rsidR="00331DE8" w:rsidRPr="00331DE8" w:rsidRDefault="00274DB1" w:rsidP="00FC1A10">
      <w:pPr>
        <w:spacing w:line="360" w:lineRule="auto"/>
        <w:jc w:val="both"/>
        <w:rPr>
          <w:rFonts w:ascii="Arial" w:hAnsi="Arial" w:cs="Arial"/>
        </w:rPr>
      </w:pPr>
      <w:r>
        <w:rPr>
          <w:rFonts w:ascii="Arial" w:hAnsi="Arial" w:cs="Arial"/>
          <w:lang w:eastAsia="en-GB"/>
        </w:rPr>
        <w:t xml:space="preserve">3.3 </w:t>
      </w:r>
      <w:r w:rsidR="00331DE8" w:rsidRPr="00331DE8">
        <w:rPr>
          <w:rFonts w:ascii="Arial" w:hAnsi="Arial" w:cs="Arial"/>
          <w:lang w:eastAsia="en-GB"/>
        </w:rPr>
        <w:t xml:space="preserve">Study Selection </w:t>
      </w:r>
    </w:p>
    <w:p w14:paraId="50FF39D6" w14:textId="77777777" w:rsidR="00331DE8" w:rsidRPr="00331DE8" w:rsidRDefault="00331DE8" w:rsidP="00FC1A10">
      <w:pPr>
        <w:spacing w:line="360" w:lineRule="auto"/>
        <w:jc w:val="both"/>
        <w:rPr>
          <w:rFonts w:ascii="Arial" w:hAnsi="Arial" w:cs="Arial"/>
        </w:rPr>
      </w:pPr>
      <w:r w:rsidRPr="00331DE8">
        <w:rPr>
          <w:rFonts w:ascii="Arial" w:hAnsi="Arial" w:cs="Arial"/>
          <w:lang w:eastAsia="en-GB"/>
        </w:rPr>
        <w:t xml:space="preserve">The process of screening was done in two phases. The initial screening of relevance was done through titles and </w:t>
      </w:r>
      <w:r w:rsidRPr="00331DE8">
        <w:rPr>
          <w:rFonts w:ascii="Arial" w:hAnsi="Arial" w:cs="Arial"/>
        </w:rPr>
        <w:t>abstracts,</w:t>
      </w:r>
      <w:r w:rsidRPr="00331DE8">
        <w:rPr>
          <w:rFonts w:ascii="Arial" w:hAnsi="Arial" w:cs="Arial"/>
          <w:lang w:eastAsia="en-GB"/>
        </w:rPr>
        <w:t xml:space="preserve"> and the</w:t>
      </w:r>
      <w:r w:rsidRPr="00331DE8">
        <w:rPr>
          <w:rFonts w:ascii="Arial" w:hAnsi="Arial" w:cs="Arial"/>
        </w:rPr>
        <w:t>n the</w:t>
      </w:r>
      <w:r w:rsidRPr="00331DE8">
        <w:rPr>
          <w:rFonts w:ascii="Arial" w:hAnsi="Arial" w:cs="Arial"/>
          <w:lang w:eastAsia="en-GB"/>
        </w:rPr>
        <w:t xml:space="preserve"> full text screening of potentially eligible studies. Only four studies were included as they met all the inclusion criteria, which indicated the lack of </w:t>
      </w:r>
      <w:r w:rsidRPr="00331DE8">
        <w:rPr>
          <w:rFonts w:ascii="Arial" w:hAnsi="Arial" w:cs="Arial"/>
          <w:lang w:eastAsia="en-GB"/>
        </w:rPr>
        <w:lastRenderedPageBreak/>
        <w:t xml:space="preserve">peer reviewed studies addressing the topic of telehealth in UK social care specifically (Eccles, 2020; Greenhalgh et al., 2020; Shaw et al., 2021; Fothergill et al., 2025). </w:t>
      </w:r>
    </w:p>
    <w:p w14:paraId="5559027E" w14:textId="353EE271" w:rsidR="00331DE8" w:rsidRPr="00331DE8" w:rsidRDefault="00274DB1" w:rsidP="00FC1A10">
      <w:pPr>
        <w:spacing w:line="360" w:lineRule="auto"/>
        <w:jc w:val="both"/>
        <w:rPr>
          <w:rFonts w:ascii="Arial" w:hAnsi="Arial" w:cs="Arial"/>
        </w:rPr>
      </w:pPr>
      <w:r>
        <w:rPr>
          <w:rFonts w:ascii="Arial" w:hAnsi="Arial" w:cs="Arial"/>
          <w:lang w:eastAsia="en-GB"/>
        </w:rPr>
        <w:t xml:space="preserve">3.4 </w:t>
      </w:r>
      <w:r w:rsidR="00331DE8" w:rsidRPr="00331DE8">
        <w:rPr>
          <w:rFonts w:ascii="Arial" w:hAnsi="Arial" w:cs="Arial"/>
          <w:lang w:eastAsia="en-GB"/>
        </w:rPr>
        <w:t>Data Charting and Analysis</w:t>
      </w:r>
    </w:p>
    <w:p w14:paraId="38949A8D" w14:textId="6829B820" w:rsidR="00331DE8" w:rsidRPr="00331DE8" w:rsidRDefault="00331DE8" w:rsidP="00FC1A10">
      <w:pPr>
        <w:spacing w:line="360" w:lineRule="auto"/>
        <w:jc w:val="both"/>
        <w:rPr>
          <w:rFonts w:ascii="Arial" w:hAnsi="Arial" w:cs="Arial"/>
        </w:rPr>
      </w:pPr>
      <w:r w:rsidRPr="00331DE8">
        <w:rPr>
          <w:rFonts w:ascii="Arial" w:hAnsi="Arial" w:cs="Arial"/>
          <w:lang w:eastAsia="en-GB"/>
        </w:rPr>
        <w:t>A structured charting template that included the study design, setting,</w:t>
      </w:r>
      <w:r w:rsidR="00BA482C">
        <w:rPr>
          <w:rFonts w:ascii="Arial" w:hAnsi="Arial" w:cs="Arial"/>
          <w:lang w:eastAsia="en-GB"/>
        </w:rPr>
        <w:t xml:space="preserve"> telehealth,</w:t>
      </w:r>
      <w:r w:rsidRPr="00331DE8">
        <w:rPr>
          <w:rFonts w:ascii="Arial" w:hAnsi="Arial" w:cs="Arial"/>
          <w:lang w:eastAsia="en-GB"/>
        </w:rPr>
        <w:t xml:space="preserve"> population</w:t>
      </w:r>
      <w:r w:rsidR="00BA482C">
        <w:rPr>
          <w:rFonts w:ascii="Arial" w:hAnsi="Arial" w:cs="Arial"/>
          <w:lang w:eastAsia="en-GB"/>
        </w:rPr>
        <w:t xml:space="preserve"> </w:t>
      </w:r>
      <w:r w:rsidRPr="00331DE8">
        <w:rPr>
          <w:rFonts w:ascii="Arial" w:hAnsi="Arial" w:cs="Arial"/>
          <w:lang w:eastAsia="en-GB"/>
        </w:rPr>
        <w:t xml:space="preserve">and key findings of the intervention was used to extract data. Thematic analysis approach was applied to determine common ideas in the studies to incorporate qualitative, mixed and realist informed evidence. After the thematic analysis procedure, the themes were extracted and summarized according to the guidelines provided by Aveyard (2014), to make sure that the results were relevant to the research question. </w:t>
      </w:r>
    </w:p>
    <w:p w14:paraId="44617461" w14:textId="3DB47BC3" w:rsidR="00331DE8" w:rsidRPr="00331DE8" w:rsidRDefault="00274DB1" w:rsidP="00FC1A10">
      <w:pPr>
        <w:spacing w:line="360" w:lineRule="auto"/>
        <w:jc w:val="both"/>
        <w:rPr>
          <w:rFonts w:ascii="Arial" w:hAnsi="Arial" w:cs="Arial"/>
        </w:rPr>
      </w:pPr>
      <w:r>
        <w:rPr>
          <w:rFonts w:ascii="Arial" w:hAnsi="Arial" w:cs="Arial"/>
          <w:lang w:eastAsia="en-GB"/>
        </w:rPr>
        <w:t xml:space="preserve">3.5 </w:t>
      </w:r>
      <w:r w:rsidR="00331DE8" w:rsidRPr="00331DE8">
        <w:rPr>
          <w:rFonts w:ascii="Arial" w:hAnsi="Arial" w:cs="Arial"/>
          <w:lang w:eastAsia="en-GB"/>
        </w:rPr>
        <w:t xml:space="preserve">Ethical Considerations </w:t>
      </w:r>
    </w:p>
    <w:p w14:paraId="08BB544B" w14:textId="69BA7D1C" w:rsidR="00331DE8" w:rsidRDefault="00331DE8" w:rsidP="00FC1A10">
      <w:pPr>
        <w:spacing w:line="360" w:lineRule="auto"/>
        <w:jc w:val="both"/>
        <w:rPr>
          <w:rFonts w:ascii="Arial" w:hAnsi="Arial" w:cs="Arial"/>
          <w:lang w:eastAsia="en-GB"/>
        </w:rPr>
      </w:pPr>
      <w:r w:rsidRPr="00331DE8">
        <w:rPr>
          <w:rFonts w:ascii="Arial" w:hAnsi="Arial" w:cs="Arial"/>
          <w:lang w:eastAsia="en-GB"/>
        </w:rPr>
        <w:t>Since the given study required secondary analysis of published literature, the ethical approval was not necessary. The integrity was ensured in the academic practice by means of proper reporting and giving credit to all the sources.</w:t>
      </w:r>
    </w:p>
    <w:p w14:paraId="739A94F5" w14:textId="23EA6BE4" w:rsidR="00331DE8" w:rsidRPr="00274DB1" w:rsidRDefault="00331DE8" w:rsidP="00274DB1">
      <w:pPr>
        <w:pStyle w:val="ListParagraph"/>
        <w:numPr>
          <w:ilvl w:val="0"/>
          <w:numId w:val="1"/>
        </w:numPr>
        <w:spacing w:line="360" w:lineRule="auto"/>
        <w:jc w:val="both"/>
        <w:rPr>
          <w:rFonts w:ascii="Arial" w:hAnsi="Arial" w:cs="Arial"/>
          <w:b/>
          <w:bCs/>
          <w:lang w:eastAsia="en-GB"/>
        </w:rPr>
      </w:pPr>
      <w:r w:rsidRPr="00274DB1">
        <w:rPr>
          <w:rFonts w:ascii="Arial" w:hAnsi="Arial" w:cs="Arial"/>
          <w:b/>
          <w:bCs/>
          <w:lang w:eastAsia="en-GB"/>
        </w:rPr>
        <w:t>Results</w:t>
      </w:r>
    </w:p>
    <w:p w14:paraId="0AA20580" w14:textId="4DD22DAE" w:rsidR="00331DE8" w:rsidRPr="00331DE8" w:rsidRDefault="00331DE8" w:rsidP="00FC1A10">
      <w:pPr>
        <w:spacing w:line="360" w:lineRule="auto"/>
        <w:jc w:val="both"/>
        <w:rPr>
          <w:rFonts w:ascii="Arial" w:hAnsi="Arial" w:cs="Arial"/>
          <w:lang w:eastAsia="en-GB"/>
        </w:rPr>
      </w:pPr>
      <w:r w:rsidRPr="00331DE8">
        <w:rPr>
          <w:rFonts w:ascii="Arial" w:hAnsi="Arial" w:cs="Arial"/>
          <w:lang w:eastAsia="en-GB"/>
        </w:rPr>
        <w:t>Across the three databases: MEDLINE, CINAHL, and PubMed, a total of 124 bibliographic records were found. The removal of duplicates left 83 records for screening titles and abstracts. Studies that are not based in the UK, not focusing on elderly persons, and only investigated telehealth in clinical (non-social care) settings were excluded. Twenty-five articles were full text assessed, where 21 of them were excluded as not being sufficiently relevant, or due to the lack of peer-review or not having telehealth interventions. Only four studies were able to fulfil the inclusion criteria, thereby reflecting the limited peer-reviewed literature specifically addressing telehealth in the UK social care area (Greenhalgh et al., 2020; Shaw et al., 2021; Eccles, 2020; Fothergill et al., 2025).</w:t>
      </w:r>
    </w:p>
    <w:p w14:paraId="4DFC2ABC" w14:textId="793C540B" w:rsidR="008838FD" w:rsidRPr="008D2652" w:rsidRDefault="00331DE8" w:rsidP="00FC1A10">
      <w:pPr>
        <w:spacing w:line="360" w:lineRule="auto"/>
        <w:jc w:val="both"/>
        <w:rPr>
          <w:rFonts w:ascii="Arial" w:hAnsi="Arial" w:cs="Arial"/>
          <w:lang w:eastAsia="en-GB"/>
        </w:rPr>
        <w:sectPr w:rsidR="008838FD" w:rsidRPr="008D2652" w:rsidSect="00263B09">
          <w:headerReference w:type="default" r:id="rId13"/>
          <w:footerReference w:type="default" r:id="rId14"/>
          <w:pgSz w:w="11906" w:h="16838"/>
          <w:pgMar w:top="1440" w:right="1440" w:bottom="1440" w:left="1440" w:header="708" w:footer="708" w:gutter="0"/>
          <w:pgNumType w:start="1"/>
          <w:cols w:space="708"/>
          <w:docGrid w:linePitch="360"/>
        </w:sectPr>
      </w:pPr>
      <w:r w:rsidRPr="00331DE8">
        <w:rPr>
          <w:rFonts w:ascii="Arial" w:hAnsi="Arial" w:cs="Arial"/>
          <w:lang w:eastAsia="en-GB"/>
        </w:rPr>
        <w:t>The enrolled studies published were between 2020 to 2025, and they employed different methodologies: qualitative; mixed methods and realist review synthesis. Their study sites were community social care, integrated care systems, and primary/community care interfaces which, in turn, are all relevant to older adults. Telehealth interventions used were video consultations, remote telecare systems, digital alarm services, and proactive monitoring technologies.</w:t>
      </w:r>
    </w:p>
    <w:p w14:paraId="292EF405" w14:textId="3C2FA1E3" w:rsidR="008838FD" w:rsidRDefault="008838FD" w:rsidP="00FC1A10">
      <w:pPr>
        <w:spacing w:line="360" w:lineRule="auto"/>
        <w:jc w:val="both"/>
        <w:rPr>
          <w:rFonts w:ascii="Arial" w:hAnsi="Arial" w:cs="Arial"/>
          <w:b/>
          <w:bCs/>
          <w:lang w:eastAsia="en-GB"/>
        </w:rPr>
      </w:pPr>
      <w:r>
        <w:rPr>
          <w:rFonts w:ascii="Arial" w:hAnsi="Arial" w:cs="Arial"/>
          <w:b/>
          <w:bCs/>
          <w:lang w:eastAsia="en-GB"/>
        </w:rPr>
        <w:lastRenderedPageBreak/>
        <w:t xml:space="preserve">  </w:t>
      </w:r>
      <w:r w:rsidR="00274DB1">
        <w:rPr>
          <w:rFonts w:ascii="Arial" w:hAnsi="Arial" w:cs="Arial"/>
          <w:b/>
          <w:bCs/>
          <w:lang w:eastAsia="en-GB"/>
        </w:rPr>
        <w:t xml:space="preserve">4.1 </w:t>
      </w:r>
      <w:r>
        <w:rPr>
          <w:rFonts w:ascii="Arial" w:hAnsi="Arial" w:cs="Arial"/>
          <w:b/>
          <w:bCs/>
          <w:lang w:eastAsia="en-GB"/>
        </w:rPr>
        <w:t>Table 1 Summary of the</w:t>
      </w:r>
      <w:r w:rsidR="000E020E">
        <w:rPr>
          <w:rFonts w:ascii="Arial" w:hAnsi="Arial" w:cs="Arial"/>
          <w:b/>
          <w:bCs/>
          <w:lang w:eastAsia="en-GB"/>
        </w:rPr>
        <w:t xml:space="preserve"> key findings from the</w:t>
      </w:r>
      <w:r>
        <w:rPr>
          <w:rFonts w:ascii="Arial" w:hAnsi="Arial" w:cs="Arial"/>
          <w:b/>
          <w:bCs/>
          <w:lang w:eastAsia="en-GB"/>
        </w:rPr>
        <w:t xml:space="preserve"> Included Studies</w:t>
      </w:r>
    </w:p>
    <w:tbl>
      <w:tblPr>
        <w:tblStyle w:val="TableGrid"/>
        <w:tblpPr w:leftFromText="180" w:rightFromText="180" w:vertAnchor="text" w:horzAnchor="margin" w:tblpY="79"/>
        <w:tblW w:w="16201" w:type="dxa"/>
        <w:tblLook w:val="04A0" w:firstRow="1" w:lastRow="0" w:firstColumn="1" w:lastColumn="0" w:noHBand="0" w:noVBand="1"/>
      </w:tblPr>
      <w:tblGrid>
        <w:gridCol w:w="2343"/>
        <w:gridCol w:w="1917"/>
        <w:gridCol w:w="2042"/>
        <w:gridCol w:w="2293"/>
        <w:gridCol w:w="1864"/>
        <w:gridCol w:w="5742"/>
      </w:tblGrid>
      <w:tr w:rsidR="008838FD" w:rsidRPr="008B3DA4" w14:paraId="3707C8BA" w14:textId="77777777" w:rsidTr="00D93480">
        <w:trPr>
          <w:trHeight w:val="844"/>
        </w:trPr>
        <w:tc>
          <w:tcPr>
            <w:tcW w:w="2343" w:type="dxa"/>
            <w:shd w:val="clear" w:color="auto" w:fill="E8E8E8" w:themeFill="background2"/>
          </w:tcPr>
          <w:p w14:paraId="68424C2F"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Author(s) &amp; Year</w:t>
            </w:r>
          </w:p>
        </w:tc>
        <w:tc>
          <w:tcPr>
            <w:tcW w:w="1917" w:type="dxa"/>
            <w:shd w:val="clear" w:color="auto" w:fill="E8E8E8" w:themeFill="background2"/>
          </w:tcPr>
          <w:p w14:paraId="52719CC9"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Study Design</w:t>
            </w:r>
          </w:p>
        </w:tc>
        <w:tc>
          <w:tcPr>
            <w:tcW w:w="2042" w:type="dxa"/>
            <w:shd w:val="clear" w:color="auto" w:fill="E8E8E8" w:themeFill="background2"/>
          </w:tcPr>
          <w:p w14:paraId="6B98B291"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Setting</w:t>
            </w:r>
          </w:p>
        </w:tc>
        <w:tc>
          <w:tcPr>
            <w:tcW w:w="2293" w:type="dxa"/>
            <w:shd w:val="clear" w:color="auto" w:fill="E8E8E8" w:themeFill="background2"/>
          </w:tcPr>
          <w:p w14:paraId="5C0765ED"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Telehealth Intervention</w:t>
            </w:r>
          </w:p>
        </w:tc>
        <w:tc>
          <w:tcPr>
            <w:tcW w:w="1864" w:type="dxa"/>
            <w:shd w:val="clear" w:color="auto" w:fill="E8E8E8" w:themeFill="background2"/>
          </w:tcPr>
          <w:p w14:paraId="22DE1BAD"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Population</w:t>
            </w:r>
          </w:p>
        </w:tc>
        <w:tc>
          <w:tcPr>
            <w:tcW w:w="5742" w:type="dxa"/>
            <w:shd w:val="clear" w:color="auto" w:fill="E8E8E8" w:themeFill="background2"/>
          </w:tcPr>
          <w:p w14:paraId="3DD888E0"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Key Findings</w:t>
            </w:r>
          </w:p>
        </w:tc>
      </w:tr>
      <w:tr w:rsidR="008838FD" w:rsidRPr="0029108B" w14:paraId="0EC95E41" w14:textId="77777777" w:rsidTr="00D93480">
        <w:trPr>
          <w:trHeight w:val="1489"/>
        </w:trPr>
        <w:tc>
          <w:tcPr>
            <w:tcW w:w="2343" w:type="dxa"/>
            <w:shd w:val="clear" w:color="auto" w:fill="D9D9D9" w:themeFill="background1" w:themeFillShade="D9"/>
          </w:tcPr>
          <w:p w14:paraId="40AC48C2"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Greenhalgh et al. (2020)</w:t>
            </w:r>
          </w:p>
        </w:tc>
        <w:tc>
          <w:tcPr>
            <w:tcW w:w="1917" w:type="dxa"/>
          </w:tcPr>
          <w:p w14:paraId="2C70155E"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Qualitative</w:t>
            </w:r>
          </w:p>
        </w:tc>
        <w:tc>
          <w:tcPr>
            <w:tcW w:w="2042" w:type="dxa"/>
          </w:tcPr>
          <w:p w14:paraId="62F07749"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Community &amp; primary care</w:t>
            </w:r>
          </w:p>
        </w:tc>
        <w:tc>
          <w:tcPr>
            <w:tcW w:w="2293" w:type="dxa"/>
          </w:tcPr>
          <w:p w14:paraId="3E1D17F1"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Video Consultations</w:t>
            </w:r>
          </w:p>
        </w:tc>
        <w:tc>
          <w:tcPr>
            <w:tcW w:w="1864" w:type="dxa"/>
          </w:tcPr>
          <w:p w14:paraId="7D2C4C04"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Older adults &amp; Clinicians</w:t>
            </w:r>
          </w:p>
        </w:tc>
        <w:tc>
          <w:tcPr>
            <w:tcW w:w="5742" w:type="dxa"/>
          </w:tcPr>
          <w:p w14:paraId="276D42FF" w14:textId="77777777" w:rsidR="008838FD" w:rsidRDefault="008838FD" w:rsidP="008838FD">
            <w:pPr>
              <w:jc w:val="center"/>
              <w:rPr>
                <w:rFonts w:ascii="Arial" w:eastAsia="Times New Roman" w:hAnsi="Arial" w:cs="Arial"/>
                <w:kern w:val="0"/>
                <w:lang w:eastAsia="en-GB"/>
                <w14:ligatures w14:val="none"/>
              </w:rPr>
            </w:pPr>
            <w:r w:rsidRPr="0029108B">
              <w:rPr>
                <w:rFonts w:ascii="Arial" w:eastAsia="Times New Roman" w:hAnsi="Arial" w:cs="Arial"/>
                <w:kern w:val="0"/>
                <w:lang w:eastAsia="en-GB"/>
                <w14:ligatures w14:val="none"/>
              </w:rPr>
              <w:t>Improved access to care</w:t>
            </w:r>
            <w:r>
              <w:rPr>
                <w:rFonts w:ascii="Arial" w:eastAsia="Times New Roman" w:hAnsi="Arial" w:cs="Arial"/>
                <w:kern w:val="0"/>
                <w:lang w:eastAsia="en-GB"/>
                <w14:ligatures w14:val="none"/>
              </w:rPr>
              <w:t>.</w:t>
            </w:r>
          </w:p>
          <w:p w14:paraId="25AFE8C3" w14:textId="77777777" w:rsidR="008838FD" w:rsidRDefault="008838FD" w:rsidP="008838FD">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Limited suitability for those with sensory, cognitive or communication challenges.</w:t>
            </w:r>
          </w:p>
          <w:p w14:paraId="68813630" w14:textId="77777777" w:rsidR="008838FD" w:rsidRDefault="008838FD" w:rsidP="008838FD">
            <w:pPr>
              <w:jc w:val="center"/>
              <w:rPr>
                <w:rFonts w:ascii="Arial" w:eastAsia="Times New Roman" w:hAnsi="Arial" w:cs="Arial"/>
                <w:kern w:val="0"/>
                <w:lang w:eastAsia="en-GB"/>
                <w14:ligatures w14:val="none"/>
              </w:rPr>
            </w:pPr>
          </w:p>
          <w:p w14:paraId="4008B5DD" w14:textId="2A0129F0" w:rsidR="008838FD" w:rsidRPr="0043381D" w:rsidRDefault="008838FD" w:rsidP="008838FD">
            <w:pPr>
              <w:jc w:val="center"/>
              <w:rPr>
                <w:rFonts w:ascii="Arial" w:eastAsia="Times New Roman" w:hAnsi="Arial" w:cs="Arial"/>
                <w:kern w:val="0"/>
                <w:lang w:eastAsia="en-GB"/>
                <w14:ligatures w14:val="none"/>
              </w:rPr>
            </w:pPr>
            <w:r>
              <w:rPr>
                <w:rStyle w:val="citation-374"/>
                <w:rFonts w:ascii="Arial" w:hAnsi="Arial" w:cs="Arial"/>
              </w:rPr>
              <w:t>T</w:t>
            </w:r>
            <w:r w:rsidRPr="0043381D">
              <w:rPr>
                <w:rStyle w:val="citation-374"/>
                <w:rFonts w:ascii="Arial" w:hAnsi="Arial" w:cs="Arial"/>
              </w:rPr>
              <w:t xml:space="preserve">echnical "lag" and sensory or cognitive disabilities make video consultations difficult for some older </w:t>
            </w:r>
            <w:r w:rsidR="00E55AC8" w:rsidRPr="0043381D">
              <w:rPr>
                <w:rStyle w:val="citation-374"/>
                <w:rFonts w:ascii="Arial" w:hAnsi="Arial" w:cs="Arial"/>
              </w:rPr>
              <w:t>users.</w:t>
            </w:r>
          </w:p>
          <w:p w14:paraId="2935C4BD" w14:textId="77777777" w:rsidR="008838FD" w:rsidRPr="0029108B" w:rsidRDefault="008838FD" w:rsidP="008838FD">
            <w:pPr>
              <w:jc w:val="center"/>
              <w:rPr>
                <w:rFonts w:ascii="Arial" w:eastAsia="Times New Roman" w:hAnsi="Arial" w:cs="Arial"/>
                <w:kern w:val="0"/>
                <w:lang w:eastAsia="en-GB"/>
                <w14:ligatures w14:val="none"/>
              </w:rPr>
            </w:pPr>
          </w:p>
        </w:tc>
      </w:tr>
      <w:tr w:rsidR="008838FD" w14:paraId="49823CA8" w14:textId="77777777" w:rsidTr="00D93480">
        <w:trPr>
          <w:trHeight w:val="1903"/>
        </w:trPr>
        <w:tc>
          <w:tcPr>
            <w:tcW w:w="2343" w:type="dxa"/>
            <w:shd w:val="clear" w:color="auto" w:fill="D9D9D9" w:themeFill="background1" w:themeFillShade="D9"/>
          </w:tcPr>
          <w:p w14:paraId="5E31A40D"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Shaw et al. (2021)</w:t>
            </w:r>
          </w:p>
        </w:tc>
        <w:tc>
          <w:tcPr>
            <w:tcW w:w="1917" w:type="dxa"/>
          </w:tcPr>
          <w:p w14:paraId="316F68A8"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Mixed - Methods</w:t>
            </w:r>
          </w:p>
        </w:tc>
        <w:tc>
          <w:tcPr>
            <w:tcW w:w="2042" w:type="dxa"/>
          </w:tcPr>
          <w:p w14:paraId="1A0EB805"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Integrated care</w:t>
            </w:r>
          </w:p>
        </w:tc>
        <w:tc>
          <w:tcPr>
            <w:tcW w:w="2293" w:type="dxa"/>
          </w:tcPr>
          <w:p w14:paraId="41B65A21"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Video Consultations</w:t>
            </w:r>
          </w:p>
        </w:tc>
        <w:tc>
          <w:tcPr>
            <w:tcW w:w="1864" w:type="dxa"/>
          </w:tcPr>
          <w:p w14:paraId="0BAC7451"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Older adults</w:t>
            </w:r>
          </w:p>
        </w:tc>
        <w:tc>
          <w:tcPr>
            <w:tcW w:w="5742" w:type="dxa"/>
          </w:tcPr>
          <w:p w14:paraId="71F6F01C" w14:textId="2E80AF06" w:rsidR="008838FD" w:rsidRPr="005C2054" w:rsidRDefault="008838FD" w:rsidP="008838FD">
            <w:pPr>
              <w:spacing w:before="100" w:beforeAutospacing="1" w:after="100" w:afterAutospacing="1" w:line="360" w:lineRule="auto"/>
              <w:rPr>
                <w:rFonts w:ascii="Arial" w:eastAsia="Times New Roman" w:hAnsi="Arial" w:cs="Arial"/>
                <w:kern w:val="0"/>
                <w:lang w:eastAsia="en-GB"/>
                <w14:ligatures w14:val="none"/>
              </w:rPr>
            </w:pPr>
            <w:r w:rsidRPr="005C2054">
              <w:rPr>
                <w:rStyle w:val="citation-373"/>
                <w:rFonts w:ascii="Arial" w:hAnsi="Arial" w:cs="Arial"/>
              </w:rPr>
              <w:t>Rapid scale-up</w:t>
            </w:r>
            <w:r w:rsidRPr="005C2054">
              <w:rPr>
                <w:rFonts w:ascii="Arial" w:hAnsi="Arial" w:cs="Arial"/>
              </w:rPr>
              <w:t xml:space="preserve">. </w:t>
            </w:r>
            <w:r w:rsidRPr="005C2054">
              <w:rPr>
                <w:rStyle w:val="citation-372"/>
                <w:rFonts w:ascii="Arial" w:hAnsi="Arial" w:cs="Arial"/>
              </w:rPr>
              <w:t>70% of participants favoured a hybrid model of care</w:t>
            </w:r>
            <w:r w:rsidRPr="005C2054">
              <w:rPr>
                <w:rFonts w:ascii="Arial" w:hAnsi="Arial" w:cs="Arial"/>
              </w:rPr>
              <w:t xml:space="preserve">. </w:t>
            </w:r>
            <w:r w:rsidRPr="005C2054">
              <w:rPr>
                <w:rStyle w:val="citation-371"/>
                <w:rFonts w:ascii="Arial" w:hAnsi="Arial" w:cs="Arial"/>
              </w:rPr>
              <w:t xml:space="preserve">Such models preserve the relational aspect of social </w:t>
            </w:r>
            <w:r w:rsidR="00E55AC8" w:rsidRPr="005C2054">
              <w:rPr>
                <w:rStyle w:val="citation-371"/>
                <w:rFonts w:ascii="Arial" w:hAnsi="Arial" w:cs="Arial"/>
              </w:rPr>
              <w:t>care.</w:t>
            </w:r>
          </w:p>
          <w:p w14:paraId="29665437"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p>
          <w:p w14:paraId="55B98723"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p>
        </w:tc>
      </w:tr>
      <w:tr w:rsidR="008838FD" w14:paraId="75452322" w14:textId="77777777" w:rsidTr="00D93480">
        <w:trPr>
          <w:trHeight w:val="1858"/>
        </w:trPr>
        <w:tc>
          <w:tcPr>
            <w:tcW w:w="2343" w:type="dxa"/>
            <w:shd w:val="clear" w:color="auto" w:fill="D9D9D9" w:themeFill="background1" w:themeFillShade="D9"/>
          </w:tcPr>
          <w:p w14:paraId="245DC4F0"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Eccles (2020)</w:t>
            </w:r>
          </w:p>
        </w:tc>
        <w:tc>
          <w:tcPr>
            <w:tcW w:w="1917" w:type="dxa"/>
          </w:tcPr>
          <w:p w14:paraId="3C58DEBD"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Qualitative</w:t>
            </w:r>
          </w:p>
        </w:tc>
        <w:tc>
          <w:tcPr>
            <w:tcW w:w="2042" w:type="dxa"/>
          </w:tcPr>
          <w:p w14:paraId="3865D14D"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Community social care</w:t>
            </w:r>
          </w:p>
        </w:tc>
        <w:tc>
          <w:tcPr>
            <w:tcW w:w="2293" w:type="dxa"/>
          </w:tcPr>
          <w:p w14:paraId="351B4C3E"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Telecare monitoring systems</w:t>
            </w:r>
          </w:p>
        </w:tc>
        <w:tc>
          <w:tcPr>
            <w:tcW w:w="1864" w:type="dxa"/>
          </w:tcPr>
          <w:p w14:paraId="7348B51F"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Older Adults &amp; Carers</w:t>
            </w:r>
          </w:p>
        </w:tc>
        <w:tc>
          <w:tcPr>
            <w:tcW w:w="5742" w:type="dxa"/>
          </w:tcPr>
          <w:p w14:paraId="475954DB" w14:textId="77777777" w:rsidR="008838FD" w:rsidRDefault="008838FD" w:rsidP="008838FD">
            <w:pPr>
              <w:spacing w:before="100" w:beforeAutospacing="1"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Increased safety and reassurance.</w:t>
            </w:r>
          </w:p>
          <w:p w14:paraId="4919334B" w14:textId="77777777" w:rsidR="008838FD" w:rsidRDefault="008838FD" w:rsidP="008838FD">
            <w:pPr>
              <w:spacing w:before="100" w:beforeAutospacing="1"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Concerns regarding privacy and surveillance.</w:t>
            </w:r>
          </w:p>
          <w:p w14:paraId="66D1A700" w14:textId="77777777" w:rsidR="008838FD" w:rsidRPr="00EE5511" w:rsidRDefault="008838FD" w:rsidP="008838FD">
            <w:pPr>
              <w:rPr>
                <w:rFonts w:ascii="Times New Roman" w:eastAsia="Times New Roman" w:hAnsi="Times New Roman" w:cs="Times New Roman"/>
                <w:kern w:val="0"/>
                <w:lang w:eastAsia="en-GB"/>
                <w14:ligatures w14:val="none"/>
              </w:rPr>
            </w:pPr>
            <w:r w:rsidRPr="00EE5511">
              <w:rPr>
                <w:rFonts w:ascii="Arial" w:eastAsia="Times New Roman" w:hAnsi="Arial" w:cs="Arial"/>
                <w:kern w:val="0"/>
                <w:lang w:eastAsia="en-GB"/>
                <w14:ligatures w14:val="none"/>
              </w:rPr>
              <w:t>Facilitates early identification of risks such as falls.</w:t>
            </w:r>
          </w:p>
          <w:p w14:paraId="14009447"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p>
        </w:tc>
      </w:tr>
      <w:tr w:rsidR="008838FD" w14:paraId="7112C83B" w14:textId="77777777" w:rsidTr="00D93480">
        <w:trPr>
          <w:trHeight w:val="2234"/>
        </w:trPr>
        <w:tc>
          <w:tcPr>
            <w:tcW w:w="2343" w:type="dxa"/>
            <w:shd w:val="clear" w:color="auto" w:fill="D9D9D9" w:themeFill="background1" w:themeFillShade="D9"/>
          </w:tcPr>
          <w:p w14:paraId="7861CA28" w14:textId="77777777" w:rsidR="008838FD" w:rsidRPr="008B3DA4" w:rsidRDefault="008838FD" w:rsidP="008838FD">
            <w:pPr>
              <w:spacing w:before="100" w:beforeAutospacing="1" w:after="100" w:afterAutospacing="1" w:line="360" w:lineRule="auto"/>
              <w:jc w:val="center"/>
              <w:rPr>
                <w:rFonts w:ascii="Arial" w:eastAsia="Times New Roman" w:hAnsi="Arial" w:cs="Arial"/>
                <w:b/>
                <w:bCs/>
                <w:kern w:val="0"/>
                <w:lang w:eastAsia="en-GB"/>
                <w14:ligatures w14:val="none"/>
              </w:rPr>
            </w:pPr>
            <w:r w:rsidRPr="008B3DA4">
              <w:rPr>
                <w:rFonts w:ascii="Arial" w:eastAsia="Times New Roman" w:hAnsi="Arial" w:cs="Arial"/>
                <w:b/>
                <w:bCs/>
                <w:kern w:val="0"/>
                <w:lang w:eastAsia="en-GB"/>
                <w14:ligatures w14:val="none"/>
              </w:rPr>
              <w:t>Fothergill et al. (2025)</w:t>
            </w:r>
          </w:p>
        </w:tc>
        <w:tc>
          <w:tcPr>
            <w:tcW w:w="1917" w:type="dxa"/>
          </w:tcPr>
          <w:p w14:paraId="5A9555A5"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Realist review</w:t>
            </w:r>
          </w:p>
        </w:tc>
        <w:tc>
          <w:tcPr>
            <w:tcW w:w="2042" w:type="dxa"/>
          </w:tcPr>
          <w:p w14:paraId="2E03712F"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Community social care</w:t>
            </w:r>
          </w:p>
        </w:tc>
        <w:tc>
          <w:tcPr>
            <w:tcW w:w="2293" w:type="dxa"/>
          </w:tcPr>
          <w:p w14:paraId="5519F489"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Telecare Monitoring System</w:t>
            </w:r>
          </w:p>
        </w:tc>
        <w:tc>
          <w:tcPr>
            <w:tcW w:w="1864" w:type="dxa"/>
          </w:tcPr>
          <w:p w14:paraId="72579E0C" w14:textId="77777777" w:rsidR="00BA482C"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Community – dwelling </w:t>
            </w:r>
          </w:p>
          <w:p w14:paraId="5FC70B27" w14:textId="2389A3A4"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Older Adults</w:t>
            </w:r>
          </w:p>
        </w:tc>
        <w:tc>
          <w:tcPr>
            <w:tcW w:w="5742" w:type="dxa"/>
          </w:tcPr>
          <w:p w14:paraId="7203B9C5"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Telecare supports independence.</w:t>
            </w:r>
          </w:p>
          <w:p w14:paraId="13FABC45"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r w:rsidRPr="00EE5511">
              <w:rPr>
                <w:rStyle w:val="citation-366"/>
                <w:rFonts w:ascii="Arial" w:hAnsi="Arial" w:cs="Arial"/>
              </w:rPr>
              <w:t>Success is "context dependent" and works best when integrated into the user's existing family and community support networks</w:t>
            </w:r>
            <w:r w:rsidRPr="00EE5511">
              <w:rPr>
                <w:rFonts w:ascii="Arial" w:hAnsi="Arial" w:cs="Arial"/>
              </w:rPr>
              <w:t>.</w:t>
            </w:r>
          </w:p>
          <w:p w14:paraId="151566BB" w14:textId="77777777" w:rsidR="008838FD" w:rsidRDefault="008838FD" w:rsidP="008838FD">
            <w:pPr>
              <w:spacing w:before="100" w:beforeAutospacing="1" w:after="100" w:afterAutospacing="1"/>
              <w:jc w:val="center"/>
              <w:rPr>
                <w:rFonts w:ascii="Arial" w:eastAsia="Times New Roman" w:hAnsi="Arial" w:cs="Arial"/>
                <w:kern w:val="0"/>
                <w:lang w:eastAsia="en-GB"/>
                <w14:ligatures w14:val="none"/>
              </w:rPr>
            </w:pPr>
          </w:p>
        </w:tc>
      </w:tr>
    </w:tbl>
    <w:p w14:paraId="7E5A448D" w14:textId="77777777" w:rsidR="008838FD" w:rsidRDefault="008838FD" w:rsidP="00FC1A10">
      <w:pPr>
        <w:spacing w:line="360" w:lineRule="auto"/>
        <w:jc w:val="both"/>
        <w:rPr>
          <w:rFonts w:ascii="Arial" w:hAnsi="Arial" w:cs="Arial"/>
          <w:b/>
          <w:bCs/>
          <w:lang w:eastAsia="en-GB"/>
        </w:rPr>
        <w:sectPr w:rsidR="008838FD" w:rsidSect="008D2652">
          <w:pgSz w:w="16838" w:h="11906" w:orient="landscape"/>
          <w:pgMar w:top="284" w:right="284" w:bottom="284" w:left="284" w:header="709" w:footer="709" w:gutter="0"/>
          <w:cols w:space="708"/>
          <w:docGrid w:linePitch="360"/>
        </w:sectPr>
      </w:pPr>
    </w:p>
    <w:p w14:paraId="13C9A436" w14:textId="722F161F" w:rsidR="00331DE8" w:rsidRDefault="00274DB1" w:rsidP="00FC1A10">
      <w:pPr>
        <w:spacing w:line="360" w:lineRule="auto"/>
        <w:jc w:val="both"/>
        <w:rPr>
          <w:rFonts w:ascii="Arial" w:hAnsi="Arial" w:cs="Arial"/>
          <w:b/>
          <w:bCs/>
          <w:lang w:eastAsia="en-GB"/>
        </w:rPr>
      </w:pPr>
      <w:r>
        <w:rPr>
          <w:rFonts w:ascii="Arial" w:hAnsi="Arial" w:cs="Arial"/>
          <w:b/>
          <w:bCs/>
          <w:lang w:eastAsia="en-GB"/>
        </w:rPr>
        <w:lastRenderedPageBreak/>
        <w:t xml:space="preserve">4.2 </w:t>
      </w:r>
      <w:r w:rsidR="00331DE8">
        <w:rPr>
          <w:rFonts w:ascii="Arial" w:hAnsi="Arial" w:cs="Arial"/>
          <w:b/>
          <w:bCs/>
          <w:lang w:eastAsia="en-GB"/>
        </w:rPr>
        <w:t>Thematic Findings</w:t>
      </w:r>
    </w:p>
    <w:p w14:paraId="1B7ABE04" w14:textId="49475209" w:rsidR="00331DE8" w:rsidRPr="00331DE8" w:rsidRDefault="00331DE8" w:rsidP="00FC1A10">
      <w:pPr>
        <w:spacing w:line="360" w:lineRule="auto"/>
        <w:jc w:val="both"/>
        <w:rPr>
          <w:rFonts w:ascii="Arial" w:hAnsi="Arial" w:cs="Arial"/>
          <w:lang w:eastAsia="en-GB"/>
        </w:rPr>
      </w:pPr>
      <w:r w:rsidRPr="00331DE8">
        <w:rPr>
          <w:rFonts w:ascii="Arial" w:hAnsi="Arial" w:cs="Arial"/>
          <w:b/>
          <w:bCs/>
          <w:lang w:eastAsia="en-GB"/>
        </w:rPr>
        <w:t xml:space="preserve">Theme 1: Supporting independence and </w:t>
      </w:r>
      <w:r w:rsidR="00E55AC8" w:rsidRPr="00331DE8">
        <w:rPr>
          <w:rFonts w:ascii="Arial" w:hAnsi="Arial" w:cs="Arial"/>
          <w:b/>
          <w:bCs/>
          <w:lang w:eastAsia="en-GB"/>
        </w:rPr>
        <w:t>safety.</w:t>
      </w:r>
      <w:r w:rsidRPr="00331DE8">
        <w:rPr>
          <w:rFonts w:ascii="Arial" w:hAnsi="Arial" w:cs="Arial"/>
          <w:b/>
          <w:bCs/>
          <w:lang w:eastAsia="en-GB"/>
        </w:rPr>
        <w:t xml:space="preserve"> </w:t>
      </w:r>
    </w:p>
    <w:p w14:paraId="4ED85EC4" w14:textId="7BD253B0" w:rsidR="00331DE8" w:rsidRPr="00331DE8" w:rsidRDefault="00331DE8" w:rsidP="00FC1A10">
      <w:pPr>
        <w:spacing w:line="360" w:lineRule="auto"/>
        <w:jc w:val="both"/>
        <w:rPr>
          <w:rFonts w:ascii="Arial" w:hAnsi="Arial" w:cs="Arial"/>
          <w:lang w:eastAsia="en-GB"/>
        </w:rPr>
      </w:pPr>
      <w:r w:rsidRPr="00331DE8">
        <w:rPr>
          <w:rFonts w:ascii="Arial" w:hAnsi="Arial" w:cs="Arial"/>
          <w:lang w:eastAsia="en-GB"/>
        </w:rPr>
        <w:t xml:space="preserve">All the studies showed that telehealth interventions largely improved independence and security in the elderly. Telecare alarms and a monitoring system that a patient uses for proactive care made people feel more secure and at the same time it was possible to detect such conditions as falls or sudden functional decline earlier, thanks to these systems, so older adults could remain in the home longer (Eccles, 2020; Fothergill et al., 2025). It was especially emphasized by Fothergill et al. (2025) that the success of technological innovations is "context dependent", which means that it is better to </w:t>
      </w:r>
      <w:r w:rsidR="0043024E" w:rsidRPr="00331DE8">
        <w:rPr>
          <w:rFonts w:ascii="Arial" w:hAnsi="Arial" w:cs="Arial"/>
          <w:lang w:eastAsia="en-GB"/>
        </w:rPr>
        <w:t>collaborate</w:t>
      </w:r>
      <w:r w:rsidRPr="00331DE8">
        <w:rPr>
          <w:rFonts w:ascii="Arial" w:hAnsi="Arial" w:cs="Arial"/>
          <w:lang w:eastAsia="en-GB"/>
        </w:rPr>
        <w:t xml:space="preserve"> with them in conjunction with the user's already existing family and community support networks.</w:t>
      </w:r>
    </w:p>
    <w:p w14:paraId="7923327A" w14:textId="77777777" w:rsidR="00207CEA" w:rsidRDefault="00207CEA" w:rsidP="00FC1A10">
      <w:pPr>
        <w:spacing w:line="360" w:lineRule="auto"/>
        <w:jc w:val="both"/>
        <w:rPr>
          <w:rFonts w:ascii="Arial" w:hAnsi="Arial" w:cs="Arial"/>
          <w:lang w:eastAsia="en-GB"/>
        </w:rPr>
      </w:pPr>
    </w:p>
    <w:p w14:paraId="1DC5D474" w14:textId="69D5F1AA" w:rsidR="00331DE8" w:rsidRPr="00331DE8" w:rsidRDefault="00274DB1" w:rsidP="00FC1A10">
      <w:pPr>
        <w:spacing w:line="360" w:lineRule="auto"/>
        <w:jc w:val="both"/>
        <w:rPr>
          <w:rFonts w:ascii="Arial" w:hAnsi="Arial" w:cs="Arial"/>
          <w:b/>
          <w:bCs/>
          <w:lang w:eastAsia="en-GB"/>
        </w:rPr>
      </w:pPr>
      <w:r>
        <w:rPr>
          <w:rFonts w:ascii="Arial" w:hAnsi="Arial" w:cs="Arial"/>
          <w:b/>
          <w:bCs/>
          <w:lang w:eastAsia="en-GB"/>
        </w:rPr>
        <w:t xml:space="preserve">4.3 </w:t>
      </w:r>
      <w:r w:rsidR="00331DE8" w:rsidRPr="00331DE8">
        <w:rPr>
          <w:rFonts w:ascii="Arial" w:hAnsi="Arial" w:cs="Arial"/>
          <w:b/>
          <w:bCs/>
          <w:lang w:eastAsia="en-GB"/>
        </w:rPr>
        <w:t>Theme 2: Barriers to Access and digital Exclusion</w:t>
      </w:r>
    </w:p>
    <w:p w14:paraId="6C744A49" w14:textId="33068FC2" w:rsidR="00331DE8" w:rsidRPr="00331DE8" w:rsidRDefault="00331DE8" w:rsidP="00FC1A10">
      <w:pPr>
        <w:spacing w:line="360" w:lineRule="auto"/>
        <w:jc w:val="both"/>
        <w:rPr>
          <w:rFonts w:ascii="Arial" w:hAnsi="Arial" w:cs="Arial"/>
          <w:b/>
          <w:bCs/>
          <w:lang w:eastAsia="en-GB"/>
        </w:rPr>
      </w:pPr>
      <w:r w:rsidRPr="00331DE8">
        <w:rPr>
          <w:rFonts w:ascii="Arial" w:hAnsi="Arial" w:cs="Arial"/>
          <w:lang w:eastAsia="en-GB"/>
        </w:rPr>
        <w:t xml:space="preserve">Even though the problems are little, one of the issues that arise in people's lives is digital exclusion. Greenhalgh et al. (2020) pointed out that even though platforms like "Attend Anywhere" are safe for routine care, technical "lag" and sensory or cognitive disabilities make video consultations difficult for some older users. These obstacles are even worse for people from diverse ethnicities, who may face cultural or language difficulties (Babatunde et al., 2024). These outcomes are in line with the national reports that reveals digital inequalities had a distinctly pronounced effect on the age group 75 and over (Age UK, 2022; Ofcom, 2022). </w:t>
      </w:r>
    </w:p>
    <w:p w14:paraId="3368CEA2" w14:textId="282A8F3B" w:rsidR="00331DE8" w:rsidRPr="00331DE8" w:rsidRDefault="00274DB1" w:rsidP="00FC1A10">
      <w:pPr>
        <w:spacing w:line="360" w:lineRule="auto"/>
        <w:jc w:val="both"/>
        <w:rPr>
          <w:rFonts w:ascii="Arial" w:hAnsi="Arial" w:cs="Arial"/>
          <w:b/>
          <w:bCs/>
          <w:lang w:eastAsia="en-GB"/>
        </w:rPr>
      </w:pPr>
      <w:r>
        <w:rPr>
          <w:rFonts w:ascii="Arial" w:hAnsi="Arial" w:cs="Arial"/>
          <w:b/>
          <w:bCs/>
          <w:lang w:eastAsia="en-GB"/>
        </w:rPr>
        <w:t xml:space="preserve">4.4 </w:t>
      </w:r>
      <w:r w:rsidR="00331DE8" w:rsidRPr="00331DE8">
        <w:rPr>
          <w:rFonts w:ascii="Arial" w:hAnsi="Arial" w:cs="Arial"/>
          <w:b/>
          <w:bCs/>
          <w:lang w:eastAsia="en-GB"/>
        </w:rPr>
        <w:t>Theme 3: Hybrid and Person-Centred Care</w:t>
      </w:r>
    </w:p>
    <w:p w14:paraId="56CBF9C3" w14:textId="5CCB4AB3" w:rsidR="00331DE8" w:rsidRPr="00331DE8" w:rsidRDefault="00331DE8" w:rsidP="00FC1A10">
      <w:pPr>
        <w:spacing w:line="360" w:lineRule="auto"/>
        <w:jc w:val="both"/>
        <w:rPr>
          <w:rFonts w:ascii="Arial" w:hAnsi="Arial" w:cs="Arial"/>
          <w:lang w:eastAsia="en-GB"/>
        </w:rPr>
      </w:pPr>
      <w:r w:rsidRPr="00331DE8">
        <w:rPr>
          <w:rFonts w:ascii="Arial" w:hAnsi="Arial" w:cs="Arial"/>
          <w:lang w:eastAsia="en-GB"/>
        </w:rPr>
        <w:t>The authors highlight that telehealth is most effective when it is included alongside, rather than taking the place of face-to-face support. The hybrid approach is more preferred among service users, according to the research of Shaw et al. (2021), which found that 70% of participants favoured such a model of care. These approaches are believed to be more open and flexible, which is highly relevant for social care. Besides, practitioners are empowered to decide the frequency and method of the support to a particular individual based on specific requirements (Shaw et al., 2021).</w:t>
      </w:r>
    </w:p>
    <w:p w14:paraId="72A5DAF7" w14:textId="77777777" w:rsidR="00207CEA" w:rsidRDefault="00207CEA" w:rsidP="00FC1A10">
      <w:pPr>
        <w:spacing w:line="360" w:lineRule="auto"/>
        <w:jc w:val="both"/>
        <w:rPr>
          <w:rFonts w:ascii="Arial" w:hAnsi="Arial" w:cs="Arial"/>
          <w:b/>
          <w:bCs/>
          <w:lang w:eastAsia="en-GB"/>
        </w:rPr>
      </w:pPr>
    </w:p>
    <w:p w14:paraId="055C7F20" w14:textId="77777777" w:rsidR="00207CEA" w:rsidRDefault="00207CEA" w:rsidP="00FC1A10">
      <w:pPr>
        <w:spacing w:line="360" w:lineRule="auto"/>
        <w:jc w:val="both"/>
        <w:rPr>
          <w:rFonts w:ascii="Arial" w:hAnsi="Arial" w:cs="Arial"/>
          <w:b/>
          <w:bCs/>
          <w:lang w:eastAsia="en-GB"/>
        </w:rPr>
      </w:pPr>
    </w:p>
    <w:p w14:paraId="474FCC25" w14:textId="77777777" w:rsidR="00207CEA" w:rsidRDefault="00207CEA" w:rsidP="00FC1A10">
      <w:pPr>
        <w:spacing w:line="360" w:lineRule="auto"/>
        <w:jc w:val="both"/>
        <w:rPr>
          <w:rFonts w:ascii="Arial" w:hAnsi="Arial" w:cs="Arial"/>
          <w:b/>
          <w:bCs/>
          <w:lang w:eastAsia="en-GB"/>
        </w:rPr>
      </w:pPr>
    </w:p>
    <w:p w14:paraId="687D374B" w14:textId="77777777" w:rsidR="00167B68" w:rsidRDefault="00167B68" w:rsidP="00FC1A10">
      <w:pPr>
        <w:spacing w:line="360" w:lineRule="auto"/>
        <w:jc w:val="both"/>
        <w:rPr>
          <w:rFonts w:ascii="Arial" w:hAnsi="Arial" w:cs="Arial"/>
          <w:b/>
          <w:bCs/>
          <w:lang w:eastAsia="en-GB"/>
        </w:rPr>
      </w:pPr>
    </w:p>
    <w:p w14:paraId="01164C4B" w14:textId="77777777" w:rsidR="00207CEA" w:rsidRDefault="00207CEA" w:rsidP="00FC1A10">
      <w:pPr>
        <w:spacing w:line="360" w:lineRule="auto"/>
        <w:jc w:val="both"/>
        <w:rPr>
          <w:rFonts w:ascii="Arial" w:hAnsi="Arial" w:cs="Arial"/>
          <w:b/>
          <w:bCs/>
          <w:lang w:eastAsia="en-GB"/>
        </w:rPr>
      </w:pPr>
    </w:p>
    <w:p w14:paraId="365E65DB" w14:textId="13327383" w:rsidR="00331DE8" w:rsidRPr="00274DB1" w:rsidRDefault="00331DE8" w:rsidP="00274DB1">
      <w:pPr>
        <w:pStyle w:val="ListParagraph"/>
        <w:numPr>
          <w:ilvl w:val="0"/>
          <w:numId w:val="1"/>
        </w:numPr>
        <w:spacing w:line="360" w:lineRule="auto"/>
        <w:jc w:val="both"/>
        <w:rPr>
          <w:rFonts w:ascii="Arial" w:hAnsi="Arial" w:cs="Arial"/>
          <w:b/>
          <w:bCs/>
          <w:lang w:eastAsia="en-GB"/>
        </w:rPr>
      </w:pPr>
      <w:r w:rsidRPr="00274DB1">
        <w:rPr>
          <w:rFonts w:ascii="Arial" w:hAnsi="Arial" w:cs="Arial"/>
          <w:b/>
          <w:bCs/>
          <w:lang w:eastAsia="en-GB"/>
        </w:rPr>
        <w:lastRenderedPageBreak/>
        <w:t>Discussion</w:t>
      </w:r>
    </w:p>
    <w:p w14:paraId="25B19AED" w14:textId="50CA16B1" w:rsidR="00331DE8" w:rsidRPr="00331DE8" w:rsidRDefault="00331DE8" w:rsidP="00FC1A10">
      <w:pPr>
        <w:spacing w:line="360" w:lineRule="auto"/>
        <w:jc w:val="both"/>
        <w:rPr>
          <w:rFonts w:ascii="Arial" w:hAnsi="Arial" w:cs="Arial"/>
          <w:lang w:eastAsia="en-GB"/>
        </w:rPr>
      </w:pPr>
      <w:r w:rsidRPr="00331DE8">
        <w:rPr>
          <w:rFonts w:ascii="Arial" w:hAnsi="Arial" w:cs="Arial"/>
          <w:lang w:eastAsia="en-GB"/>
        </w:rPr>
        <w:t>The scoping review synthesized four peer-reviewed studies based in the UK that examined telehealth usage in social care settings specifically for older adults. From the evidence, telehealth was able to show benefits in the area of independence, safety, and easier access to support; however, it was not effective in all cases, varying based on individual needs, digital capability, and service context. Telecare was better at providing security and for the possibility of risk detection in advance, thereby contributing to longer and safer home-staying for the elderly (Eccles, 2020; Fothergill et al., 2025). These results are consistent with preventive goals laid out in the National Policy Frameworks, such as the adult social care reform initiatives, where the main aim is to promote independence (Department of Health and Social Care, 2022).</w:t>
      </w:r>
    </w:p>
    <w:p w14:paraId="29912DFF" w14:textId="2EC20629" w:rsidR="00331DE8" w:rsidRPr="00331DE8" w:rsidRDefault="00635BAA" w:rsidP="00FC1A10">
      <w:pPr>
        <w:spacing w:line="360" w:lineRule="auto"/>
        <w:jc w:val="both"/>
        <w:rPr>
          <w:rFonts w:ascii="Arial" w:hAnsi="Arial" w:cs="Arial"/>
          <w:lang w:eastAsia="en-GB"/>
        </w:rPr>
      </w:pPr>
      <w:r w:rsidRPr="00331DE8">
        <w:rPr>
          <w:rFonts w:ascii="Arial" w:hAnsi="Arial" w:cs="Arial"/>
          <w:lang w:eastAsia="en-GB"/>
        </w:rPr>
        <w:t>Despite</w:t>
      </w:r>
      <w:r w:rsidR="00331DE8" w:rsidRPr="00331DE8">
        <w:rPr>
          <w:rFonts w:ascii="Arial" w:hAnsi="Arial" w:cs="Arial"/>
          <w:lang w:eastAsia="en-GB"/>
        </w:rPr>
        <w:t xml:space="preserve"> the evident advantages, considerable obstacles still inhibit the fair adoption of telehealth. Digital exclusion was the main challenge, as older adults dealt with problems like digital literacy, sensory impairments, and lack of reliable internet access. A study by Babatunde et al. (2024) shows that the absence of customized assistance can lead multicultural older people from Black African, South Asian and Caribbean to feel even more excluded. Technical problems such as an unreliable internet connection and website issues, made video consultations unsuitable (Greenhalgh et al., 2020). Importantly, </w:t>
      </w:r>
      <w:r w:rsidR="00D45B12" w:rsidRPr="00331DE8">
        <w:rPr>
          <w:rFonts w:ascii="Arial" w:hAnsi="Arial" w:cs="Arial"/>
          <w:lang w:eastAsia="en-GB"/>
        </w:rPr>
        <w:t>service users do not only face the hurdles of implementation</w:t>
      </w:r>
      <w:r w:rsidR="00331DE8" w:rsidRPr="00331DE8">
        <w:rPr>
          <w:rFonts w:ascii="Arial" w:hAnsi="Arial" w:cs="Arial"/>
          <w:lang w:eastAsia="en-GB"/>
        </w:rPr>
        <w:t>; the results of the survey carried out by the GOV.UK (2025) on adult social care provider technology reveal that 27% of social care providers haven’t incorporated any care technology in the delivery of support. This 'digital divide' is primarily among 'micro providers' (the ones that help 10 people or fewer), where around 40% are still not digitised. The survey indicates that the providers' main hurdles are financial, fully concentrated on the start-up costs (73%) and repeated licensing fees (70%), in addition to worries about staff training and workforce turnover (52%). These figures imply that unless the professional workforce is addressed in terms of readiness, both of which are financial and skills based, the expected output of telehealth in dealing with an age-bound population will remain unrealised.</w:t>
      </w:r>
    </w:p>
    <w:p w14:paraId="748F0702" w14:textId="6E912471" w:rsidR="00331DE8" w:rsidRPr="00331DE8" w:rsidRDefault="00331DE8" w:rsidP="00FC1A10">
      <w:pPr>
        <w:spacing w:line="360" w:lineRule="auto"/>
        <w:jc w:val="both"/>
        <w:rPr>
          <w:rFonts w:ascii="Arial" w:hAnsi="Arial" w:cs="Arial"/>
          <w:lang w:eastAsia="en-GB"/>
        </w:rPr>
      </w:pPr>
      <w:r w:rsidRPr="00331DE8">
        <w:rPr>
          <w:rFonts w:ascii="Arial" w:hAnsi="Arial" w:cs="Arial"/>
          <w:lang w:eastAsia="en-GB"/>
        </w:rPr>
        <w:t>Another important issue was the hybrid and the person-centred care models. The reports of the studies showed that telehealth was, by far, the most efficient when used in conjunction with face-to-face contact, as opposed to being only a substitute. The hybrid models were viewed as a more inclusive and flexible option, and also more in keeping with the relational aspect of social care (Shaw et al., 2021).</w:t>
      </w:r>
    </w:p>
    <w:p w14:paraId="3BBF2E7D" w14:textId="0E87523C" w:rsidR="00331DE8" w:rsidRPr="00331DE8" w:rsidRDefault="00331DE8" w:rsidP="00FC1A10">
      <w:pPr>
        <w:spacing w:line="360" w:lineRule="auto"/>
        <w:jc w:val="both"/>
        <w:rPr>
          <w:rFonts w:ascii="Arial" w:hAnsi="Arial" w:cs="Arial"/>
          <w:lang w:eastAsia="en-GB"/>
        </w:rPr>
      </w:pPr>
      <w:r w:rsidRPr="00331DE8">
        <w:rPr>
          <w:rFonts w:ascii="Arial" w:hAnsi="Arial" w:cs="Arial"/>
          <w:lang w:eastAsia="en-GB"/>
        </w:rPr>
        <w:t xml:space="preserve">In general, </w:t>
      </w:r>
      <w:r w:rsidR="00575690" w:rsidRPr="00331DE8">
        <w:rPr>
          <w:rFonts w:ascii="Arial" w:hAnsi="Arial" w:cs="Arial"/>
          <w:lang w:eastAsia="en-GB"/>
        </w:rPr>
        <w:t>telehealth has</w:t>
      </w:r>
      <w:r w:rsidRPr="00331DE8">
        <w:rPr>
          <w:rFonts w:ascii="Arial" w:hAnsi="Arial" w:cs="Arial"/>
          <w:lang w:eastAsia="en-GB"/>
        </w:rPr>
        <w:t xml:space="preserve"> the potential to contribute to independence and efficiency in social care, although the evidence base remains limited. Quality of Implementation, personalization, </w:t>
      </w:r>
      <w:r w:rsidRPr="00331DE8">
        <w:rPr>
          <w:rFonts w:ascii="Arial" w:hAnsi="Arial" w:cs="Arial"/>
          <w:lang w:eastAsia="en-GB"/>
        </w:rPr>
        <w:lastRenderedPageBreak/>
        <w:t>and reducing the digital divide together with users and providers seem to be the primary factors to determine project success. It is vital in-depth research to be conducted in the UK to investigate the long-term effects and the best methods for merging telehealth with social care.</w:t>
      </w:r>
    </w:p>
    <w:p w14:paraId="7B992445" w14:textId="0834530A" w:rsidR="00331DE8" w:rsidRPr="00274DB1" w:rsidRDefault="00D16FDB" w:rsidP="00274DB1">
      <w:pPr>
        <w:pStyle w:val="ListParagraph"/>
        <w:numPr>
          <w:ilvl w:val="0"/>
          <w:numId w:val="1"/>
        </w:numPr>
        <w:spacing w:line="360" w:lineRule="auto"/>
        <w:jc w:val="both"/>
        <w:rPr>
          <w:rFonts w:ascii="Arial" w:hAnsi="Arial" w:cs="Arial"/>
          <w:b/>
          <w:bCs/>
          <w:lang w:eastAsia="en-GB"/>
        </w:rPr>
      </w:pPr>
      <w:r w:rsidRPr="00274DB1">
        <w:rPr>
          <w:rFonts w:ascii="Arial" w:hAnsi="Arial" w:cs="Arial"/>
          <w:b/>
          <w:bCs/>
          <w:lang w:eastAsia="en-GB"/>
        </w:rPr>
        <w:t>Limitations</w:t>
      </w:r>
    </w:p>
    <w:p w14:paraId="03751204" w14:textId="266730DB" w:rsidR="00D16FDB" w:rsidRPr="006C4B73" w:rsidRDefault="00D16FDB" w:rsidP="00FC1A10">
      <w:pPr>
        <w:spacing w:line="360" w:lineRule="auto"/>
        <w:jc w:val="both"/>
        <w:rPr>
          <w:rFonts w:ascii="Arial" w:hAnsi="Arial" w:cs="Arial"/>
          <w:lang w:eastAsia="en-GB"/>
        </w:rPr>
      </w:pPr>
      <w:r w:rsidRPr="00D16FDB">
        <w:rPr>
          <w:rFonts w:ascii="Arial" w:hAnsi="Arial" w:cs="Arial"/>
          <w:lang w:eastAsia="en-GB"/>
        </w:rPr>
        <w:t xml:space="preserve">Several </w:t>
      </w:r>
      <w:r w:rsidRPr="006C4B73">
        <w:rPr>
          <w:rFonts w:ascii="Arial" w:hAnsi="Arial" w:cs="Arial"/>
          <w:lang w:eastAsia="en-GB"/>
        </w:rPr>
        <w:t>limitations</w:t>
      </w:r>
      <w:r w:rsidRPr="00D16FDB">
        <w:rPr>
          <w:rFonts w:ascii="Arial" w:hAnsi="Arial" w:cs="Arial"/>
          <w:lang w:eastAsia="en-GB"/>
        </w:rPr>
        <w:t xml:space="preserve"> </w:t>
      </w:r>
      <w:r w:rsidR="00993614">
        <w:rPr>
          <w:rFonts w:ascii="Arial" w:hAnsi="Arial" w:cs="Arial"/>
          <w:lang w:eastAsia="en-GB"/>
        </w:rPr>
        <w:t>were</w:t>
      </w:r>
      <w:r w:rsidR="00575690">
        <w:rPr>
          <w:rFonts w:ascii="Arial" w:hAnsi="Arial" w:cs="Arial"/>
          <w:lang w:eastAsia="en-GB"/>
        </w:rPr>
        <w:t xml:space="preserve"> </w:t>
      </w:r>
      <w:r w:rsidRPr="006C4B73">
        <w:rPr>
          <w:rFonts w:ascii="Arial" w:hAnsi="Arial" w:cs="Arial"/>
          <w:lang w:eastAsia="en-GB"/>
        </w:rPr>
        <w:t>considered</w:t>
      </w:r>
      <w:r w:rsidRPr="00D16FDB">
        <w:rPr>
          <w:rFonts w:ascii="Arial" w:hAnsi="Arial" w:cs="Arial"/>
          <w:lang w:eastAsia="en-GB"/>
        </w:rPr>
        <w:t xml:space="preserve"> </w:t>
      </w:r>
      <w:r w:rsidR="006B0A09">
        <w:rPr>
          <w:rFonts w:ascii="Arial" w:hAnsi="Arial" w:cs="Arial"/>
          <w:lang w:eastAsia="en-GB"/>
        </w:rPr>
        <w:t>when</w:t>
      </w:r>
      <w:r w:rsidRPr="00D16FDB">
        <w:rPr>
          <w:rFonts w:ascii="Arial" w:hAnsi="Arial" w:cs="Arial"/>
          <w:lang w:eastAsia="en-GB"/>
        </w:rPr>
        <w:t xml:space="preserve"> </w:t>
      </w:r>
      <w:r w:rsidR="006B0A09" w:rsidRPr="00D16FDB">
        <w:rPr>
          <w:rFonts w:ascii="Arial" w:hAnsi="Arial" w:cs="Arial"/>
          <w:lang w:eastAsia="en-GB"/>
        </w:rPr>
        <w:t>interpre</w:t>
      </w:r>
      <w:r w:rsidR="006B0A09">
        <w:rPr>
          <w:rFonts w:ascii="Arial" w:hAnsi="Arial" w:cs="Arial"/>
          <w:lang w:eastAsia="en-GB"/>
        </w:rPr>
        <w:t>tin</w:t>
      </w:r>
      <w:r w:rsidR="006B0A09" w:rsidRPr="00D16FDB">
        <w:rPr>
          <w:rFonts w:ascii="Arial" w:hAnsi="Arial" w:cs="Arial"/>
          <w:lang w:eastAsia="en-GB"/>
        </w:rPr>
        <w:t>g</w:t>
      </w:r>
      <w:r w:rsidRPr="00D16FDB">
        <w:rPr>
          <w:rFonts w:ascii="Arial" w:hAnsi="Arial" w:cs="Arial"/>
          <w:lang w:eastAsia="en-GB"/>
        </w:rPr>
        <w:t xml:space="preserve"> the findings of this scoping review appropriately. </w:t>
      </w:r>
    </w:p>
    <w:p w14:paraId="6BF77A3A" w14:textId="48E48FFF" w:rsidR="00D16FDB" w:rsidRPr="00D16FDB" w:rsidRDefault="00D16FDB" w:rsidP="00FC1A10">
      <w:pPr>
        <w:spacing w:line="360" w:lineRule="auto"/>
        <w:jc w:val="both"/>
        <w:rPr>
          <w:rFonts w:ascii="Arial" w:hAnsi="Arial" w:cs="Arial"/>
          <w:lang w:eastAsia="en-GB"/>
        </w:rPr>
      </w:pPr>
      <w:r w:rsidRPr="00D16FDB">
        <w:rPr>
          <w:rFonts w:ascii="Arial" w:hAnsi="Arial" w:cs="Arial"/>
          <w:lang w:eastAsia="en-GB"/>
        </w:rPr>
        <w:t>To begin with, the evidence base is quite modest, with the inclusion of only four UK peer-reviewed studies that met the criteria. Indeed, the few studies available mark the small number of published articles that specifically discuss telehealth in UK social care as most of the literature available is found within clinical settings or pertains to NHS rather than social care settings (Greenhalgh et al., 2020; Shaw et al., 2021).</w:t>
      </w:r>
    </w:p>
    <w:p w14:paraId="2B20C049" w14:textId="7BA79873" w:rsidR="00D16FDB" w:rsidRPr="00D16FDB" w:rsidRDefault="00D16FDB" w:rsidP="00FC1A10">
      <w:pPr>
        <w:spacing w:line="360" w:lineRule="auto"/>
        <w:jc w:val="both"/>
        <w:rPr>
          <w:rFonts w:ascii="Arial" w:hAnsi="Arial" w:cs="Arial"/>
          <w:lang w:eastAsia="en-GB"/>
        </w:rPr>
      </w:pPr>
      <w:r w:rsidRPr="00D16FDB">
        <w:rPr>
          <w:rFonts w:ascii="Arial" w:hAnsi="Arial" w:cs="Arial"/>
          <w:lang w:eastAsia="en-GB"/>
        </w:rPr>
        <w:t>Next, the studies included utili</w:t>
      </w:r>
      <w:r w:rsidRPr="006C4B73">
        <w:rPr>
          <w:rFonts w:ascii="Arial" w:hAnsi="Arial" w:cs="Arial"/>
          <w:lang w:eastAsia="en-GB"/>
        </w:rPr>
        <w:t>s</w:t>
      </w:r>
      <w:r w:rsidRPr="00D16FDB">
        <w:rPr>
          <w:rFonts w:ascii="Arial" w:hAnsi="Arial" w:cs="Arial"/>
          <w:lang w:eastAsia="en-GB"/>
        </w:rPr>
        <w:t>ed qualitative or mixed methods techniques. In addition, they often involved small samples or restricted geographic coverage. Although these forms of the methodology help elucidate user experiences and context-specific implementation challenges, they tend to reduce the generalizability of the studies and preclude strong conclusions about long-term results or cost-effectiveness. For instance, telecare evaluations highlight the mechanisms of reassurance and independence yet mainly depend on interpretive findings rather than controlled comparisons (Eccles, 2020; Fothergill et al., 2025).</w:t>
      </w:r>
    </w:p>
    <w:p w14:paraId="40551518" w14:textId="77777777" w:rsidR="00D16FDB" w:rsidRPr="00D16FDB" w:rsidRDefault="00D16FDB" w:rsidP="00FC1A10">
      <w:pPr>
        <w:spacing w:line="360" w:lineRule="auto"/>
        <w:jc w:val="both"/>
        <w:rPr>
          <w:rFonts w:ascii="Arial" w:hAnsi="Arial" w:cs="Arial"/>
          <w:lang w:eastAsia="en-GB"/>
        </w:rPr>
      </w:pPr>
      <w:r w:rsidRPr="00D16FDB">
        <w:rPr>
          <w:rFonts w:ascii="Arial" w:hAnsi="Arial" w:cs="Arial"/>
          <w:lang w:eastAsia="en-GB"/>
        </w:rPr>
        <w:t>Thirdly, the identification of the social care specific findings was difficult because of the interrelation with the healthcare systems, especially within the integrated care context. A few of the included studies were at the intersection of primary, community, and social care, which rendered it challenging to draw only implications for social care practice (Shaw et al., 2021).</w:t>
      </w:r>
    </w:p>
    <w:p w14:paraId="5C792799" w14:textId="24D0A425" w:rsidR="00D16FDB" w:rsidRPr="00D16FDB" w:rsidRDefault="00D16FDB" w:rsidP="00FC1A10">
      <w:pPr>
        <w:spacing w:line="360" w:lineRule="auto"/>
        <w:jc w:val="both"/>
        <w:rPr>
          <w:rFonts w:ascii="Arial" w:hAnsi="Arial" w:cs="Arial"/>
          <w:lang w:eastAsia="en-GB"/>
        </w:rPr>
      </w:pPr>
      <w:r w:rsidRPr="00D16FDB">
        <w:rPr>
          <w:rFonts w:ascii="Arial" w:hAnsi="Arial" w:cs="Arial"/>
          <w:lang w:eastAsia="en-GB"/>
        </w:rPr>
        <w:t>Fourthly, this review omitted grey literature like local authority evaluations, service level pilots, and independent technology</w:t>
      </w:r>
      <w:r w:rsidR="007C2844">
        <w:rPr>
          <w:rFonts w:ascii="Arial" w:hAnsi="Arial" w:cs="Arial"/>
          <w:lang w:eastAsia="en-GB"/>
        </w:rPr>
        <w:t xml:space="preserve"> </w:t>
      </w:r>
      <w:r w:rsidRPr="00D16FDB">
        <w:rPr>
          <w:rFonts w:ascii="Arial" w:hAnsi="Arial" w:cs="Arial"/>
          <w:lang w:eastAsia="en-GB"/>
        </w:rPr>
        <w:t>assessments. This</w:t>
      </w:r>
      <w:r w:rsidR="00BA482C">
        <w:rPr>
          <w:rFonts w:ascii="Arial" w:hAnsi="Arial" w:cs="Arial"/>
          <w:lang w:eastAsia="en-GB"/>
        </w:rPr>
        <w:t xml:space="preserve"> approach helped </w:t>
      </w:r>
      <w:r w:rsidRPr="00D16FDB">
        <w:rPr>
          <w:rFonts w:ascii="Arial" w:hAnsi="Arial" w:cs="Arial"/>
          <w:lang w:eastAsia="en-GB"/>
        </w:rPr>
        <w:t>strengthe</w:t>
      </w:r>
      <w:r w:rsidR="00BA482C">
        <w:rPr>
          <w:rFonts w:ascii="Arial" w:hAnsi="Arial" w:cs="Arial"/>
          <w:lang w:eastAsia="en-GB"/>
        </w:rPr>
        <w:t>ned</w:t>
      </w:r>
      <w:r w:rsidRPr="00D16FDB">
        <w:rPr>
          <w:rFonts w:ascii="Arial" w:hAnsi="Arial" w:cs="Arial"/>
          <w:lang w:eastAsia="en-GB"/>
        </w:rPr>
        <w:t xml:space="preserve"> methodological rigour, as it focused purely on peer-reviewed evidence, yet </w:t>
      </w:r>
      <w:r w:rsidR="00BA482C" w:rsidRPr="00D16FDB">
        <w:rPr>
          <w:rFonts w:ascii="Arial" w:hAnsi="Arial" w:cs="Arial"/>
          <w:lang w:eastAsia="en-GB"/>
        </w:rPr>
        <w:t>it also</w:t>
      </w:r>
      <w:r w:rsidRPr="00D16FDB">
        <w:rPr>
          <w:rFonts w:ascii="Arial" w:hAnsi="Arial" w:cs="Arial"/>
          <w:lang w:eastAsia="en-GB"/>
        </w:rPr>
        <w:t xml:space="preserve"> omi</w:t>
      </w:r>
      <w:r w:rsidR="00BA482C">
        <w:rPr>
          <w:rFonts w:ascii="Arial" w:hAnsi="Arial" w:cs="Arial"/>
          <w:lang w:eastAsia="en-GB"/>
        </w:rPr>
        <w:t xml:space="preserve">tted the </w:t>
      </w:r>
      <w:r w:rsidRPr="00D16FDB">
        <w:rPr>
          <w:rFonts w:ascii="Arial" w:hAnsi="Arial" w:cs="Arial"/>
          <w:lang w:eastAsia="en-GB"/>
        </w:rPr>
        <w:t>real-world implementation, scaling-up and operational challenges that have been thoroughly documented outside of the realms of academic publishing.</w:t>
      </w:r>
    </w:p>
    <w:p w14:paraId="6EC171AF" w14:textId="12A35048" w:rsidR="00D16FDB" w:rsidRPr="00D16FDB" w:rsidRDefault="00D16FDB" w:rsidP="00FC1A10">
      <w:pPr>
        <w:spacing w:line="360" w:lineRule="auto"/>
        <w:jc w:val="both"/>
        <w:rPr>
          <w:rFonts w:ascii="Arial" w:hAnsi="Arial" w:cs="Arial"/>
          <w:lang w:eastAsia="en-GB"/>
        </w:rPr>
      </w:pPr>
      <w:r w:rsidRPr="00D16FDB">
        <w:rPr>
          <w:rFonts w:ascii="Arial" w:hAnsi="Arial" w:cs="Arial"/>
          <w:lang w:eastAsia="en-GB"/>
        </w:rPr>
        <w:t>Lastly, even though broad search terms were utili</w:t>
      </w:r>
      <w:r w:rsidR="000B5D0A">
        <w:rPr>
          <w:rFonts w:ascii="Arial" w:hAnsi="Arial" w:cs="Arial"/>
          <w:lang w:eastAsia="en-GB"/>
        </w:rPr>
        <w:t>s</w:t>
      </w:r>
      <w:r w:rsidRPr="00D16FDB">
        <w:rPr>
          <w:rFonts w:ascii="Arial" w:hAnsi="Arial" w:cs="Arial"/>
          <w:lang w:eastAsia="en-GB"/>
        </w:rPr>
        <w:t>ed, the different terminologies accompanying telehealth and telecare, such as "digital care", "remote monitoring", "assistive technology" and "virtual care", contain an intrinsic risk that the relevant research may have not been found. Such a language variety mirrors the broader inconsistency that results from different approaches to framing telehealth in research, policy, and practice; thus, it also serves to hinder a thorough synthesis of the evidence.</w:t>
      </w:r>
    </w:p>
    <w:p w14:paraId="7D0B8F00" w14:textId="2217B11D" w:rsidR="00331DE8" w:rsidRPr="00274DB1" w:rsidRDefault="003146C6" w:rsidP="00274DB1">
      <w:pPr>
        <w:pStyle w:val="ListParagraph"/>
        <w:numPr>
          <w:ilvl w:val="0"/>
          <w:numId w:val="1"/>
        </w:numPr>
        <w:spacing w:line="360" w:lineRule="auto"/>
        <w:jc w:val="both"/>
        <w:rPr>
          <w:rFonts w:ascii="Arial" w:hAnsi="Arial" w:cs="Arial"/>
          <w:b/>
          <w:bCs/>
          <w:lang w:eastAsia="en-GB"/>
        </w:rPr>
      </w:pPr>
      <w:r w:rsidRPr="00274DB1">
        <w:rPr>
          <w:rFonts w:ascii="Arial" w:hAnsi="Arial" w:cs="Arial"/>
          <w:b/>
          <w:bCs/>
          <w:lang w:eastAsia="en-GB"/>
        </w:rPr>
        <w:lastRenderedPageBreak/>
        <w:t>Conclusion</w:t>
      </w:r>
    </w:p>
    <w:p w14:paraId="62C7583B" w14:textId="540F5444" w:rsidR="003146C6" w:rsidRPr="003146C6" w:rsidRDefault="003146C6" w:rsidP="00FC1A10">
      <w:pPr>
        <w:spacing w:line="360" w:lineRule="auto"/>
        <w:jc w:val="both"/>
        <w:rPr>
          <w:rFonts w:ascii="Arial" w:hAnsi="Arial" w:cs="Arial"/>
          <w:lang w:eastAsia="en-GB"/>
        </w:rPr>
      </w:pPr>
      <w:r w:rsidRPr="003146C6">
        <w:rPr>
          <w:rFonts w:ascii="Arial" w:hAnsi="Arial" w:cs="Arial"/>
          <w:lang w:eastAsia="en-GB"/>
        </w:rPr>
        <w:t xml:space="preserve">The evidence base is limited, yet the findings provide significant lessons concerning the possibilities and challenges of telehealth amid changing </w:t>
      </w:r>
      <w:r w:rsidRPr="00341889">
        <w:rPr>
          <w:rFonts w:ascii="Arial" w:hAnsi="Arial" w:cs="Arial"/>
          <w:lang w:eastAsia="en-GB"/>
        </w:rPr>
        <w:t xml:space="preserve">social </w:t>
      </w:r>
      <w:r w:rsidRPr="003146C6">
        <w:rPr>
          <w:rFonts w:ascii="Arial" w:hAnsi="Arial" w:cs="Arial"/>
          <w:lang w:eastAsia="en-GB"/>
        </w:rPr>
        <w:t>welfare settings. Telehealth such as video calls, digital alarm systems and telecare monitoring offers opportunities to improve safety, independence, and timely access to support. The studies suggest</w:t>
      </w:r>
      <w:r w:rsidRPr="00341889">
        <w:rPr>
          <w:rFonts w:ascii="Arial" w:hAnsi="Arial" w:cs="Arial"/>
          <w:lang w:eastAsia="en-GB"/>
        </w:rPr>
        <w:t xml:space="preserve"> </w:t>
      </w:r>
      <w:r w:rsidRPr="003146C6">
        <w:rPr>
          <w:rFonts w:ascii="Arial" w:hAnsi="Arial" w:cs="Arial"/>
          <w:lang w:eastAsia="en-GB"/>
        </w:rPr>
        <w:t>interventions like community alarms, falls detectors and proactive monitoring giv</w:t>
      </w:r>
      <w:r w:rsidRPr="00341889">
        <w:rPr>
          <w:rFonts w:ascii="Arial" w:hAnsi="Arial" w:cs="Arial"/>
          <w:lang w:eastAsia="en-GB"/>
        </w:rPr>
        <w:t>e the</w:t>
      </w:r>
      <w:r w:rsidRPr="003146C6">
        <w:rPr>
          <w:rFonts w:ascii="Arial" w:hAnsi="Arial" w:cs="Arial"/>
          <w:lang w:eastAsia="en-GB"/>
        </w:rPr>
        <w:t xml:space="preserve"> older people early identification of risks such as insecurity which in turn leads to them living in their homes for a longer time (Eccles, 2020; Fothergill et al., 2025).</w:t>
      </w:r>
    </w:p>
    <w:p w14:paraId="1490C6DF" w14:textId="662C350F" w:rsidR="003146C6" w:rsidRPr="00341889" w:rsidRDefault="003146C6" w:rsidP="00FC1A10">
      <w:pPr>
        <w:spacing w:line="360" w:lineRule="auto"/>
        <w:jc w:val="both"/>
        <w:rPr>
          <w:rFonts w:ascii="Arial" w:hAnsi="Arial" w:cs="Arial"/>
          <w:lang w:eastAsia="en-GB"/>
        </w:rPr>
      </w:pPr>
      <w:r w:rsidRPr="003146C6">
        <w:rPr>
          <w:rFonts w:ascii="Arial" w:hAnsi="Arial" w:cs="Arial"/>
          <w:lang w:eastAsia="en-GB"/>
        </w:rPr>
        <w:t xml:space="preserve">Despite the advantages, telehealth also presents drawbacks that show not everyone can benefit from it. It must be set up in accordance with the selected individual's needs and capabilities. Digital exclusion is a big challenge: many old people struggle with problems like having limited digital literacy, sensory impairments, affordability </w:t>
      </w:r>
      <w:r w:rsidR="004C268E" w:rsidRPr="003146C6">
        <w:rPr>
          <w:rFonts w:ascii="Arial" w:hAnsi="Arial" w:cs="Arial"/>
          <w:lang w:eastAsia="en-GB"/>
        </w:rPr>
        <w:t>constraints,</w:t>
      </w:r>
      <w:r w:rsidRPr="003146C6">
        <w:rPr>
          <w:rFonts w:ascii="Arial" w:hAnsi="Arial" w:cs="Arial"/>
          <w:lang w:eastAsia="en-GB"/>
        </w:rPr>
        <w:t xml:space="preserve"> or unreliable connectivity. National research also shows a similar picture of older people, especially those who are 75 years and over, who are more affected by digital inequalities (Age UK, 2022; Ofcom, 2022). Offering training that is not tailored, accessible design and digital first models without clear alternatives may cause telehealth to be a tool that </w:t>
      </w:r>
      <w:r w:rsidR="004C268E" w:rsidRPr="003146C6">
        <w:rPr>
          <w:rFonts w:ascii="Arial" w:hAnsi="Arial" w:cs="Arial"/>
          <w:lang w:eastAsia="en-GB"/>
        </w:rPr>
        <w:t>further increase</w:t>
      </w:r>
      <w:r w:rsidRPr="003146C6">
        <w:rPr>
          <w:rFonts w:ascii="Arial" w:hAnsi="Arial" w:cs="Arial"/>
          <w:lang w:eastAsia="en-GB"/>
        </w:rPr>
        <w:t xml:space="preserve"> inequalities among </w:t>
      </w:r>
      <w:r w:rsidR="00341889" w:rsidRPr="00341889">
        <w:rPr>
          <w:rFonts w:ascii="Arial" w:hAnsi="Arial" w:cs="Arial"/>
          <w:lang w:eastAsia="en-GB"/>
        </w:rPr>
        <w:t>olde</w:t>
      </w:r>
      <w:r w:rsidRPr="003146C6">
        <w:rPr>
          <w:rFonts w:ascii="Arial" w:hAnsi="Arial" w:cs="Arial"/>
          <w:lang w:eastAsia="en-GB"/>
        </w:rPr>
        <w:t>r service users (Ofcom, 2022). To actuali</w:t>
      </w:r>
      <w:r w:rsidR="007C2844">
        <w:rPr>
          <w:rFonts w:ascii="Arial" w:hAnsi="Arial" w:cs="Arial"/>
          <w:lang w:eastAsia="en-GB"/>
        </w:rPr>
        <w:t>s</w:t>
      </w:r>
      <w:r w:rsidRPr="003146C6">
        <w:rPr>
          <w:rFonts w:ascii="Arial" w:hAnsi="Arial" w:cs="Arial"/>
          <w:lang w:eastAsia="en-GB"/>
        </w:rPr>
        <w:t xml:space="preserve">e they fair implementation, telehealth </w:t>
      </w:r>
      <w:r w:rsidR="007C2844" w:rsidRPr="003146C6">
        <w:rPr>
          <w:rFonts w:ascii="Arial" w:hAnsi="Arial" w:cs="Arial"/>
          <w:lang w:eastAsia="en-GB"/>
        </w:rPr>
        <w:t>must</w:t>
      </w:r>
      <w:r w:rsidRPr="003146C6">
        <w:rPr>
          <w:rFonts w:ascii="Arial" w:hAnsi="Arial" w:cs="Arial"/>
          <w:lang w:eastAsia="en-GB"/>
        </w:rPr>
        <w:t xml:space="preserve"> be included in hybrid care pathways. These pathways will recogni</w:t>
      </w:r>
      <w:r w:rsidR="007C2844">
        <w:rPr>
          <w:rFonts w:ascii="Arial" w:hAnsi="Arial" w:cs="Arial"/>
          <w:lang w:eastAsia="en-GB"/>
        </w:rPr>
        <w:t>s</w:t>
      </w:r>
      <w:r w:rsidRPr="003146C6">
        <w:rPr>
          <w:rFonts w:ascii="Arial" w:hAnsi="Arial" w:cs="Arial"/>
          <w:lang w:eastAsia="en-GB"/>
        </w:rPr>
        <w:t xml:space="preserve">e the diverse experiences lived and skills in digital literacy that the UK population has as they age (Babatunde et al., 2024). </w:t>
      </w:r>
      <w:r w:rsidR="007C2844" w:rsidRPr="003146C6">
        <w:rPr>
          <w:rFonts w:ascii="Arial" w:hAnsi="Arial" w:cs="Arial"/>
          <w:lang w:eastAsia="en-GB"/>
        </w:rPr>
        <w:t>Most of</w:t>
      </w:r>
      <w:r w:rsidRPr="003146C6">
        <w:rPr>
          <w:rFonts w:ascii="Arial" w:hAnsi="Arial" w:cs="Arial"/>
          <w:lang w:eastAsia="en-GB"/>
        </w:rPr>
        <w:t xml:space="preserve"> the studies included in this review emphasi</w:t>
      </w:r>
      <w:r w:rsidR="007C2844">
        <w:rPr>
          <w:rFonts w:ascii="Arial" w:hAnsi="Arial" w:cs="Arial"/>
          <w:lang w:eastAsia="en-GB"/>
        </w:rPr>
        <w:t>s</w:t>
      </w:r>
      <w:r w:rsidRPr="003146C6">
        <w:rPr>
          <w:rFonts w:ascii="Arial" w:hAnsi="Arial" w:cs="Arial"/>
          <w:lang w:eastAsia="en-GB"/>
        </w:rPr>
        <w:t>e the relevance of hybrid models of care where telehealth supports rather than replaces off-line interaction.</w:t>
      </w:r>
      <w:r w:rsidR="00341889" w:rsidRPr="00341889">
        <w:rPr>
          <w:rFonts w:ascii="Arial" w:hAnsi="Arial" w:cs="Arial"/>
          <w:lang w:eastAsia="en-GB"/>
        </w:rPr>
        <w:t xml:space="preserve"> P</w:t>
      </w:r>
      <w:r w:rsidRPr="003146C6">
        <w:rPr>
          <w:rFonts w:ascii="Arial" w:hAnsi="Arial" w:cs="Arial"/>
          <w:lang w:eastAsia="en-GB"/>
        </w:rPr>
        <w:t>ractitioners</w:t>
      </w:r>
      <w:r w:rsidR="00341889" w:rsidRPr="00341889">
        <w:rPr>
          <w:rFonts w:ascii="Arial" w:hAnsi="Arial" w:cs="Arial"/>
          <w:lang w:eastAsia="en-GB"/>
        </w:rPr>
        <w:t xml:space="preserve"> and older adults</w:t>
      </w:r>
      <w:r w:rsidRPr="003146C6">
        <w:rPr>
          <w:rFonts w:ascii="Arial" w:hAnsi="Arial" w:cs="Arial"/>
          <w:lang w:eastAsia="en-GB"/>
        </w:rPr>
        <w:t xml:space="preserve"> </w:t>
      </w:r>
      <w:r w:rsidR="00341889" w:rsidRPr="00341889">
        <w:rPr>
          <w:rFonts w:ascii="Arial" w:hAnsi="Arial" w:cs="Arial"/>
          <w:lang w:eastAsia="en-GB"/>
        </w:rPr>
        <w:t xml:space="preserve">value </w:t>
      </w:r>
      <w:r w:rsidRPr="003146C6">
        <w:rPr>
          <w:rFonts w:ascii="Arial" w:hAnsi="Arial" w:cs="Arial"/>
          <w:lang w:eastAsia="en-GB"/>
        </w:rPr>
        <w:t>care flexibility the most, hence they prefer to use digital instruments in the case of convenience and efficiency,</w:t>
      </w:r>
      <w:r w:rsidR="007C2844">
        <w:rPr>
          <w:rFonts w:ascii="Arial" w:hAnsi="Arial" w:cs="Arial"/>
          <w:lang w:eastAsia="en-GB"/>
        </w:rPr>
        <w:t xml:space="preserve"> </w:t>
      </w:r>
      <w:r w:rsidRPr="003146C6">
        <w:rPr>
          <w:rFonts w:ascii="Arial" w:hAnsi="Arial" w:cs="Arial"/>
          <w:lang w:eastAsia="en-GB"/>
        </w:rPr>
        <w:t>keeping in person support in the case of conversation, relational or sensitive matters (Shaw et al., 2021). This is a demonstration of the social relationship framework at work in social care, where trust, communication, and personal connection are the essential elements in achieving positive outcomes. The quality of the implementation also surfaced as one of the triggers of telehealth's success. Problems with connectivity, lack of training for the staff and no ongoing technical support are the causes of problems, as was substantiated in the first evaluations concerning remote consultations during the COVID 19 pandemic (Greenhalgh et al., 2020). The issues serve as reminders that a strong digital infrastructure, workforce capacity building, and organi</w:t>
      </w:r>
      <w:r w:rsidR="007C2844">
        <w:rPr>
          <w:rFonts w:ascii="Arial" w:hAnsi="Arial" w:cs="Arial"/>
          <w:lang w:eastAsia="en-GB"/>
        </w:rPr>
        <w:t>s</w:t>
      </w:r>
      <w:r w:rsidRPr="003146C6">
        <w:rPr>
          <w:rFonts w:ascii="Arial" w:hAnsi="Arial" w:cs="Arial"/>
          <w:lang w:eastAsia="en-GB"/>
        </w:rPr>
        <w:t xml:space="preserve">ational readiness are key to successfully integrating telehealth into social care. Although, telehealth indeed has the potential to support independence, improve safety and increase productivity in the adult social care sector the current evidence base is quite small and fractured. To implement telehealth </w:t>
      </w:r>
      <w:r w:rsidR="00341889" w:rsidRPr="00341889">
        <w:rPr>
          <w:rFonts w:ascii="Arial" w:hAnsi="Arial" w:cs="Arial"/>
          <w:lang w:eastAsia="en-GB"/>
        </w:rPr>
        <w:t>in line</w:t>
      </w:r>
      <w:r w:rsidRPr="003146C6">
        <w:rPr>
          <w:rFonts w:ascii="Arial" w:hAnsi="Arial" w:cs="Arial"/>
          <w:lang w:eastAsia="en-GB"/>
        </w:rPr>
        <w:t xml:space="preserve"> with hybrid care pathways effectively and equitably, it needs to be integrated with investment in digital inclusion, and the workforce must be trained accordingly. Besides, more </w:t>
      </w:r>
      <w:r w:rsidRPr="003146C6">
        <w:rPr>
          <w:rFonts w:ascii="Arial" w:hAnsi="Arial" w:cs="Arial"/>
          <w:lang w:eastAsia="en-GB"/>
        </w:rPr>
        <w:lastRenderedPageBreak/>
        <w:t>wide-scale and UK specific research must be conducted that will look at long-term outcomes, cost-effectiveness as well as the best practices identified for the successful inclusion of telehealth in adult social care setups.</w:t>
      </w:r>
    </w:p>
    <w:p w14:paraId="113D4F62" w14:textId="71A1D127" w:rsidR="00341889" w:rsidRPr="00894737" w:rsidRDefault="00341889" w:rsidP="00894737">
      <w:pPr>
        <w:pStyle w:val="ListParagraph"/>
        <w:numPr>
          <w:ilvl w:val="0"/>
          <w:numId w:val="1"/>
        </w:numPr>
        <w:spacing w:line="360" w:lineRule="auto"/>
        <w:jc w:val="both"/>
        <w:rPr>
          <w:rFonts w:ascii="Arial" w:hAnsi="Arial" w:cs="Arial"/>
          <w:b/>
          <w:bCs/>
          <w:lang w:eastAsia="en-GB"/>
        </w:rPr>
      </w:pPr>
      <w:r w:rsidRPr="00894737">
        <w:rPr>
          <w:rFonts w:ascii="Arial" w:hAnsi="Arial" w:cs="Arial"/>
          <w:b/>
          <w:bCs/>
          <w:lang w:eastAsia="en-GB"/>
        </w:rPr>
        <w:t>Recommendations</w:t>
      </w:r>
    </w:p>
    <w:p w14:paraId="6760D751" w14:textId="77777777"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The major outcomes of this scoping review demonstrate that a comprehensive, multi-faceted plan is essential for improving the telehealth program structure, implementation, and assessment within UK social care.</w:t>
      </w:r>
    </w:p>
    <w:p w14:paraId="408FFFEC" w14:textId="077DACC2" w:rsidR="005E3B11" w:rsidRPr="005E3B11" w:rsidRDefault="00894737" w:rsidP="00FC1A10">
      <w:pPr>
        <w:spacing w:line="360" w:lineRule="auto"/>
        <w:jc w:val="both"/>
        <w:rPr>
          <w:rFonts w:ascii="Arial" w:hAnsi="Arial" w:cs="Arial"/>
          <w:lang w:eastAsia="en-GB"/>
        </w:rPr>
      </w:pPr>
      <w:r>
        <w:rPr>
          <w:rFonts w:ascii="Arial" w:hAnsi="Arial" w:cs="Arial"/>
          <w:lang w:eastAsia="en-GB"/>
        </w:rPr>
        <w:t xml:space="preserve">8.1 </w:t>
      </w:r>
      <w:r w:rsidR="005E3B11" w:rsidRPr="005E3B11">
        <w:rPr>
          <w:rFonts w:ascii="Arial" w:hAnsi="Arial" w:cs="Arial"/>
          <w:lang w:eastAsia="en-GB"/>
        </w:rPr>
        <w:t xml:space="preserve">Future Research </w:t>
      </w:r>
    </w:p>
    <w:p w14:paraId="6F59C4D7" w14:textId="36F34C49" w:rsidR="005E3B11" w:rsidRPr="005E3B11" w:rsidRDefault="005E3B11" w:rsidP="00FC1A10">
      <w:pPr>
        <w:spacing w:line="360" w:lineRule="auto"/>
        <w:jc w:val="both"/>
        <w:rPr>
          <w:rFonts w:ascii="Arial" w:hAnsi="Arial" w:cs="Arial"/>
          <w:lang w:eastAsia="en-GB"/>
        </w:rPr>
      </w:pPr>
      <w:r w:rsidRPr="008E7EEB">
        <w:rPr>
          <w:rFonts w:ascii="Arial" w:hAnsi="Arial" w:cs="Arial"/>
          <w:lang w:eastAsia="en-GB"/>
        </w:rPr>
        <w:t>T</w:t>
      </w:r>
      <w:r w:rsidRPr="005E3B11">
        <w:rPr>
          <w:rFonts w:ascii="Arial" w:hAnsi="Arial" w:cs="Arial"/>
          <w:lang w:eastAsia="en-GB"/>
        </w:rPr>
        <w:t xml:space="preserve">here is an obvious need for bigger, empirical research </w:t>
      </w:r>
      <w:r w:rsidRPr="008E7EEB">
        <w:rPr>
          <w:rFonts w:ascii="Arial" w:hAnsi="Arial" w:cs="Arial"/>
          <w:lang w:eastAsia="en-GB"/>
        </w:rPr>
        <w:t xml:space="preserve">that needs to be </w:t>
      </w:r>
      <w:r w:rsidRPr="005E3B11">
        <w:rPr>
          <w:rFonts w:ascii="Arial" w:hAnsi="Arial" w:cs="Arial"/>
          <w:lang w:eastAsia="en-GB"/>
        </w:rPr>
        <w:t xml:space="preserve">conducted in the UK which focuses on the long-term effects of telehealth in older adults. Evidence is largely about a few qualitative and mixed methods studies, which limits </w:t>
      </w:r>
      <w:r w:rsidR="007C2844">
        <w:rPr>
          <w:rFonts w:ascii="Arial" w:hAnsi="Arial" w:cs="Arial"/>
          <w:lang w:eastAsia="en-GB"/>
        </w:rPr>
        <w:t>its</w:t>
      </w:r>
      <w:r w:rsidRPr="005E3B11">
        <w:rPr>
          <w:rFonts w:ascii="Arial" w:hAnsi="Arial" w:cs="Arial"/>
          <w:lang w:eastAsia="en-GB"/>
        </w:rPr>
        <w:t xml:space="preserve"> generalisability and does not enable one to</w:t>
      </w:r>
      <w:r w:rsidRPr="008E7EEB">
        <w:rPr>
          <w:rFonts w:ascii="Arial" w:hAnsi="Arial" w:cs="Arial"/>
          <w:lang w:eastAsia="en-GB"/>
        </w:rPr>
        <w:t xml:space="preserve"> understand the</w:t>
      </w:r>
      <w:r w:rsidRPr="005E3B11">
        <w:rPr>
          <w:rFonts w:ascii="Arial" w:hAnsi="Arial" w:cs="Arial"/>
          <w:lang w:eastAsia="en-GB"/>
        </w:rPr>
        <w:t xml:space="preserve"> sustained effects (Greenhalgh et al., 2020; Shaw et al., 2021). </w:t>
      </w:r>
      <w:r w:rsidR="008850CD" w:rsidRPr="008850CD">
        <w:rPr>
          <w:rFonts w:ascii="Arial" w:hAnsi="Arial" w:cs="Arial"/>
        </w:rPr>
        <w:t>Future work</w:t>
      </w:r>
      <w:r w:rsidR="008850CD">
        <w:rPr>
          <w:rFonts w:ascii="Arial" w:hAnsi="Arial" w:cs="Arial"/>
        </w:rPr>
        <w:t xml:space="preserve"> by researchers</w:t>
      </w:r>
      <w:r w:rsidR="008850CD" w:rsidRPr="008850CD">
        <w:rPr>
          <w:rFonts w:ascii="Arial" w:hAnsi="Arial" w:cs="Arial"/>
        </w:rPr>
        <w:t xml:space="preserve"> should </w:t>
      </w:r>
      <w:r w:rsidR="003363FB" w:rsidRPr="008850CD">
        <w:rPr>
          <w:rFonts w:ascii="Arial" w:hAnsi="Arial" w:cs="Arial"/>
        </w:rPr>
        <w:t>use</w:t>
      </w:r>
      <w:r w:rsidR="008850CD" w:rsidRPr="008850CD">
        <w:rPr>
          <w:rFonts w:ascii="Arial" w:hAnsi="Arial" w:cs="Arial"/>
        </w:rPr>
        <w:t xml:space="preserve"> the simplified synthesis approach proposed by Aveyard (2014</w:t>
      </w:r>
      <w:r w:rsidR="008850CD">
        <w:t>)</w:t>
      </w:r>
      <w:r w:rsidR="008850CD">
        <w:rPr>
          <w:rFonts w:ascii="Arial" w:hAnsi="Arial" w:cs="Arial"/>
          <w:lang w:eastAsia="en-GB"/>
        </w:rPr>
        <w:t xml:space="preserve"> that </w:t>
      </w:r>
      <w:r w:rsidRPr="005E3B11">
        <w:rPr>
          <w:rFonts w:ascii="Arial" w:hAnsi="Arial" w:cs="Arial"/>
          <w:lang w:eastAsia="en-GB"/>
        </w:rPr>
        <w:t>should design powerful mixed methods or longitudinal studies to seek out the effect on independence, wellbeing, hospital admissions and resource use.</w:t>
      </w:r>
    </w:p>
    <w:p w14:paraId="20A8BD00" w14:textId="77777777"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Furthermore, the study should evaluate the effectiveness of telehealth with respect to each subgroup, including older people with dementia, vision and hearing impairments, multimorbidity or communication problems. Realist designs, like the ones adopted by Fothergill and his colleagues, can deliver much-needed information on the channels which telecare operates to aid autonomy for diverse users (Fothergill et al., 2025).</w:t>
      </w:r>
    </w:p>
    <w:p w14:paraId="114CECB4" w14:textId="3C1EF69E"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Because the deep digital divide exists, researchers must seek the effective digital inclusion strategies like personali</w:t>
      </w:r>
      <w:r w:rsidR="007C2844">
        <w:rPr>
          <w:rFonts w:ascii="Arial" w:hAnsi="Arial" w:cs="Arial"/>
          <w:lang w:eastAsia="en-GB"/>
        </w:rPr>
        <w:t>s</w:t>
      </w:r>
      <w:r w:rsidRPr="005E3B11">
        <w:rPr>
          <w:rFonts w:ascii="Arial" w:hAnsi="Arial" w:cs="Arial"/>
          <w:lang w:eastAsia="en-GB"/>
        </w:rPr>
        <w:t xml:space="preserve">ed one-on-one training, simplified device interfaces, and tailored support for those with low digital confidence (Age UK, 2022; Ofcom, 2022). The research should involve older adults from </w:t>
      </w:r>
      <w:r w:rsidR="00F20164" w:rsidRPr="005E3B11">
        <w:rPr>
          <w:rFonts w:ascii="Arial" w:hAnsi="Arial" w:cs="Arial"/>
          <w:lang w:eastAsia="en-GB"/>
        </w:rPr>
        <w:t>diverse backgrounds</w:t>
      </w:r>
      <w:r w:rsidRPr="005E3B11">
        <w:rPr>
          <w:rFonts w:ascii="Arial" w:hAnsi="Arial" w:cs="Arial"/>
          <w:lang w:eastAsia="en-GB"/>
        </w:rPr>
        <w:t xml:space="preserve"> and specifically, those from minority </w:t>
      </w:r>
      <w:r w:rsidR="00AE554C" w:rsidRPr="008E7EEB">
        <w:rPr>
          <w:rFonts w:ascii="Arial" w:hAnsi="Arial" w:cs="Arial"/>
          <w:lang w:eastAsia="en-GB"/>
        </w:rPr>
        <w:t>ethnicities</w:t>
      </w:r>
      <w:r w:rsidRPr="005E3B11">
        <w:rPr>
          <w:rFonts w:ascii="Arial" w:hAnsi="Arial" w:cs="Arial"/>
          <w:lang w:eastAsia="en-GB"/>
        </w:rPr>
        <w:t xml:space="preserve"> who have varied experiences with digital care.</w:t>
      </w:r>
    </w:p>
    <w:p w14:paraId="520E23CF" w14:textId="21A67B3B" w:rsidR="005E3B11" w:rsidRPr="005E3B11" w:rsidRDefault="00894737" w:rsidP="00FC1A10">
      <w:pPr>
        <w:spacing w:line="360" w:lineRule="auto"/>
        <w:jc w:val="both"/>
        <w:rPr>
          <w:rFonts w:ascii="Arial" w:hAnsi="Arial" w:cs="Arial"/>
          <w:lang w:eastAsia="en-GB"/>
        </w:rPr>
      </w:pPr>
      <w:r>
        <w:rPr>
          <w:rFonts w:ascii="Arial" w:hAnsi="Arial" w:cs="Arial"/>
          <w:lang w:eastAsia="en-GB"/>
        </w:rPr>
        <w:t xml:space="preserve">8.2 </w:t>
      </w:r>
      <w:r w:rsidR="005E3B11" w:rsidRPr="005E3B11">
        <w:rPr>
          <w:rFonts w:ascii="Arial" w:hAnsi="Arial" w:cs="Arial"/>
          <w:lang w:eastAsia="en-GB"/>
        </w:rPr>
        <w:t xml:space="preserve">Policy Recommendations </w:t>
      </w:r>
    </w:p>
    <w:p w14:paraId="038094C5" w14:textId="77777777"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The adult social care reform must challenge digital inclusion as a central pillar of the policy. Although adult social care white paper embraces technology and housing modifications as the main focus, the additional move is necessary to equate digital transformation with the benefits accruing to all elderly people (Department of Health and Social Care, 2022).</w:t>
      </w:r>
    </w:p>
    <w:p w14:paraId="76D7F180" w14:textId="77777777"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 xml:space="preserve">The government and the Integrated Care Systems should create the minimum digital access standards which include affordable connectivity as well as the provision of easily accessible digital devices and continuous learning on how to use them. This is consistent with the broader </w:t>
      </w:r>
      <w:r w:rsidRPr="005E3B11">
        <w:rPr>
          <w:rFonts w:ascii="Arial" w:hAnsi="Arial" w:cs="Arial"/>
          <w:lang w:eastAsia="en-GB"/>
        </w:rPr>
        <w:lastRenderedPageBreak/>
        <w:t>NHS goal for digitally enabled care that is part of the NHS Long-Term Plan (NHS England, 2019).</w:t>
      </w:r>
    </w:p>
    <w:p w14:paraId="5558B495" w14:textId="25631804"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 xml:space="preserve">The </w:t>
      </w:r>
      <w:r w:rsidR="00AE554C" w:rsidRPr="008E7EEB">
        <w:rPr>
          <w:rFonts w:ascii="Arial" w:hAnsi="Arial" w:cs="Arial"/>
          <w:lang w:eastAsia="en-GB"/>
        </w:rPr>
        <w:t>N</w:t>
      </w:r>
      <w:r w:rsidRPr="005E3B11">
        <w:rPr>
          <w:rFonts w:ascii="Arial" w:hAnsi="Arial" w:cs="Arial"/>
          <w:lang w:eastAsia="en-GB"/>
        </w:rPr>
        <w:t xml:space="preserve">ational </w:t>
      </w:r>
      <w:r w:rsidR="00AE554C" w:rsidRPr="008E7EEB">
        <w:rPr>
          <w:rFonts w:ascii="Arial" w:hAnsi="Arial" w:cs="Arial"/>
          <w:lang w:eastAsia="en-GB"/>
        </w:rPr>
        <w:t>P</w:t>
      </w:r>
      <w:r w:rsidRPr="005E3B11">
        <w:rPr>
          <w:rFonts w:ascii="Arial" w:hAnsi="Arial" w:cs="Arial"/>
          <w:lang w:eastAsia="en-GB"/>
        </w:rPr>
        <w:t xml:space="preserve">olicy's directive should also commute workforce development in digital competencies, ensuring social care workers are </w:t>
      </w:r>
      <w:r w:rsidR="00154D69" w:rsidRPr="005E3B11">
        <w:rPr>
          <w:rFonts w:ascii="Arial" w:hAnsi="Arial" w:cs="Arial"/>
          <w:lang w:eastAsia="en-GB"/>
        </w:rPr>
        <w:t>professionally trained</w:t>
      </w:r>
      <w:r w:rsidRPr="005E3B11">
        <w:rPr>
          <w:rFonts w:ascii="Arial" w:hAnsi="Arial" w:cs="Arial"/>
          <w:lang w:eastAsia="en-GB"/>
        </w:rPr>
        <w:t xml:space="preserve"> in telehealth communication, remote assessment, and technology troubleshooting. The need for sustained investment is </w:t>
      </w:r>
      <w:r w:rsidR="008E7EEB" w:rsidRPr="008E7EEB">
        <w:rPr>
          <w:rFonts w:ascii="Arial" w:hAnsi="Arial" w:cs="Arial"/>
          <w:lang w:eastAsia="en-GB"/>
        </w:rPr>
        <w:t>required due to</w:t>
      </w:r>
      <w:r w:rsidRPr="005E3B11">
        <w:rPr>
          <w:rFonts w:ascii="Arial" w:hAnsi="Arial" w:cs="Arial"/>
          <w:lang w:eastAsia="en-GB"/>
        </w:rPr>
        <w:t xml:space="preserve"> workforce pressures reported in the national reports to boost staff capability and confidence (</w:t>
      </w:r>
      <w:r w:rsidR="00D35547">
        <w:rPr>
          <w:rFonts w:ascii="Arial" w:hAnsi="Arial" w:cs="Arial"/>
          <w:lang w:eastAsia="en-GB"/>
        </w:rPr>
        <w:t>The Kings Fund, 2025</w:t>
      </w:r>
      <w:r w:rsidRPr="005E3B11">
        <w:rPr>
          <w:rFonts w:ascii="Arial" w:hAnsi="Arial" w:cs="Arial"/>
          <w:lang w:eastAsia="en-GB"/>
        </w:rPr>
        <w:t>).</w:t>
      </w:r>
    </w:p>
    <w:p w14:paraId="7E3E8596" w14:textId="688D1C44" w:rsidR="005E3B11" w:rsidRPr="005E3B11" w:rsidRDefault="00894737" w:rsidP="00FC1A10">
      <w:pPr>
        <w:spacing w:line="360" w:lineRule="auto"/>
        <w:jc w:val="both"/>
        <w:rPr>
          <w:rFonts w:ascii="Arial" w:hAnsi="Arial" w:cs="Arial"/>
          <w:lang w:eastAsia="en-GB"/>
        </w:rPr>
      </w:pPr>
      <w:r>
        <w:rPr>
          <w:rFonts w:ascii="Arial" w:hAnsi="Arial" w:cs="Arial"/>
          <w:lang w:eastAsia="en-GB"/>
        </w:rPr>
        <w:t xml:space="preserve">8.3 </w:t>
      </w:r>
      <w:r w:rsidR="005E3B11" w:rsidRPr="005E3B11">
        <w:rPr>
          <w:rFonts w:ascii="Arial" w:hAnsi="Arial" w:cs="Arial"/>
          <w:lang w:eastAsia="en-GB"/>
        </w:rPr>
        <w:t xml:space="preserve">Practice Recommendations </w:t>
      </w:r>
    </w:p>
    <w:p w14:paraId="3F97C2DA" w14:textId="19194644" w:rsidR="005E3B11" w:rsidRPr="005E3B11" w:rsidRDefault="008E7EEB" w:rsidP="00FC1A10">
      <w:pPr>
        <w:spacing w:line="360" w:lineRule="auto"/>
        <w:jc w:val="both"/>
        <w:rPr>
          <w:rFonts w:ascii="Arial" w:hAnsi="Arial" w:cs="Arial"/>
          <w:lang w:eastAsia="en-GB"/>
        </w:rPr>
      </w:pPr>
      <w:r w:rsidRPr="008E7EEB">
        <w:rPr>
          <w:rFonts w:ascii="Arial" w:hAnsi="Arial" w:cs="Arial"/>
          <w:lang w:eastAsia="en-GB"/>
        </w:rPr>
        <w:t>T</w:t>
      </w:r>
      <w:r w:rsidR="005E3B11" w:rsidRPr="005E3B11">
        <w:rPr>
          <w:rFonts w:ascii="Arial" w:hAnsi="Arial" w:cs="Arial"/>
          <w:lang w:eastAsia="en-GB"/>
        </w:rPr>
        <w:t>elehealth should be part of a hybrid model of care that allows the choice of receiving either digital or face-to-face support. The finding</w:t>
      </w:r>
      <w:r w:rsidRPr="008E7EEB">
        <w:rPr>
          <w:rFonts w:ascii="Arial" w:hAnsi="Arial" w:cs="Arial"/>
          <w:lang w:eastAsia="en-GB"/>
        </w:rPr>
        <w:t>s</w:t>
      </w:r>
      <w:r w:rsidR="005E3B11" w:rsidRPr="005E3B11">
        <w:rPr>
          <w:rFonts w:ascii="Arial" w:hAnsi="Arial" w:cs="Arial"/>
          <w:lang w:eastAsia="en-GB"/>
        </w:rPr>
        <w:t xml:space="preserve"> indicate that older adults prefer flexibility and find telehealth to be more effective when it is used to accompany, rather than to replace, in-person interactions (Shaw et al., 2021).</w:t>
      </w:r>
    </w:p>
    <w:p w14:paraId="3C1B0CAC" w14:textId="78734060" w:rsidR="005E3B11" w:rsidRPr="005E3B11" w:rsidRDefault="005E3B11" w:rsidP="00FC1A10">
      <w:pPr>
        <w:spacing w:line="360" w:lineRule="auto"/>
        <w:jc w:val="both"/>
        <w:rPr>
          <w:rFonts w:ascii="Arial" w:hAnsi="Arial" w:cs="Arial"/>
          <w:lang w:eastAsia="en-GB"/>
        </w:rPr>
      </w:pPr>
      <w:r w:rsidRPr="005E3B11">
        <w:rPr>
          <w:rFonts w:ascii="Arial" w:hAnsi="Arial" w:cs="Arial"/>
          <w:lang w:eastAsia="en-GB"/>
        </w:rPr>
        <w:t>Practitioners should</w:t>
      </w:r>
      <w:r w:rsidR="008E7EEB" w:rsidRPr="008E7EEB">
        <w:rPr>
          <w:rFonts w:ascii="Arial" w:hAnsi="Arial" w:cs="Arial"/>
          <w:lang w:eastAsia="en-GB"/>
        </w:rPr>
        <w:t xml:space="preserve"> </w:t>
      </w:r>
      <w:r w:rsidR="007C2844">
        <w:rPr>
          <w:rFonts w:ascii="Arial" w:hAnsi="Arial" w:cs="Arial"/>
          <w:lang w:eastAsia="en-GB"/>
        </w:rPr>
        <w:t xml:space="preserve">perform </w:t>
      </w:r>
      <w:r w:rsidRPr="005E3B11">
        <w:rPr>
          <w:rFonts w:ascii="Arial" w:hAnsi="Arial" w:cs="Arial"/>
          <w:lang w:eastAsia="en-GB"/>
        </w:rPr>
        <w:t>person-</w:t>
      </w:r>
      <w:r w:rsidR="008E7EEB" w:rsidRPr="008E7EEB">
        <w:rPr>
          <w:rFonts w:ascii="Arial" w:hAnsi="Arial" w:cs="Arial"/>
          <w:lang w:eastAsia="en-GB"/>
        </w:rPr>
        <w:t>centred</w:t>
      </w:r>
      <w:r w:rsidRPr="005E3B11">
        <w:rPr>
          <w:rFonts w:ascii="Arial" w:hAnsi="Arial" w:cs="Arial"/>
          <w:lang w:eastAsia="en-GB"/>
        </w:rPr>
        <w:t xml:space="preserve"> assessments which check sensory, cognitive and digital capabilities when figuring out whether telehealth can be used. The continuity of technical support for both users and staff </w:t>
      </w:r>
      <w:r w:rsidR="008E7EEB" w:rsidRPr="008E7EEB">
        <w:rPr>
          <w:rFonts w:ascii="Arial" w:hAnsi="Arial" w:cs="Arial"/>
          <w:lang w:eastAsia="en-GB"/>
        </w:rPr>
        <w:t>are</w:t>
      </w:r>
      <w:r w:rsidRPr="005E3B11">
        <w:rPr>
          <w:rFonts w:ascii="Arial" w:hAnsi="Arial" w:cs="Arial"/>
          <w:lang w:eastAsia="en-GB"/>
        </w:rPr>
        <w:t xml:space="preserve"> crucial since connection problems and low self-esteem can be the main reasons for poor telehealth inaction (Greenhalgh et al., 2020).</w:t>
      </w:r>
    </w:p>
    <w:p w14:paraId="5016B80A" w14:textId="77777777" w:rsidR="005E3B11" w:rsidRDefault="005E3B11" w:rsidP="00FC1A10">
      <w:pPr>
        <w:spacing w:line="360" w:lineRule="auto"/>
        <w:jc w:val="both"/>
        <w:rPr>
          <w:rFonts w:ascii="Arial" w:hAnsi="Arial" w:cs="Arial"/>
          <w:lang w:eastAsia="en-GB"/>
        </w:rPr>
      </w:pPr>
      <w:r w:rsidRPr="005E3B11">
        <w:rPr>
          <w:rFonts w:ascii="Arial" w:hAnsi="Arial" w:cs="Arial"/>
          <w:lang w:eastAsia="en-GB"/>
        </w:rPr>
        <w:t>Lastly, the services should take stringent data protection and privacy measures to allay concerns about monitoring, surveillance and autonomy as mentioned in telecare research (Eccles, 2020).</w:t>
      </w:r>
    </w:p>
    <w:p w14:paraId="48971BF1" w14:textId="77777777" w:rsidR="00A16948" w:rsidRDefault="00A16948" w:rsidP="00FC1A10">
      <w:pPr>
        <w:spacing w:line="360" w:lineRule="auto"/>
        <w:jc w:val="both"/>
        <w:rPr>
          <w:rFonts w:ascii="Arial" w:hAnsi="Arial" w:cs="Arial"/>
          <w:lang w:eastAsia="en-GB"/>
        </w:rPr>
      </w:pPr>
    </w:p>
    <w:p w14:paraId="74F4670C" w14:textId="77777777" w:rsidR="00A16948" w:rsidRDefault="00A16948" w:rsidP="00FC1A10">
      <w:pPr>
        <w:spacing w:line="360" w:lineRule="auto"/>
        <w:jc w:val="both"/>
        <w:rPr>
          <w:rFonts w:ascii="Arial" w:hAnsi="Arial" w:cs="Arial"/>
          <w:lang w:eastAsia="en-GB"/>
        </w:rPr>
      </w:pPr>
    </w:p>
    <w:p w14:paraId="3C58FC7A" w14:textId="77777777" w:rsidR="00A16948" w:rsidRDefault="00A16948" w:rsidP="00FC1A10">
      <w:pPr>
        <w:spacing w:line="360" w:lineRule="auto"/>
        <w:jc w:val="both"/>
        <w:rPr>
          <w:rFonts w:ascii="Arial" w:hAnsi="Arial" w:cs="Arial"/>
          <w:lang w:eastAsia="en-GB"/>
        </w:rPr>
      </w:pPr>
    </w:p>
    <w:p w14:paraId="2C04D052" w14:textId="77777777" w:rsidR="00A16948" w:rsidRDefault="00A16948" w:rsidP="00FC1A10">
      <w:pPr>
        <w:spacing w:line="360" w:lineRule="auto"/>
        <w:jc w:val="both"/>
        <w:rPr>
          <w:rFonts w:ascii="Arial" w:hAnsi="Arial" w:cs="Arial"/>
          <w:lang w:eastAsia="en-GB"/>
        </w:rPr>
      </w:pPr>
    </w:p>
    <w:p w14:paraId="76A89485" w14:textId="77777777" w:rsidR="00A16948" w:rsidRDefault="00A16948" w:rsidP="00FC1A10">
      <w:pPr>
        <w:spacing w:line="360" w:lineRule="auto"/>
        <w:jc w:val="both"/>
        <w:rPr>
          <w:rFonts w:ascii="Arial" w:hAnsi="Arial" w:cs="Arial"/>
          <w:lang w:eastAsia="en-GB"/>
        </w:rPr>
      </w:pPr>
    </w:p>
    <w:p w14:paraId="60FDB8D3" w14:textId="77777777" w:rsidR="00A16948" w:rsidRDefault="00A16948" w:rsidP="00FC1A10">
      <w:pPr>
        <w:spacing w:line="360" w:lineRule="auto"/>
        <w:jc w:val="both"/>
        <w:rPr>
          <w:rFonts w:ascii="Arial" w:hAnsi="Arial" w:cs="Arial"/>
          <w:lang w:eastAsia="en-GB"/>
        </w:rPr>
      </w:pPr>
    </w:p>
    <w:p w14:paraId="54E55AC8" w14:textId="77777777" w:rsidR="00A16948" w:rsidRDefault="00A16948" w:rsidP="00FC1A10">
      <w:pPr>
        <w:spacing w:line="360" w:lineRule="auto"/>
        <w:jc w:val="both"/>
        <w:rPr>
          <w:rFonts w:ascii="Arial" w:hAnsi="Arial" w:cs="Arial"/>
          <w:lang w:eastAsia="en-GB"/>
        </w:rPr>
      </w:pPr>
    </w:p>
    <w:p w14:paraId="752C471C" w14:textId="77777777" w:rsidR="00A16948" w:rsidRDefault="00A16948" w:rsidP="00FC1A10">
      <w:pPr>
        <w:spacing w:line="360" w:lineRule="auto"/>
        <w:jc w:val="both"/>
        <w:rPr>
          <w:rFonts w:ascii="Arial" w:hAnsi="Arial" w:cs="Arial"/>
          <w:lang w:eastAsia="en-GB"/>
        </w:rPr>
      </w:pPr>
    </w:p>
    <w:p w14:paraId="22C7CDBC" w14:textId="77777777" w:rsidR="00A16948" w:rsidRDefault="00A16948" w:rsidP="00FC1A10">
      <w:pPr>
        <w:spacing w:line="360" w:lineRule="auto"/>
        <w:jc w:val="both"/>
        <w:rPr>
          <w:rFonts w:ascii="Arial" w:hAnsi="Arial" w:cs="Arial"/>
          <w:lang w:eastAsia="en-GB"/>
        </w:rPr>
      </w:pPr>
    </w:p>
    <w:p w14:paraId="4F170CF0" w14:textId="77777777" w:rsidR="00A16948" w:rsidRDefault="00A16948" w:rsidP="00FC1A10">
      <w:pPr>
        <w:spacing w:line="360" w:lineRule="auto"/>
        <w:jc w:val="both"/>
        <w:rPr>
          <w:rFonts w:ascii="Arial" w:hAnsi="Arial" w:cs="Arial"/>
          <w:lang w:eastAsia="en-GB"/>
        </w:rPr>
      </w:pPr>
    </w:p>
    <w:p w14:paraId="7656ED9F" w14:textId="77777777" w:rsidR="00DB2315" w:rsidRDefault="00DB2315" w:rsidP="00A16948">
      <w:pPr>
        <w:spacing w:before="100" w:beforeAutospacing="1" w:after="100" w:afterAutospacing="1" w:line="360" w:lineRule="auto"/>
        <w:rPr>
          <w:rFonts w:ascii="Arial" w:hAnsi="Arial" w:cs="Arial"/>
          <w:lang w:eastAsia="en-GB"/>
        </w:rPr>
      </w:pPr>
    </w:p>
    <w:p w14:paraId="3E793F2D" w14:textId="4F88D5C1" w:rsidR="00A16948" w:rsidRPr="00894737" w:rsidRDefault="00A16948" w:rsidP="00894737">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894737">
        <w:rPr>
          <w:rFonts w:ascii="Arial" w:eastAsia="Times New Roman" w:hAnsi="Arial" w:cs="Arial"/>
          <w:b/>
          <w:bCs/>
          <w:kern w:val="0"/>
          <w:lang w:eastAsia="en-GB"/>
          <w14:ligatures w14:val="none"/>
        </w:rPr>
        <w:lastRenderedPageBreak/>
        <w:t>References</w:t>
      </w:r>
    </w:p>
    <w:p w14:paraId="4C797890"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Age UK (2022) </w:t>
      </w:r>
      <w:r w:rsidRPr="00A16948">
        <w:rPr>
          <w:rFonts w:ascii="Arial" w:eastAsia="Times New Roman" w:hAnsi="Arial" w:cs="Arial"/>
          <w:i/>
          <w:iCs/>
          <w:kern w:val="0"/>
          <w:lang w:eastAsia="en-GB"/>
          <w14:ligatures w14:val="none"/>
        </w:rPr>
        <w:t>Digital inclusion policy position: UK</w:t>
      </w:r>
      <w:r w:rsidRPr="00A16948">
        <w:rPr>
          <w:rFonts w:ascii="Arial" w:eastAsia="Times New Roman" w:hAnsi="Arial" w:cs="Arial"/>
          <w:kern w:val="0"/>
          <w:lang w:eastAsia="en-GB"/>
          <w14:ligatures w14:val="none"/>
        </w:rPr>
        <w:t xml:space="preserve">. London: Age UK. Available at: </w:t>
      </w:r>
      <w:hyperlink r:id="rId15" w:tgtFrame="_blank" w:history="1">
        <w:r w:rsidRPr="00A16948">
          <w:rPr>
            <w:rFonts w:ascii="Arial" w:eastAsia="Times New Roman" w:hAnsi="Arial" w:cs="Arial"/>
            <w:color w:val="0000FF"/>
            <w:kern w:val="0"/>
            <w:u w:val="single"/>
            <w:lang w:eastAsia="en-GB"/>
            <w14:ligatures w14:val="none"/>
          </w:rPr>
          <w:t>https://www.ageuk.org.uk/our-impact/policy-research/policy-positions/</w:t>
        </w:r>
      </w:hyperlink>
      <w:r w:rsidRPr="00A16948">
        <w:rPr>
          <w:rFonts w:ascii="Arial" w:eastAsia="Times New Roman" w:hAnsi="Arial" w:cs="Arial"/>
          <w:kern w:val="0"/>
          <w:lang w:eastAsia="en-GB"/>
          <w14:ligatures w14:val="none"/>
        </w:rPr>
        <w:t xml:space="preserve"> (Accessed: 11 March 2026).</w:t>
      </w:r>
    </w:p>
    <w:p w14:paraId="6B1316A2"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Arksey, H. and O’Malley, L. (2005) ‘Scoping studies: towards a methodological framework’, </w:t>
      </w:r>
      <w:r w:rsidRPr="00A16948">
        <w:rPr>
          <w:rFonts w:ascii="Arial" w:eastAsia="Times New Roman" w:hAnsi="Arial" w:cs="Arial"/>
          <w:i/>
          <w:iCs/>
          <w:kern w:val="0"/>
          <w:lang w:eastAsia="en-GB"/>
          <w14:ligatures w14:val="none"/>
        </w:rPr>
        <w:t>International Journal of Social Research Methodology</w:t>
      </w:r>
      <w:r w:rsidRPr="00A16948">
        <w:rPr>
          <w:rFonts w:ascii="Arial" w:eastAsia="Times New Roman" w:hAnsi="Arial" w:cs="Arial"/>
          <w:kern w:val="0"/>
          <w:lang w:eastAsia="en-GB"/>
          <w14:ligatures w14:val="none"/>
        </w:rPr>
        <w:t>, 8(1), pp. 19–32.</w:t>
      </w:r>
    </w:p>
    <w:p w14:paraId="56583B63"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rPr>
      </w:pPr>
      <w:r w:rsidRPr="00A16948">
        <w:rPr>
          <w:rFonts w:ascii="Arial" w:eastAsia="Times New Roman" w:hAnsi="Arial" w:cs="Arial"/>
          <w:kern w:val="0"/>
          <w:lang w:eastAsia="en-GB"/>
        </w:rPr>
        <w:t>Aveyard, H. (2014) Doing a literature review in health and social care: a practical guide. 3rd edn. Maidenhead: Open University Press.</w:t>
      </w:r>
    </w:p>
    <w:p w14:paraId="11EB2C98"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Babatunde, O.T., Little, C., Saunders, B., Bartlam, B., Dikomitis, L. and Kingstone, T. (2024) ‘Experiences and views of older adults of South Asian, Black African, and Caribbean backgrounds about the digitalization of primary care services since the COVID-19 pandemic: qualitative focus group study’, </w:t>
      </w:r>
      <w:r w:rsidRPr="00A16948">
        <w:rPr>
          <w:rFonts w:ascii="Arial" w:eastAsia="Times New Roman" w:hAnsi="Arial" w:cs="Arial"/>
          <w:i/>
          <w:iCs/>
          <w:kern w:val="0"/>
          <w:lang w:eastAsia="en-GB"/>
          <w14:ligatures w14:val="none"/>
        </w:rPr>
        <w:t>JMIR Formative Research</w:t>
      </w:r>
      <w:r w:rsidRPr="00A16948">
        <w:rPr>
          <w:rFonts w:ascii="Arial" w:eastAsia="Times New Roman" w:hAnsi="Arial" w:cs="Arial"/>
          <w:kern w:val="0"/>
          <w:lang w:eastAsia="en-GB"/>
          <w14:ligatures w14:val="none"/>
        </w:rPr>
        <w:t xml:space="preserve">, 8, e57580. Available at: </w:t>
      </w:r>
      <w:hyperlink r:id="rId16" w:tgtFrame="_blank" w:history="1">
        <w:r w:rsidRPr="00A16948">
          <w:rPr>
            <w:rFonts w:ascii="Arial" w:eastAsia="Times New Roman" w:hAnsi="Arial" w:cs="Arial"/>
            <w:color w:val="0000FF"/>
            <w:kern w:val="0"/>
            <w:u w:val="single"/>
            <w:lang w:eastAsia="en-GB"/>
            <w14:ligatures w14:val="none"/>
          </w:rPr>
          <w:t>https://formative.jmir.org/2024/1/e57580</w:t>
        </w:r>
      </w:hyperlink>
      <w:r w:rsidRPr="00A16948">
        <w:rPr>
          <w:rFonts w:ascii="Arial" w:eastAsia="Times New Roman" w:hAnsi="Arial" w:cs="Arial"/>
          <w:kern w:val="0"/>
          <w:lang w:eastAsia="en-GB"/>
          <w14:ligatures w14:val="none"/>
        </w:rPr>
        <w:t xml:space="preserve"> (Accessed: 11 March 2026).</w:t>
      </w:r>
    </w:p>
    <w:p w14:paraId="061A7EB7" w14:textId="04C95130"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hAnsi="Arial" w:cs="Arial"/>
        </w:rPr>
        <w:t xml:space="preserve">Department of Health and Social Care (2022) </w:t>
      </w:r>
      <w:r w:rsidRPr="00A16948">
        <w:rPr>
          <w:rFonts w:ascii="Arial" w:hAnsi="Arial" w:cs="Arial"/>
          <w:i/>
          <w:iCs/>
        </w:rPr>
        <w:t>People at the Heart of Care: adult social care reform white paper</w:t>
      </w:r>
      <w:r w:rsidRPr="00A16948">
        <w:rPr>
          <w:rFonts w:ascii="Arial" w:hAnsi="Arial" w:cs="Arial"/>
        </w:rPr>
        <w:t xml:space="preserve">. London: DHSC. Available at: </w:t>
      </w:r>
      <w:hyperlink r:id="rId17" w:tgtFrame="_blank" w:history="1">
        <w:r w:rsidRPr="00A16948">
          <w:rPr>
            <w:rFonts w:ascii="Arial" w:hAnsi="Arial" w:cs="Arial"/>
            <w:color w:val="0000FF"/>
            <w:u w:val="single"/>
          </w:rPr>
          <w:t>https://www.gov.uk/government/publications/people-at-the-heart-of-care-adult-social-care-reform-white-paper</w:t>
        </w:r>
      </w:hyperlink>
      <w:r w:rsidRPr="00A16948">
        <w:rPr>
          <w:rFonts w:ascii="Arial" w:hAnsi="Arial" w:cs="Arial"/>
        </w:rPr>
        <w:t xml:space="preserve"> (Accessed: 11 March 2026).</w:t>
      </w:r>
    </w:p>
    <w:p w14:paraId="417BEE80"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Department of Health and Social Care (2025) </w:t>
      </w:r>
      <w:r w:rsidRPr="00A16948">
        <w:rPr>
          <w:rFonts w:ascii="Arial" w:eastAsia="Times New Roman" w:hAnsi="Arial" w:cs="Arial"/>
          <w:i/>
          <w:iCs/>
          <w:kern w:val="0"/>
          <w:lang w:eastAsia="en-GB"/>
          <w14:ligatures w14:val="none"/>
        </w:rPr>
        <w:t>Findings from the 2025 adult social care provider technology survey</w:t>
      </w:r>
      <w:r w:rsidRPr="00A16948">
        <w:rPr>
          <w:rFonts w:ascii="Arial" w:eastAsia="Times New Roman" w:hAnsi="Arial" w:cs="Arial"/>
          <w:kern w:val="0"/>
          <w:lang w:eastAsia="en-GB"/>
          <w14:ligatures w14:val="none"/>
        </w:rPr>
        <w:t xml:space="preserve">. London: DHSC. Available at: </w:t>
      </w:r>
      <w:hyperlink r:id="rId18" w:tgtFrame="_blank" w:history="1">
        <w:r w:rsidRPr="00A16948">
          <w:rPr>
            <w:rFonts w:ascii="Arial" w:eastAsia="Times New Roman" w:hAnsi="Arial" w:cs="Arial"/>
            <w:color w:val="0000FF"/>
            <w:kern w:val="0"/>
            <w:u w:val="single"/>
            <w:lang w:eastAsia="en-GB"/>
            <w14:ligatures w14:val="none"/>
          </w:rPr>
          <w:t>https://www.gov.uk/government/statistics/technology-use-in-adult-social-care-2025-survey-results</w:t>
        </w:r>
      </w:hyperlink>
      <w:r w:rsidRPr="00A16948">
        <w:rPr>
          <w:rFonts w:ascii="Arial" w:eastAsia="Times New Roman" w:hAnsi="Arial" w:cs="Arial"/>
          <w:kern w:val="0"/>
          <w:lang w:eastAsia="en-GB"/>
          <w14:ligatures w14:val="none"/>
        </w:rPr>
        <w:t xml:space="preserve"> (Accessed: 11 March 2026).</w:t>
      </w:r>
    </w:p>
    <w:p w14:paraId="4A796AEF"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Eccles, A. (2020) ‘Remote care technologies, older people and the social care crisis in the United Kingdom’, </w:t>
      </w:r>
      <w:r w:rsidRPr="00A16948">
        <w:rPr>
          <w:rFonts w:ascii="Arial" w:eastAsia="Times New Roman" w:hAnsi="Arial" w:cs="Arial"/>
          <w:i/>
          <w:iCs/>
          <w:kern w:val="0"/>
          <w:lang w:eastAsia="en-GB"/>
          <w14:ligatures w14:val="none"/>
        </w:rPr>
        <w:t>Ageing &amp; Society</w:t>
      </w:r>
      <w:r w:rsidRPr="00A16948">
        <w:rPr>
          <w:rFonts w:ascii="Arial" w:eastAsia="Times New Roman" w:hAnsi="Arial" w:cs="Arial"/>
          <w:kern w:val="0"/>
          <w:lang w:eastAsia="en-GB"/>
          <w14:ligatures w14:val="none"/>
        </w:rPr>
        <w:t>, 41(8), pp. 1726–1747.</w:t>
      </w:r>
    </w:p>
    <w:p w14:paraId="2F0822C6"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Eost</w:t>
      </w:r>
      <w:r w:rsidRPr="00A16948">
        <w:rPr>
          <w:rFonts w:ascii="Arial" w:eastAsia="Times New Roman" w:hAnsi="Arial" w:cs="Arial"/>
          <w:kern w:val="0"/>
          <w:lang w:eastAsia="en-GB"/>
          <w14:ligatures w14:val="none"/>
        </w:rPr>
        <w:noBreakHyphen/>
        <w:t xml:space="preserve">Telling, C., James, N., Gaughan, P. and Beechener, A. (2023) </w:t>
      </w:r>
      <w:r w:rsidRPr="00A16948">
        <w:rPr>
          <w:rFonts w:ascii="Arial" w:eastAsia="Times New Roman" w:hAnsi="Arial" w:cs="Arial"/>
          <w:i/>
          <w:iCs/>
          <w:kern w:val="0"/>
          <w:lang w:eastAsia="en-GB"/>
          <w14:ligatures w14:val="none"/>
        </w:rPr>
        <w:t>Digitalisation of health and care services for older adults: what can we learn from the COVID</w:t>
      </w:r>
      <w:r w:rsidRPr="00A16948">
        <w:rPr>
          <w:rFonts w:ascii="Arial" w:eastAsia="Times New Roman" w:hAnsi="Arial" w:cs="Arial"/>
          <w:i/>
          <w:iCs/>
          <w:kern w:val="0"/>
          <w:lang w:eastAsia="en-GB"/>
          <w14:ligatures w14:val="none"/>
        </w:rPr>
        <w:noBreakHyphen/>
        <w:t>19 pandemic</w:t>
      </w:r>
      <w:r w:rsidRPr="00A16948">
        <w:rPr>
          <w:rFonts w:ascii="Arial" w:eastAsia="Times New Roman" w:hAnsi="Arial" w:cs="Arial"/>
          <w:kern w:val="0"/>
          <w:lang w:eastAsia="en-GB"/>
          <w14:ligatures w14:val="none"/>
        </w:rPr>
        <w:t>. Manchester: NIHR Policy Research Unit.</w:t>
      </w:r>
    </w:p>
    <w:p w14:paraId="662AD880"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Fernandes, G., Guimaraes, R. and Silva, A. (2025) ‘Impact of telehealth on health outcomes in older adults: a systematic review’, </w:t>
      </w:r>
      <w:r w:rsidRPr="00A16948">
        <w:rPr>
          <w:rFonts w:ascii="Arial" w:eastAsia="Times New Roman" w:hAnsi="Arial" w:cs="Arial"/>
          <w:i/>
          <w:iCs/>
          <w:kern w:val="0"/>
          <w:lang w:eastAsia="en-GB"/>
          <w14:ligatures w14:val="none"/>
        </w:rPr>
        <w:t>Frontiers in Digital Health</w:t>
      </w:r>
      <w:r w:rsidRPr="00A16948">
        <w:rPr>
          <w:rFonts w:ascii="Arial" w:eastAsia="Times New Roman" w:hAnsi="Arial" w:cs="Arial"/>
          <w:kern w:val="0"/>
          <w:lang w:eastAsia="en-GB"/>
          <w14:ligatures w14:val="none"/>
        </w:rPr>
        <w:t>, 7, pp. 1–12.</w:t>
      </w:r>
    </w:p>
    <w:p w14:paraId="14C086C9"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lastRenderedPageBreak/>
        <w:t xml:space="preserve">Fothergill, L., Hayes, N., Latham, Y., Hamilton, J., Ahmed, S. and Holland, C. (2025) ‘Understanding how telecare supports independence’, </w:t>
      </w:r>
      <w:r w:rsidRPr="00A16948">
        <w:rPr>
          <w:rFonts w:ascii="Arial" w:eastAsia="Times New Roman" w:hAnsi="Arial" w:cs="Arial"/>
          <w:i/>
          <w:iCs/>
          <w:kern w:val="0"/>
          <w:lang w:eastAsia="en-GB"/>
          <w14:ligatures w14:val="none"/>
        </w:rPr>
        <w:t>BMC Geriatrics</w:t>
      </w:r>
      <w:r w:rsidRPr="00A16948">
        <w:rPr>
          <w:rFonts w:ascii="Arial" w:eastAsia="Times New Roman" w:hAnsi="Arial" w:cs="Arial"/>
          <w:kern w:val="0"/>
          <w:lang w:eastAsia="en-GB"/>
          <w14:ligatures w14:val="none"/>
        </w:rPr>
        <w:t>, 25(1), p. 59.</w:t>
      </w:r>
    </w:p>
    <w:p w14:paraId="38FF9028"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Greenhalgh, T., Wherton, J., Shaw, S. and Morrison, C. (2020) ‘Video consultations for covid</w:t>
      </w:r>
      <w:r w:rsidRPr="00A16948">
        <w:rPr>
          <w:rFonts w:ascii="Arial" w:eastAsia="Times New Roman" w:hAnsi="Arial" w:cs="Arial"/>
          <w:kern w:val="0"/>
          <w:lang w:eastAsia="en-GB"/>
          <w14:ligatures w14:val="none"/>
        </w:rPr>
        <w:noBreakHyphen/>
        <w:t xml:space="preserve">19’, </w:t>
      </w:r>
      <w:r w:rsidRPr="00A16948">
        <w:rPr>
          <w:rFonts w:ascii="Arial" w:eastAsia="Times New Roman" w:hAnsi="Arial" w:cs="Arial"/>
          <w:i/>
          <w:iCs/>
          <w:kern w:val="0"/>
          <w:lang w:eastAsia="en-GB"/>
          <w14:ligatures w14:val="none"/>
        </w:rPr>
        <w:t>BMJ</w:t>
      </w:r>
      <w:r w:rsidRPr="00A16948">
        <w:rPr>
          <w:rFonts w:ascii="Arial" w:eastAsia="Times New Roman" w:hAnsi="Arial" w:cs="Arial"/>
          <w:kern w:val="0"/>
          <w:lang w:eastAsia="en-GB"/>
          <w14:ligatures w14:val="none"/>
        </w:rPr>
        <w:t>, 368, m998.</w:t>
      </w:r>
    </w:p>
    <w:p w14:paraId="3F4A1EC8"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Levac, D., Colquhoun, H. and O’Brien, K. (2010) ‘Scoping studies: advancing the methodology’, </w:t>
      </w:r>
      <w:r w:rsidRPr="00A16948">
        <w:rPr>
          <w:rFonts w:ascii="Arial" w:eastAsia="Times New Roman" w:hAnsi="Arial" w:cs="Arial"/>
          <w:i/>
          <w:iCs/>
          <w:kern w:val="0"/>
          <w:lang w:eastAsia="en-GB"/>
          <w14:ligatures w14:val="none"/>
        </w:rPr>
        <w:t>Implementation Science</w:t>
      </w:r>
      <w:r w:rsidRPr="00A16948">
        <w:rPr>
          <w:rFonts w:ascii="Arial" w:eastAsia="Times New Roman" w:hAnsi="Arial" w:cs="Arial"/>
          <w:kern w:val="0"/>
          <w:lang w:eastAsia="en-GB"/>
          <w14:ligatures w14:val="none"/>
        </w:rPr>
        <w:t>, 5, p. 69.</w:t>
      </w:r>
    </w:p>
    <w:p w14:paraId="198BA6BD"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NHS England (2019) </w:t>
      </w:r>
      <w:r w:rsidRPr="00A16948">
        <w:rPr>
          <w:rFonts w:ascii="Arial" w:eastAsia="Times New Roman" w:hAnsi="Arial" w:cs="Arial"/>
          <w:i/>
          <w:iCs/>
          <w:kern w:val="0"/>
          <w:lang w:eastAsia="en-GB"/>
          <w14:ligatures w14:val="none"/>
        </w:rPr>
        <w:t>The NHS Long Term Plan</w:t>
      </w:r>
      <w:r w:rsidRPr="00A16948">
        <w:rPr>
          <w:rFonts w:ascii="Arial" w:eastAsia="Times New Roman" w:hAnsi="Arial" w:cs="Arial"/>
          <w:kern w:val="0"/>
          <w:lang w:eastAsia="en-GB"/>
          <w14:ligatures w14:val="none"/>
        </w:rPr>
        <w:t>. London: NHS England.</w:t>
      </w:r>
    </w:p>
    <w:p w14:paraId="1D887076"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NIHR HAPRU (2024) </w:t>
      </w:r>
      <w:r w:rsidRPr="00A16948">
        <w:rPr>
          <w:rFonts w:ascii="Arial" w:eastAsia="Times New Roman" w:hAnsi="Arial" w:cs="Arial"/>
          <w:i/>
          <w:iCs/>
          <w:kern w:val="0"/>
          <w:lang w:eastAsia="en-GB"/>
          <w14:ligatures w14:val="none"/>
        </w:rPr>
        <w:t>Digitalisation of health and social care services for older adults</w:t>
      </w:r>
      <w:r w:rsidRPr="00A16948">
        <w:rPr>
          <w:rFonts w:ascii="Arial" w:eastAsia="Times New Roman" w:hAnsi="Arial" w:cs="Arial"/>
          <w:kern w:val="0"/>
          <w:lang w:eastAsia="en-GB"/>
          <w14:ligatures w14:val="none"/>
        </w:rPr>
        <w:t xml:space="preserve">. London: NIHR. Available at: </w:t>
      </w:r>
      <w:hyperlink r:id="rId19" w:history="1">
        <w:r w:rsidRPr="00A16948">
          <w:rPr>
            <w:rFonts w:ascii="Arial" w:eastAsia="Times New Roman" w:hAnsi="Arial" w:cs="Arial"/>
            <w:color w:val="0000FF"/>
            <w:kern w:val="0"/>
            <w:u w:val="single"/>
            <w:lang w:eastAsia="en-GB"/>
            <w14:ligatures w14:val="none"/>
          </w:rPr>
          <w:t>https://www.hapru.nihr.ac.uk/2024/06/30/digitalisation-of-health-and-social-care-services-for-older-adults/</w:t>
        </w:r>
      </w:hyperlink>
      <w:r w:rsidRPr="00A16948">
        <w:rPr>
          <w:rFonts w:ascii="Arial" w:eastAsia="Times New Roman" w:hAnsi="Arial" w:cs="Arial"/>
          <w:kern w:val="0"/>
          <w:lang w:eastAsia="en-GB"/>
          <w14:ligatures w14:val="none"/>
        </w:rPr>
        <w:t xml:space="preserve"> (Accessed: 11 March 2026).</w:t>
      </w:r>
    </w:p>
    <w:p w14:paraId="164F2381"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Ofcom (2022) </w:t>
      </w:r>
      <w:r w:rsidRPr="00A16948">
        <w:rPr>
          <w:rFonts w:ascii="Arial" w:eastAsia="Times New Roman" w:hAnsi="Arial" w:cs="Arial"/>
          <w:i/>
          <w:iCs/>
          <w:kern w:val="0"/>
          <w:lang w:eastAsia="en-GB"/>
          <w14:ligatures w14:val="none"/>
        </w:rPr>
        <w:t>Digital exclusion: review of adults’ digital exclusion in the UK</w:t>
      </w:r>
      <w:r w:rsidRPr="00A16948">
        <w:rPr>
          <w:rFonts w:ascii="Arial" w:eastAsia="Times New Roman" w:hAnsi="Arial" w:cs="Arial"/>
          <w:kern w:val="0"/>
          <w:lang w:eastAsia="en-GB"/>
          <w14:ligatures w14:val="none"/>
        </w:rPr>
        <w:t>. London: Ofcom.</w:t>
      </w:r>
    </w:p>
    <w:p w14:paraId="7511CE06"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Office for National Statistics (2024) </w:t>
      </w:r>
      <w:r w:rsidRPr="00A16948">
        <w:rPr>
          <w:rFonts w:ascii="Arial" w:eastAsia="Times New Roman" w:hAnsi="Arial" w:cs="Arial"/>
          <w:i/>
          <w:iCs/>
          <w:kern w:val="0"/>
          <w:lang w:eastAsia="en-GB"/>
          <w14:ligatures w14:val="none"/>
        </w:rPr>
        <w:t>Population estimates for the UK, mid</w:t>
      </w:r>
      <w:r w:rsidRPr="00A16948">
        <w:rPr>
          <w:rFonts w:ascii="Arial" w:eastAsia="Times New Roman" w:hAnsi="Arial" w:cs="Arial"/>
          <w:i/>
          <w:iCs/>
          <w:kern w:val="0"/>
          <w:lang w:eastAsia="en-GB"/>
          <w14:ligatures w14:val="none"/>
        </w:rPr>
        <w:noBreakHyphen/>
        <w:t>2023</w:t>
      </w:r>
      <w:r w:rsidRPr="00A16948">
        <w:rPr>
          <w:rFonts w:ascii="Arial" w:eastAsia="Times New Roman" w:hAnsi="Arial" w:cs="Arial"/>
          <w:kern w:val="0"/>
          <w:lang w:eastAsia="en-GB"/>
          <w14:ligatures w14:val="none"/>
        </w:rPr>
        <w:t>. Newport: ONS.</w:t>
      </w:r>
    </w:p>
    <w:p w14:paraId="4719A4EE"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Park, J. (2025) ‘Telehealth and the elderly: scoping review’, </w:t>
      </w:r>
      <w:r w:rsidRPr="00A16948">
        <w:rPr>
          <w:rFonts w:ascii="Arial" w:eastAsia="Times New Roman" w:hAnsi="Arial" w:cs="Arial"/>
          <w:i/>
          <w:iCs/>
          <w:kern w:val="0"/>
          <w:lang w:eastAsia="en-GB"/>
          <w14:ligatures w14:val="none"/>
        </w:rPr>
        <w:t>International Journal of Recent Innovations in Academic Research</w:t>
      </w:r>
      <w:r w:rsidRPr="00A16948">
        <w:rPr>
          <w:rFonts w:ascii="Arial" w:eastAsia="Times New Roman" w:hAnsi="Arial" w:cs="Arial"/>
          <w:kern w:val="0"/>
          <w:lang w:eastAsia="en-GB"/>
          <w14:ligatures w14:val="none"/>
        </w:rPr>
        <w:t>, 9(2), pp. 309–322.</w:t>
      </w:r>
    </w:p>
    <w:p w14:paraId="3DD915E7"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Shaw, S., Wherton, J., Vijayaraghavan, S. and Greenhalgh, T. (2021) ‘Expanding video consultation services at pace and scale in Scotland’, </w:t>
      </w:r>
      <w:r w:rsidRPr="00A16948">
        <w:rPr>
          <w:rFonts w:ascii="Arial" w:eastAsia="Times New Roman" w:hAnsi="Arial" w:cs="Arial"/>
          <w:i/>
          <w:iCs/>
          <w:kern w:val="0"/>
          <w:lang w:eastAsia="en-GB"/>
          <w14:ligatures w14:val="none"/>
        </w:rPr>
        <w:t>Journal of Medical Internet Research</w:t>
      </w:r>
      <w:r w:rsidRPr="00A16948">
        <w:rPr>
          <w:rFonts w:ascii="Arial" w:eastAsia="Times New Roman" w:hAnsi="Arial" w:cs="Arial"/>
          <w:kern w:val="0"/>
          <w:lang w:eastAsia="en-GB"/>
          <w14:ligatures w14:val="none"/>
        </w:rPr>
        <w:t>, 23(10), e31374.</w:t>
      </w:r>
    </w:p>
    <w:p w14:paraId="4C2A17C8"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The Health Foundation (2024) </w:t>
      </w:r>
      <w:r w:rsidRPr="00A16948">
        <w:rPr>
          <w:rFonts w:ascii="Arial" w:eastAsia="Times New Roman" w:hAnsi="Arial" w:cs="Arial"/>
          <w:i/>
          <w:iCs/>
          <w:kern w:val="0"/>
          <w:lang w:eastAsia="en-GB"/>
          <w14:ligatures w14:val="none"/>
        </w:rPr>
        <w:t>Our ageing population: how ageing affects health and care need in England</w:t>
      </w:r>
      <w:r w:rsidRPr="00A16948">
        <w:rPr>
          <w:rFonts w:ascii="Arial" w:eastAsia="Times New Roman" w:hAnsi="Arial" w:cs="Arial"/>
          <w:kern w:val="0"/>
          <w:lang w:eastAsia="en-GB"/>
          <w14:ligatures w14:val="none"/>
        </w:rPr>
        <w:t xml:space="preserve">. London: The Health Foundation. Available at: </w:t>
      </w:r>
      <w:hyperlink r:id="rId20" w:tgtFrame="_blank" w:history="1">
        <w:r w:rsidRPr="00A16948">
          <w:rPr>
            <w:rFonts w:ascii="Arial" w:eastAsia="Times New Roman" w:hAnsi="Arial" w:cs="Arial"/>
            <w:color w:val="0000FF"/>
            <w:kern w:val="0"/>
            <w:u w:val="single"/>
            <w:lang w:eastAsia="en-GB"/>
            <w14:ligatures w14:val="none"/>
          </w:rPr>
          <w:t>https://www.health.org.uk/reports-and-analysis/reports/our-ageing-population</w:t>
        </w:r>
      </w:hyperlink>
      <w:r w:rsidRPr="00A16948">
        <w:rPr>
          <w:rFonts w:ascii="Arial" w:eastAsia="Times New Roman" w:hAnsi="Arial" w:cs="Arial"/>
          <w:kern w:val="0"/>
          <w:lang w:eastAsia="en-GB"/>
          <w14:ligatures w14:val="none"/>
        </w:rPr>
        <w:t xml:space="preserve"> (Accessed: 11 March 2026).</w:t>
      </w:r>
    </w:p>
    <w:p w14:paraId="05DF3DD5"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The King’s Fund (2025) </w:t>
      </w:r>
      <w:r w:rsidRPr="00A16948">
        <w:rPr>
          <w:rFonts w:ascii="Arial" w:eastAsia="Times New Roman" w:hAnsi="Arial" w:cs="Arial"/>
          <w:i/>
          <w:iCs/>
          <w:kern w:val="0"/>
          <w:lang w:eastAsia="en-GB"/>
          <w14:ligatures w14:val="none"/>
        </w:rPr>
        <w:t>The health and care outlook for 2025</w:t>
      </w:r>
      <w:r w:rsidRPr="00A16948">
        <w:rPr>
          <w:rFonts w:ascii="Arial" w:eastAsia="Times New Roman" w:hAnsi="Arial" w:cs="Arial"/>
          <w:kern w:val="0"/>
          <w:lang w:eastAsia="en-GB"/>
          <w14:ligatures w14:val="none"/>
        </w:rPr>
        <w:t xml:space="preserve">. London: The King’s Fund. Available at: </w:t>
      </w:r>
      <w:hyperlink r:id="rId21" w:tgtFrame="_blank" w:history="1">
        <w:r w:rsidRPr="00A16948">
          <w:rPr>
            <w:rFonts w:ascii="Arial" w:eastAsia="Times New Roman" w:hAnsi="Arial" w:cs="Arial"/>
            <w:color w:val="0000FF"/>
            <w:kern w:val="0"/>
            <w:u w:val="single"/>
            <w:lang w:eastAsia="en-GB"/>
            <w14:ligatures w14:val="none"/>
          </w:rPr>
          <w:t>https://www.kingsfund.org.uk/insight-and-analysis/blogs/health-care-outlook-2025</w:t>
        </w:r>
      </w:hyperlink>
      <w:r w:rsidRPr="00A16948">
        <w:rPr>
          <w:rFonts w:ascii="Arial" w:eastAsia="Times New Roman" w:hAnsi="Arial" w:cs="Arial"/>
          <w:kern w:val="0"/>
          <w:lang w:eastAsia="en-GB"/>
          <w14:ligatures w14:val="none"/>
        </w:rPr>
        <w:t xml:space="preserve"> (Accessed: 11 March 2026).</w:t>
      </w:r>
    </w:p>
    <w:p w14:paraId="6053D69D"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t xml:space="preserve">Tricco, A.C., Lillie, E., Zarin, W., O’Brien, K.K., Colquhoun, H., Levac, D. and Moher, D. (2018) ‘PRISMA-ScR: checklist and explanation’, </w:t>
      </w:r>
      <w:r w:rsidRPr="00A16948">
        <w:rPr>
          <w:rFonts w:ascii="Arial" w:eastAsia="Times New Roman" w:hAnsi="Arial" w:cs="Arial"/>
          <w:i/>
          <w:iCs/>
          <w:kern w:val="0"/>
          <w:lang w:eastAsia="en-GB"/>
          <w14:ligatures w14:val="none"/>
        </w:rPr>
        <w:t>Annals of Internal Medicine</w:t>
      </w:r>
      <w:r w:rsidRPr="00A16948">
        <w:rPr>
          <w:rFonts w:ascii="Arial" w:eastAsia="Times New Roman" w:hAnsi="Arial" w:cs="Arial"/>
          <w:kern w:val="0"/>
          <w:lang w:eastAsia="en-GB"/>
          <w14:ligatures w14:val="none"/>
        </w:rPr>
        <w:t xml:space="preserve">, 169(7), pp. 467–473. Available at: </w:t>
      </w:r>
      <w:hyperlink r:id="rId22" w:tgtFrame="_blank" w:history="1">
        <w:r w:rsidRPr="00A16948">
          <w:rPr>
            <w:rFonts w:ascii="Arial" w:eastAsia="Times New Roman" w:hAnsi="Arial" w:cs="Arial"/>
            <w:color w:val="0000FF"/>
            <w:kern w:val="0"/>
            <w:u w:val="single"/>
            <w:lang w:eastAsia="en-GB"/>
            <w14:ligatures w14:val="none"/>
          </w:rPr>
          <w:t>https://doi.org/10.7326/M18-0850</w:t>
        </w:r>
      </w:hyperlink>
      <w:r w:rsidRPr="00A16948">
        <w:rPr>
          <w:rFonts w:ascii="Arial" w:eastAsia="Times New Roman" w:hAnsi="Arial" w:cs="Arial"/>
          <w:kern w:val="0"/>
          <w:lang w:eastAsia="en-GB"/>
          <w14:ligatures w14:val="none"/>
        </w:rPr>
        <w:t xml:space="preserve"> (Accessed: 11 March 2026).</w:t>
      </w:r>
    </w:p>
    <w:p w14:paraId="0B5D34C2" w14:textId="77777777" w:rsidR="00A16948" w:rsidRPr="00A16948" w:rsidRDefault="00A16948" w:rsidP="00A16948">
      <w:pPr>
        <w:spacing w:before="100" w:beforeAutospacing="1" w:after="100" w:afterAutospacing="1" w:line="360" w:lineRule="auto"/>
        <w:rPr>
          <w:rFonts w:ascii="Arial" w:eastAsia="Times New Roman" w:hAnsi="Arial" w:cs="Arial"/>
          <w:kern w:val="0"/>
          <w:lang w:eastAsia="en-GB"/>
          <w14:ligatures w14:val="none"/>
        </w:rPr>
      </w:pPr>
      <w:r w:rsidRPr="00A16948">
        <w:rPr>
          <w:rFonts w:ascii="Arial" w:eastAsia="Times New Roman" w:hAnsi="Arial" w:cs="Arial"/>
          <w:kern w:val="0"/>
          <w:lang w:eastAsia="en-GB"/>
          <w14:ligatures w14:val="none"/>
        </w:rPr>
        <w:lastRenderedPageBreak/>
        <w:t xml:space="preserve">World Health Organization (2022) </w:t>
      </w:r>
      <w:r w:rsidRPr="00A16948">
        <w:rPr>
          <w:rFonts w:ascii="Arial" w:eastAsia="Times New Roman" w:hAnsi="Arial" w:cs="Arial"/>
          <w:i/>
          <w:iCs/>
          <w:kern w:val="0"/>
          <w:lang w:eastAsia="en-GB"/>
          <w14:ligatures w14:val="none"/>
        </w:rPr>
        <w:t>Consolidated telemedicine implementation guide</w:t>
      </w:r>
      <w:r w:rsidRPr="00A16948">
        <w:rPr>
          <w:rFonts w:ascii="Arial" w:eastAsia="Times New Roman" w:hAnsi="Arial" w:cs="Arial"/>
          <w:kern w:val="0"/>
          <w:lang w:eastAsia="en-GB"/>
          <w14:ligatures w14:val="none"/>
        </w:rPr>
        <w:t>. Geneva: WHO.</w:t>
      </w:r>
    </w:p>
    <w:p w14:paraId="6702AD6A" w14:textId="77777777" w:rsidR="00A16948" w:rsidRPr="005E3B11" w:rsidRDefault="00A16948" w:rsidP="00FC1A10">
      <w:pPr>
        <w:spacing w:line="360" w:lineRule="auto"/>
        <w:jc w:val="both"/>
        <w:rPr>
          <w:rFonts w:ascii="Arial" w:hAnsi="Arial" w:cs="Arial"/>
          <w:lang w:eastAsia="en-GB"/>
        </w:rPr>
      </w:pPr>
    </w:p>
    <w:p w14:paraId="6727CBCD" w14:textId="77777777" w:rsidR="00331DE8" w:rsidRPr="00331DE8" w:rsidRDefault="00331DE8" w:rsidP="00331DE8"/>
    <w:sectPr w:rsidR="00331DE8" w:rsidRPr="00331D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DFB37" w14:textId="77777777" w:rsidR="00F716C7" w:rsidRDefault="00F716C7" w:rsidP="005F3EB5">
      <w:pPr>
        <w:spacing w:after="0" w:line="240" w:lineRule="auto"/>
      </w:pPr>
      <w:r>
        <w:separator/>
      </w:r>
    </w:p>
  </w:endnote>
  <w:endnote w:type="continuationSeparator" w:id="0">
    <w:p w14:paraId="22AF44F4" w14:textId="77777777" w:rsidR="00F716C7" w:rsidRDefault="00F716C7" w:rsidP="005F3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937B3" w14:textId="77777777" w:rsidR="0026362F" w:rsidRDefault="002636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148623"/>
      <w:docPartObj>
        <w:docPartGallery w:val="Page Numbers (Bottom of Page)"/>
        <w:docPartUnique/>
      </w:docPartObj>
    </w:sdtPr>
    <w:sdtEndPr/>
    <w:sdtContent>
      <w:p w14:paraId="158EC8AB" w14:textId="7ADAB065" w:rsidR="0026362F" w:rsidRDefault="00F716C7">
        <w:pPr>
          <w:pStyle w:val="Footer"/>
          <w:jc w:val="center"/>
        </w:pPr>
      </w:p>
    </w:sdtContent>
  </w:sdt>
  <w:p w14:paraId="745B6918" w14:textId="77777777" w:rsidR="0026362F" w:rsidRDefault="002636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6F26B" w14:textId="77777777" w:rsidR="0026362F" w:rsidRDefault="0026362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808233"/>
      <w:docPartObj>
        <w:docPartGallery w:val="Page Numbers (Bottom of Page)"/>
        <w:docPartUnique/>
      </w:docPartObj>
    </w:sdtPr>
    <w:sdtEndPr/>
    <w:sdtContent>
      <w:p w14:paraId="19F2C132" w14:textId="77777777" w:rsidR="0026362F" w:rsidRDefault="0026362F">
        <w:pPr>
          <w:pStyle w:val="Footer"/>
          <w:jc w:val="center"/>
        </w:pPr>
        <w:r>
          <w:fldChar w:fldCharType="begin"/>
        </w:r>
        <w:r>
          <w:instrText>PAGE   \* MERGEFORMAT</w:instrText>
        </w:r>
        <w:r>
          <w:fldChar w:fldCharType="separate"/>
        </w:r>
        <w:r>
          <w:t>2</w:t>
        </w:r>
        <w:r>
          <w:fldChar w:fldCharType="end"/>
        </w:r>
      </w:p>
    </w:sdtContent>
  </w:sdt>
  <w:p w14:paraId="10EA5EFA" w14:textId="77777777" w:rsidR="0026362F" w:rsidRDefault="00263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5CF08" w14:textId="77777777" w:rsidR="00F716C7" w:rsidRDefault="00F716C7" w:rsidP="005F3EB5">
      <w:pPr>
        <w:spacing w:after="0" w:line="240" w:lineRule="auto"/>
      </w:pPr>
      <w:r>
        <w:separator/>
      </w:r>
    </w:p>
  </w:footnote>
  <w:footnote w:type="continuationSeparator" w:id="0">
    <w:p w14:paraId="727A4BAA" w14:textId="77777777" w:rsidR="00F716C7" w:rsidRDefault="00F716C7" w:rsidP="005F3E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2B625" w14:textId="77777777" w:rsidR="0026362F" w:rsidRDefault="002636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D9433" w14:textId="77777777" w:rsidR="0026362F" w:rsidRDefault="002636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2F259" w14:textId="77777777" w:rsidR="0026362F" w:rsidRDefault="0026362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937DF" w14:textId="77777777" w:rsidR="0026362F" w:rsidRDefault="002636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F462E5"/>
    <w:multiLevelType w:val="hybridMultilevel"/>
    <w:tmpl w:val="3A5EB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35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32"/>
    <w:rsid w:val="00024B2B"/>
    <w:rsid w:val="0004384E"/>
    <w:rsid w:val="00053825"/>
    <w:rsid w:val="000B5D0A"/>
    <w:rsid w:val="000B66B3"/>
    <w:rsid w:val="000E020E"/>
    <w:rsid w:val="000E34F4"/>
    <w:rsid w:val="00154D69"/>
    <w:rsid w:val="00156367"/>
    <w:rsid w:val="00167B68"/>
    <w:rsid w:val="001812E1"/>
    <w:rsid w:val="001C4EC8"/>
    <w:rsid w:val="00207CEA"/>
    <w:rsid w:val="0026362F"/>
    <w:rsid w:val="00263B09"/>
    <w:rsid w:val="00274DB1"/>
    <w:rsid w:val="002E2B64"/>
    <w:rsid w:val="00313CB7"/>
    <w:rsid w:val="003146C6"/>
    <w:rsid w:val="00331DE8"/>
    <w:rsid w:val="003363FB"/>
    <w:rsid w:val="00341889"/>
    <w:rsid w:val="00342EA5"/>
    <w:rsid w:val="00375834"/>
    <w:rsid w:val="003B2D78"/>
    <w:rsid w:val="003C564C"/>
    <w:rsid w:val="003D2821"/>
    <w:rsid w:val="003E5A16"/>
    <w:rsid w:val="0043024E"/>
    <w:rsid w:val="00455DC2"/>
    <w:rsid w:val="004C268E"/>
    <w:rsid w:val="00541A1F"/>
    <w:rsid w:val="00575690"/>
    <w:rsid w:val="005A24A2"/>
    <w:rsid w:val="005E3B11"/>
    <w:rsid w:val="005F3EB5"/>
    <w:rsid w:val="00635BAA"/>
    <w:rsid w:val="00677A38"/>
    <w:rsid w:val="00687F83"/>
    <w:rsid w:val="006B0A09"/>
    <w:rsid w:val="006B2B40"/>
    <w:rsid w:val="006B4459"/>
    <w:rsid w:val="006B7702"/>
    <w:rsid w:val="006C4B73"/>
    <w:rsid w:val="0074716C"/>
    <w:rsid w:val="00776469"/>
    <w:rsid w:val="007A081C"/>
    <w:rsid w:val="007C2844"/>
    <w:rsid w:val="007E159D"/>
    <w:rsid w:val="008328A6"/>
    <w:rsid w:val="008759C3"/>
    <w:rsid w:val="008838FD"/>
    <w:rsid w:val="008850CD"/>
    <w:rsid w:val="008912FD"/>
    <w:rsid w:val="00891E96"/>
    <w:rsid w:val="00894737"/>
    <w:rsid w:val="008B5AF4"/>
    <w:rsid w:val="008B7F21"/>
    <w:rsid w:val="008D2652"/>
    <w:rsid w:val="008D791E"/>
    <w:rsid w:val="008E7EEB"/>
    <w:rsid w:val="008F2BBF"/>
    <w:rsid w:val="009171DC"/>
    <w:rsid w:val="00972158"/>
    <w:rsid w:val="00993614"/>
    <w:rsid w:val="009F218E"/>
    <w:rsid w:val="00A16948"/>
    <w:rsid w:val="00A40704"/>
    <w:rsid w:val="00A60032"/>
    <w:rsid w:val="00AC0113"/>
    <w:rsid w:val="00AC5E99"/>
    <w:rsid w:val="00AE554C"/>
    <w:rsid w:val="00AF1F93"/>
    <w:rsid w:val="00B57234"/>
    <w:rsid w:val="00BA482C"/>
    <w:rsid w:val="00C55CD8"/>
    <w:rsid w:val="00C61ECD"/>
    <w:rsid w:val="00C66F19"/>
    <w:rsid w:val="00CE4F74"/>
    <w:rsid w:val="00CF697D"/>
    <w:rsid w:val="00D16FDB"/>
    <w:rsid w:val="00D35547"/>
    <w:rsid w:val="00D35795"/>
    <w:rsid w:val="00D45B12"/>
    <w:rsid w:val="00D93480"/>
    <w:rsid w:val="00DA6CE3"/>
    <w:rsid w:val="00DB2315"/>
    <w:rsid w:val="00DF32AC"/>
    <w:rsid w:val="00E02701"/>
    <w:rsid w:val="00E05A99"/>
    <w:rsid w:val="00E358F5"/>
    <w:rsid w:val="00E41985"/>
    <w:rsid w:val="00E55AC8"/>
    <w:rsid w:val="00E57BB2"/>
    <w:rsid w:val="00E62201"/>
    <w:rsid w:val="00EF7493"/>
    <w:rsid w:val="00F20164"/>
    <w:rsid w:val="00F574A2"/>
    <w:rsid w:val="00F716C7"/>
    <w:rsid w:val="00FC1A10"/>
    <w:rsid w:val="00FD2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AE89F"/>
  <w15:chartTrackingRefBased/>
  <w15:docId w15:val="{DBAC8EDB-E443-4C08-B9B2-659A8C1AE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0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0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0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0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0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0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0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0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0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0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0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0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0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0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032"/>
    <w:rPr>
      <w:rFonts w:eastAsiaTheme="majorEastAsia" w:cstheme="majorBidi"/>
      <w:color w:val="272727" w:themeColor="text1" w:themeTint="D8"/>
    </w:rPr>
  </w:style>
  <w:style w:type="paragraph" w:styleId="Title">
    <w:name w:val="Title"/>
    <w:basedOn w:val="Normal"/>
    <w:next w:val="Normal"/>
    <w:link w:val="TitleChar"/>
    <w:uiPriority w:val="10"/>
    <w:qFormat/>
    <w:rsid w:val="00A600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0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0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032"/>
    <w:pPr>
      <w:spacing w:before="160"/>
      <w:jc w:val="center"/>
    </w:pPr>
    <w:rPr>
      <w:i/>
      <w:iCs/>
      <w:color w:val="404040" w:themeColor="text1" w:themeTint="BF"/>
    </w:rPr>
  </w:style>
  <w:style w:type="character" w:customStyle="1" w:styleId="QuoteChar">
    <w:name w:val="Quote Char"/>
    <w:basedOn w:val="DefaultParagraphFont"/>
    <w:link w:val="Quote"/>
    <w:uiPriority w:val="29"/>
    <w:rsid w:val="00A60032"/>
    <w:rPr>
      <w:i/>
      <w:iCs/>
      <w:color w:val="404040" w:themeColor="text1" w:themeTint="BF"/>
    </w:rPr>
  </w:style>
  <w:style w:type="paragraph" w:styleId="ListParagraph">
    <w:name w:val="List Paragraph"/>
    <w:basedOn w:val="Normal"/>
    <w:uiPriority w:val="34"/>
    <w:qFormat/>
    <w:rsid w:val="00A60032"/>
    <w:pPr>
      <w:ind w:left="720"/>
      <w:contextualSpacing/>
    </w:pPr>
  </w:style>
  <w:style w:type="character" w:styleId="IntenseEmphasis">
    <w:name w:val="Intense Emphasis"/>
    <w:basedOn w:val="DefaultParagraphFont"/>
    <w:uiPriority w:val="21"/>
    <w:qFormat/>
    <w:rsid w:val="00A60032"/>
    <w:rPr>
      <w:i/>
      <w:iCs/>
      <w:color w:val="0F4761" w:themeColor="accent1" w:themeShade="BF"/>
    </w:rPr>
  </w:style>
  <w:style w:type="paragraph" w:styleId="IntenseQuote">
    <w:name w:val="Intense Quote"/>
    <w:basedOn w:val="Normal"/>
    <w:next w:val="Normal"/>
    <w:link w:val="IntenseQuoteChar"/>
    <w:uiPriority w:val="30"/>
    <w:qFormat/>
    <w:rsid w:val="00A600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032"/>
    <w:rPr>
      <w:i/>
      <w:iCs/>
      <w:color w:val="0F4761" w:themeColor="accent1" w:themeShade="BF"/>
    </w:rPr>
  </w:style>
  <w:style w:type="character" w:styleId="IntenseReference">
    <w:name w:val="Intense Reference"/>
    <w:basedOn w:val="DefaultParagraphFont"/>
    <w:uiPriority w:val="32"/>
    <w:qFormat/>
    <w:rsid w:val="00A60032"/>
    <w:rPr>
      <w:b/>
      <w:bCs/>
      <w:smallCaps/>
      <w:color w:val="0F4761" w:themeColor="accent1" w:themeShade="BF"/>
      <w:spacing w:val="5"/>
    </w:rPr>
  </w:style>
  <w:style w:type="paragraph" w:styleId="NormalWeb">
    <w:name w:val="Normal (Web)"/>
    <w:basedOn w:val="Normal"/>
    <w:uiPriority w:val="99"/>
    <w:semiHidden/>
    <w:unhideWhenUsed/>
    <w:rsid w:val="006B77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156">
    <w:name w:val="citation-156"/>
    <w:basedOn w:val="DefaultParagraphFont"/>
    <w:rsid w:val="006B7702"/>
  </w:style>
  <w:style w:type="character" w:customStyle="1" w:styleId="citation-155">
    <w:name w:val="citation-155"/>
    <w:basedOn w:val="DefaultParagraphFont"/>
    <w:rsid w:val="006B7702"/>
  </w:style>
  <w:style w:type="character" w:customStyle="1" w:styleId="citation-154">
    <w:name w:val="citation-154"/>
    <w:basedOn w:val="DefaultParagraphFont"/>
    <w:rsid w:val="006B7702"/>
  </w:style>
  <w:style w:type="character" w:customStyle="1" w:styleId="citation-153">
    <w:name w:val="citation-153"/>
    <w:basedOn w:val="DefaultParagraphFont"/>
    <w:rsid w:val="006B7702"/>
  </w:style>
  <w:style w:type="character" w:customStyle="1" w:styleId="citation-152">
    <w:name w:val="citation-152"/>
    <w:basedOn w:val="DefaultParagraphFont"/>
    <w:rsid w:val="006B7702"/>
  </w:style>
  <w:style w:type="character" w:customStyle="1" w:styleId="citation-151">
    <w:name w:val="citation-151"/>
    <w:basedOn w:val="DefaultParagraphFont"/>
    <w:rsid w:val="006B7702"/>
  </w:style>
  <w:style w:type="character" w:customStyle="1" w:styleId="citation-150">
    <w:name w:val="citation-150"/>
    <w:basedOn w:val="DefaultParagraphFont"/>
    <w:rsid w:val="006B7702"/>
  </w:style>
  <w:style w:type="character" w:customStyle="1" w:styleId="citation-149">
    <w:name w:val="citation-149"/>
    <w:basedOn w:val="DefaultParagraphFont"/>
    <w:rsid w:val="006B7702"/>
  </w:style>
  <w:style w:type="character" w:customStyle="1" w:styleId="citation-148">
    <w:name w:val="citation-148"/>
    <w:basedOn w:val="DefaultParagraphFont"/>
    <w:rsid w:val="006B7702"/>
  </w:style>
  <w:style w:type="character" w:customStyle="1" w:styleId="citation-147">
    <w:name w:val="citation-147"/>
    <w:basedOn w:val="DefaultParagraphFont"/>
    <w:rsid w:val="006B7702"/>
  </w:style>
  <w:style w:type="character" w:customStyle="1" w:styleId="citation-146">
    <w:name w:val="citation-146"/>
    <w:basedOn w:val="DefaultParagraphFont"/>
    <w:rsid w:val="006B7702"/>
  </w:style>
  <w:style w:type="character" w:customStyle="1" w:styleId="citation-145">
    <w:name w:val="citation-145"/>
    <w:basedOn w:val="DefaultParagraphFont"/>
    <w:rsid w:val="006B7702"/>
  </w:style>
  <w:style w:type="character" w:customStyle="1" w:styleId="citation-144">
    <w:name w:val="citation-144"/>
    <w:basedOn w:val="DefaultParagraphFont"/>
    <w:rsid w:val="006B7702"/>
  </w:style>
  <w:style w:type="paragraph" w:styleId="Header">
    <w:name w:val="header"/>
    <w:basedOn w:val="Normal"/>
    <w:link w:val="HeaderChar"/>
    <w:uiPriority w:val="99"/>
    <w:unhideWhenUsed/>
    <w:rsid w:val="005F3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EB5"/>
  </w:style>
  <w:style w:type="paragraph" w:styleId="Footer">
    <w:name w:val="footer"/>
    <w:basedOn w:val="Normal"/>
    <w:link w:val="FooterChar"/>
    <w:uiPriority w:val="99"/>
    <w:unhideWhenUsed/>
    <w:rsid w:val="005F3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EB5"/>
  </w:style>
  <w:style w:type="table" w:styleId="TableGrid">
    <w:name w:val="Table Grid"/>
    <w:basedOn w:val="TableNormal"/>
    <w:uiPriority w:val="59"/>
    <w:rsid w:val="008838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ation-374">
    <w:name w:val="citation-374"/>
    <w:basedOn w:val="DefaultParagraphFont"/>
    <w:rsid w:val="008838FD"/>
  </w:style>
  <w:style w:type="character" w:customStyle="1" w:styleId="citation-373">
    <w:name w:val="citation-373"/>
    <w:basedOn w:val="DefaultParagraphFont"/>
    <w:rsid w:val="008838FD"/>
  </w:style>
  <w:style w:type="character" w:customStyle="1" w:styleId="citation-372">
    <w:name w:val="citation-372"/>
    <w:basedOn w:val="DefaultParagraphFont"/>
    <w:rsid w:val="008838FD"/>
  </w:style>
  <w:style w:type="character" w:customStyle="1" w:styleId="citation-371">
    <w:name w:val="citation-371"/>
    <w:basedOn w:val="DefaultParagraphFont"/>
    <w:rsid w:val="008838FD"/>
  </w:style>
  <w:style w:type="character" w:customStyle="1" w:styleId="citation-366">
    <w:name w:val="citation-366"/>
    <w:basedOn w:val="DefaultParagraphFont"/>
    <w:rsid w:val="00883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hyperlink" Target="https://www.gov.uk/government/statistics/technology-use-in-adult-social-care-2025-survey-results" TargetMode="External"/><Relationship Id="rId3" Type="http://schemas.openxmlformats.org/officeDocument/2006/relationships/settings" Target="settings.xml"/><Relationship Id="rId21" Type="http://schemas.openxmlformats.org/officeDocument/2006/relationships/hyperlink" Target="https://www.kingsfund.org.uk/insight-and-analysis/blogs/health-care-outlook-2025"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gov.uk/government/publications/people-at-the-heart-of-care-adult-social-care-reform-white-paper" TargetMode="External"/><Relationship Id="rId2" Type="http://schemas.openxmlformats.org/officeDocument/2006/relationships/styles" Target="styles.xml"/><Relationship Id="rId16" Type="http://schemas.openxmlformats.org/officeDocument/2006/relationships/hyperlink" Target="https://formative.jmir.org/2024/1/e57580" TargetMode="External"/><Relationship Id="rId20" Type="http://schemas.openxmlformats.org/officeDocument/2006/relationships/hyperlink" Target="https://www.health.org.uk/reports-and-analysis/reports/our-ageing-popul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geuk.org.uk/our-impact/policy-research/policy-positions/"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hapru.nihr.ac.uk/2024/06/30/digitalisation-of-health-and-social-care-services-for-older-adult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hyperlink" Target="https://doi.org/10.7326/M18-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00cb1474-a534-468d-829f-636ece32c24c}" enabled="0" method="" siteId="{00cb1474-a534-468d-829f-636ece32c24c}" removed="1"/>
</clbl:labelList>
</file>

<file path=docProps/app.xml><?xml version="1.0" encoding="utf-8"?>
<Properties xmlns="http://schemas.openxmlformats.org/officeDocument/2006/extended-properties" xmlns:vt="http://schemas.openxmlformats.org/officeDocument/2006/docPropsVTypes">
  <Template>Normal</Template>
  <TotalTime>1</TotalTime>
  <Pages>16</Pages>
  <Words>5088</Words>
  <Characters>29002</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muhammad</dc:creator>
  <cp:keywords/>
  <dc:description/>
  <cp:lastModifiedBy>musa muhammad</cp:lastModifiedBy>
  <cp:revision>2</cp:revision>
  <dcterms:created xsi:type="dcterms:W3CDTF">2026-03-23T10:54:00Z</dcterms:created>
  <dcterms:modified xsi:type="dcterms:W3CDTF">2026-03-23T10:54:00Z</dcterms:modified>
</cp:coreProperties>
</file>