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1BFE24" w14:textId="7761C476" w:rsidR="007C5313" w:rsidRDefault="007C5313" w:rsidP="007C5313">
      <w:r>
        <w:rPr>
          <w:noProof/>
          <w:sz w:val="20"/>
        </w:rPr>
        <w:drawing>
          <wp:inline distT="0" distB="0" distL="0" distR="0" wp14:anchorId="7CBADCFF" wp14:editId="27BD25D7">
            <wp:extent cx="1801182" cy="594074"/>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1182" cy="594074"/>
                    </a:xfrm>
                    <a:prstGeom prst="rect">
                      <a:avLst/>
                    </a:prstGeom>
                  </pic:spPr>
                </pic:pic>
              </a:graphicData>
            </a:graphic>
          </wp:inline>
        </w:drawing>
      </w:r>
    </w:p>
    <w:tbl>
      <w:tblPr>
        <w:tblW w:w="994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311"/>
        <w:gridCol w:w="2271"/>
        <w:gridCol w:w="2271"/>
      </w:tblGrid>
      <w:tr w:rsidR="007C5313" w14:paraId="274210ED" w14:textId="77777777" w:rsidTr="007C5313">
        <w:trPr>
          <w:trHeight w:val="495"/>
        </w:trPr>
        <w:tc>
          <w:tcPr>
            <w:tcW w:w="2096" w:type="dxa"/>
            <w:shd w:val="clear" w:color="auto" w:fill="D9D9D9"/>
          </w:tcPr>
          <w:p w14:paraId="76A6BC1E" w14:textId="77777777" w:rsidR="007C5313" w:rsidRDefault="007C5313" w:rsidP="00381EBF">
            <w:pPr>
              <w:pStyle w:val="TableParagraph"/>
              <w:spacing w:before="123"/>
              <w:rPr>
                <w:rFonts w:ascii="Arial"/>
                <w:b/>
              </w:rPr>
            </w:pPr>
            <w:r>
              <w:rPr>
                <w:rFonts w:ascii="Arial"/>
                <w:b/>
              </w:rPr>
              <w:t xml:space="preserve">Student </w:t>
            </w:r>
            <w:r>
              <w:rPr>
                <w:rFonts w:ascii="Arial"/>
                <w:b/>
                <w:spacing w:val="-4"/>
              </w:rPr>
              <w:t>name:</w:t>
            </w:r>
          </w:p>
        </w:tc>
        <w:tc>
          <w:tcPr>
            <w:tcW w:w="3311" w:type="dxa"/>
          </w:tcPr>
          <w:p w14:paraId="758BCC99" w14:textId="481BAE3E" w:rsidR="00E727A4" w:rsidRPr="00E727A4" w:rsidRDefault="00E727A4" w:rsidP="00381EBF">
            <w:pPr>
              <w:pStyle w:val="TableParagraph"/>
              <w:ind w:left="0"/>
              <w:rPr>
                <w:rFonts w:ascii="Times New Roman"/>
                <w:b/>
                <w:bCs/>
              </w:rPr>
            </w:pPr>
            <w:r>
              <w:rPr>
                <w:rFonts w:ascii="Times New Roman"/>
                <w:b/>
                <w:bCs/>
              </w:rPr>
              <w:t xml:space="preserve">Sabbir Ahmed </w:t>
            </w:r>
          </w:p>
        </w:tc>
        <w:tc>
          <w:tcPr>
            <w:tcW w:w="2271" w:type="dxa"/>
            <w:shd w:val="clear" w:color="auto" w:fill="D9D9D9"/>
          </w:tcPr>
          <w:p w14:paraId="0F34F39C" w14:textId="77777777" w:rsidR="007C5313" w:rsidRDefault="007C5313" w:rsidP="00381EBF">
            <w:pPr>
              <w:pStyle w:val="TableParagraph"/>
              <w:spacing w:before="123"/>
              <w:rPr>
                <w:rFonts w:ascii="Arial"/>
                <w:b/>
              </w:rPr>
            </w:pPr>
            <w:r>
              <w:rPr>
                <w:rFonts w:ascii="Arial"/>
                <w:b/>
              </w:rPr>
              <w:t>Student ID</w:t>
            </w:r>
            <w:r>
              <w:rPr>
                <w:rFonts w:ascii="Arial"/>
                <w:b/>
                <w:spacing w:val="1"/>
              </w:rPr>
              <w:t xml:space="preserve"> </w:t>
            </w:r>
            <w:r>
              <w:rPr>
                <w:rFonts w:ascii="Arial"/>
                <w:b/>
                <w:spacing w:val="-2"/>
              </w:rPr>
              <w:t>number:</w:t>
            </w:r>
          </w:p>
        </w:tc>
        <w:tc>
          <w:tcPr>
            <w:tcW w:w="2271" w:type="dxa"/>
          </w:tcPr>
          <w:p w14:paraId="7D725C0B" w14:textId="3CB719DA" w:rsidR="007C5313" w:rsidRPr="00917A98" w:rsidRDefault="00C4333D" w:rsidP="00381EBF">
            <w:pPr>
              <w:pStyle w:val="TableParagraph"/>
              <w:ind w:left="0"/>
              <w:rPr>
                <w:rFonts w:ascii="Times New Roman"/>
              </w:rPr>
            </w:pPr>
            <w:r>
              <w:rPr>
                <w:rFonts w:ascii="Times New Roman"/>
                <w:b/>
                <w:bCs/>
              </w:rPr>
              <w:t>2435269</w:t>
            </w:r>
          </w:p>
        </w:tc>
      </w:tr>
      <w:tr w:rsidR="007C5313" w14:paraId="4133EEEE" w14:textId="77777777" w:rsidTr="007C5313">
        <w:trPr>
          <w:trHeight w:val="490"/>
        </w:trPr>
        <w:tc>
          <w:tcPr>
            <w:tcW w:w="2096" w:type="dxa"/>
            <w:shd w:val="clear" w:color="auto" w:fill="D9D9D9"/>
          </w:tcPr>
          <w:p w14:paraId="2C90228D" w14:textId="77777777" w:rsidR="007C5313" w:rsidRDefault="007C5313" w:rsidP="00381EBF">
            <w:pPr>
              <w:pStyle w:val="TableParagraph"/>
              <w:spacing w:before="124"/>
              <w:rPr>
                <w:rFonts w:ascii="Arial"/>
                <w:b/>
              </w:rPr>
            </w:pPr>
            <w:r>
              <w:rPr>
                <w:rFonts w:ascii="Arial"/>
                <w:b/>
                <w:spacing w:val="-2"/>
              </w:rPr>
              <w:t>Programme:</w:t>
            </w:r>
          </w:p>
        </w:tc>
        <w:tc>
          <w:tcPr>
            <w:tcW w:w="7853" w:type="dxa"/>
            <w:gridSpan w:val="3"/>
          </w:tcPr>
          <w:p w14:paraId="308A3585" w14:textId="77777777" w:rsidR="007C5313" w:rsidRDefault="007C5313" w:rsidP="00381EBF">
            <w:pPr>
              <w:pStyle w:val="TableParagraph"/>
              <w:spacing w:before="124"/>
              <w:rPr>
                <w:rFonts w:ascii="Arial"/>
                <w:b/>
              </w:rPr>
            </w:pPr>
            <w:r>
              <w:rPr>
                <w:rFonts w:ascii="Arial"/>
                <w:b/>
              </w:rPr>
              <w:t>BSc</w:t>
            </w:r>
            <w:r>
              <w:rPr>
                <w:rFonts w:ascii="Arial"/>
                <w:b/>
                <w:spacing w:val="-2"/>
              </w:rPr>
              <w:t xml:space="preserve"> </w:t>
            </w:r>
            <w:r>
              <w:rPr>
                <w:rFonts w:ascii="Arial"/>
                <w:b/>
              </w:rPr>
              <w:t>Health</w:t>
            </w:r>
            <w:r>
              <w:rPr>
                <w:rFonts w:ascii="Arial"/>
                <w:b/>
                <w:spacing w:val="-2"/>
              </w:rPr>
              <w:t xml:space="preserve"> </w:t>
            </w:r>
            <w:r>
              <w:rPr>
                <w:rFonts w:ascii="Arial"/>
                <w:b/>
              </w:rPr>
              <w:t>and</w:t>
            </w:r>
            <w:r>
              <w:rPr>
                <w:rFonts w:ascii="Arial"/>
                <w:b/>
                <w:spacing w:val="-3"/>
              </w:rPr>
              <w:t xml:space="preserve"> </w:t>
            </w:r>
            <w:r>
              <w:rPr>
                <w:rFonts w:ascii="Arial"/>
                <w:b/>
              </w:rPr>
              <w:t>Social</w:t>
            </w:r>
            <w:r>
              <w:rPr>
                <w:rFonts w:ascii="Arial"/>
                <w:b/>
                <w:spacing w:val="-4"/>
              </w:rPr>
              <w:t xml:space="preserve"> Care</w:t>
            </w:r>
          </w:p>
        </w:tc>
      </w:tr>
      <w:tr w:rsidR="007C5313" w14:paraId="2CFB026B" w14:textId="77777777" w:rsidTr="007C5313">
        <w:trPr>
          <w:trHeight w:val="495"/>
        </w:trPr>
        <w:tc>
          <w:tcPr>
            <w:tcW w:w="2096" w:type="dxa"/>
            <w:shd w:val="clear" w:color="auto" w:fill="D9D9D9"/>
          </w:tcPr>
          <w:p w14:paraId="00620279" w14:textId="77777777" w:rsidR="007C5313" w:rsidRDefault="007C5313" w:rsidP="00381EBF">
            <w:pPr>
              <w:pStyle w:val="TableParagraph"/>
              <w:spacing w:before="123"/>
              <w:rPr>
                <w:rFonts w:ascii="Arial"/>
                <w:b/>
              </w:rPr>
            </w:pPr>
            <w:r>
              <w:rPr>
                <w:rFonts w:ascii="Arial"/>
                <w:b/>
                <w:spacing w:val="-2"/>
              </w:rPr>
              <w:t>Module:</w:t>
            </w:r>
          </w:p>
        </w:tc>
        <w:tc>
          <w:tcPr>
            <w:tcW w:w="7853" w:type="dxa"/>
            <w:gridSpan w:val="3"/>
          </w:tcPr>
          <w:p w14:paraId="4B057F8C" w14:textId="77777777" w:rsidR="007C5313" w:rsidRDefault="007C5313" w:rsidP="00381EBF">
            <w:pPr>
              <w:pStyle w:val="TableParagraph"/>
              <w:spacing w:before="123"/>
              <w:rPr>
                <w:rFonts w:ascii="Arial"/>
                <w:b/>
              </w:rPr>
            </w:pPr>
            <w:r>
              <w:rPr>
                <w:rFonts w:ascii="Arial"/>
                <w:b/>
              </w:rPr>
              <w:t>Introduction</w:t>
            </w:r>
            <w:r>
              <w:rPr>
                <w:rFonts w:ascii="Arial"/>
                <w:b/>
                <w:spacing w:val="-6"/>
              </w:rPr>
              <w:t xml:space="preserve"> </w:t>
            </w:r>
            <w:r>
              <w:rPr>
                <w:rFonts w:ascii="Arial"/>
                <w:b/>
              </w:rPr>
              <w:t>to</w:t>
            </w:r>
            <w:r>
              <w:rPr>
                <w:rFonts w:ascii="Arial"/>
                <w:b/>
                <w:spacing w:val="2"/>
              </w:rPr>
              <w:t xml:space="preserve"> </w:t>
            </w:r>
            <w:r>
              <w:rPr>
                <w:rFonts w:ascii="Arial"/>
                <w:b/>
                <w:spacing w:val="-2"/>
              </w:rPr>
              <w:t>Physiology</w:t>
            </w:r>
          </w:p>
        </w:tc>
      </w:tr>
      <w:tr w:rsidR="007C5313" w14:paraId="0805A031" w14:textId="77777777" w:rsidTr="007C5313">
        <w:trPr>
          <w:trHeight w:val="760"/>
        </w:trPr>
        <w:tc>
          <w:tcPr>
            <w:tcW w:w="2096" w:type="dxa"/>
            <w:shd w:val="clear" w:color="auto" w:fill="D9D9D9"/>
          </w:tcPr>
          <w:p w14:paraId="34987B98" w14:textId="77777777" w:rsidR="007C5313" w:rsidRDefault="007C5313" w:rsidP="00381EBF">
            <w:pPr>
              <w:pStyle w:val="TableParagraph"/>
              <w:spacing w:before="123"/>
              <w:rPr>
                <w:rFonts w:ascii="Arial"/>
                <w:b/>
              </w:rPr>
            </w:pPr>
            <w:r>
              <w:rPr>
                <w:rFonts w:ascii="Arial"/>
                <w:b/>
              </w:rPr>
              <w:t>Module</w:t>
            </w:r>
            <w:r>
              <w:rPr>
                <w:rFonts w:ascii="Arial"/>
                <w:b/>
                <w:spacing w:val="-1"/>
              </w:rPr>
              <w:t xml:space="preserve"> </w:t>
            </w:r>
            <w:r>
              <w:rPr>
                <w:rFonts w:ascii="Arial"/>
                <w:b/>
                <w:spacing w:val="-2"/>
              </w:rPr>
              <w:t>code:</w:t>
            </w:r>
          </w:p>
        </w:tc>
        <w:tc>
          <w:tcPr>
            <w:tcW w:w="3311" w:type="dxa"/>
          </w:tcPr>
          <w:p w14:paraId="58CA3CF3" w14:textId="77777777" w:rsidR="007C5313" w:rsidRDefault="007C5313" w:rsidP="00381EBF">
            <w:pPr>
              <w:pStyle w:val="TableParagraph"/>
              <w:spacing w:before="123"/>
              <w:rPr>
                <w:rFonts w:ascii="Arial"/>
                <w:b/>
              </w:rPr>
            </w:pPr>
            <w:r>
              <w:rPr>
                <w:rFonts w:ascii="Arial"/>
                <w:b/>
                <w:spacing w:val="-2"/>
              </w:rPr>
              <w:t>BMHP5023</w:t>
            </w:r>
          </w:p>
        </w:tc>
        <w:tc>
          <w:tcPr>
            <w:tcW w:w="2271" w:type="dxa"/>
            <w:shd w:val="clear" w:color="auto" w:fill="D9D9D9"/>
          </w:tcPr>
          <w:p w14:paraId="61912219" w14:textId="77777777" w:rsidR="007C5313" w:rsidRDefault="007C5313" w:rsidP="00381EBF">
            <w:pPr>
              <w:pStyle w:val="TableParagraph"/>
              <w:spacing w:line="254" w:lineRule="exact"/>
              <w:ind w:right="95"/>
              <w:jc w:val="both"/>
              <w:rPr>
                <w:rFonts w:ascii="Arial"/>
                <w:b/>
              </w:rPr>
            </w:pPr>
            <w:r>
              <w:rPr>
                <w:rFonts w:ascii="Arial"/>
                <w:b/>
              </w:rPr>
              <w:t>Contribution to Overall Module Assessment (%):</w:t>
            </w:r>
          </w:p>
        </w:tc>
        <w:tc>
          <w:tcPr>
            <w:tcW w:w="2271" w:type="dxa"/>
          </w:tcPr>
          <w:p w14:paraId="17D60189" w14:textId="77777777" w:rsidR="007C5313" w:rsidRDefault="007C5313" w:rsidP="00381EBF">
            <w:pPr>
              <w:pStyle w:val="TableParagraph"/>
              <w:spacing w:before="123"/>
              <w:rPr>
                <w:rFonts w:ascii="Arial"/>
                <w:b/>
              </w:rPr>
            </w:pPr>
            <w:r>
              <w:rPr>
                <w:rFonts w:ascii="Arial"/>
                <w:b/>
                <w:spacing w:val="-5"/>
              </w:rPr>
              <w:t>50%</w:t>
            </w:r>
          </w:p>
        </w:tc>
      </w:tr>
      <w:tr w:rsidR="007C5313" w14:paraId="5762D29D" w14:textId="77777777" w:rsidTr="007C5313">
        <w:trPr>
          <w:trHeight w:val="2468"/>
        </w:trPr>
        <w:tc>
          <w:tcPr>
            <w:tcW w:w="2096" w:type="dxa"/>
            <w:shd w:val="clear" w:color="auto" w:fill="D9D9D9"/>
          </w:tcPr>
          <w:p w14:paraId="5ADF2CD9" w14:textId="77777777" w:rsidR="007C5313" w:rsidRDefault="007C5313" w:rsidP="00381EBF">
            <w:pPr>
              <w:pStyle w:val="TableParagraph"/>
              <w:spacing w:before="122"/>
              <w:rPr>
                <w:rFonts w:ascii="Arial"/>
                <w:b/>
              </w:rPr>
            </w:pPr>
            <w:r>
              <w:rPr>
                <w:rFonts w:ascii="Arial"/>
                <w:b/>
                <w:spacing w:val="-2"/>
              </w:rPr>
              <w:t>Lecturer:</w:t>
            </w:r>
          </w:p>
        </w:tc>
        <w:tc>
          <w:tcPr>
            <w:tcW w:w="3311" w:type="dxa"/>
          </w:tcPr>
          <w:p w14:paraId="3EC871C0" w14:textId="77777777" w:rsidR="007C5313" w:rsidRDefault="007C5313" w:rsidP="00381EBF">
            <w:pPr>
              <w:pStyle w:val="TableParagraph"/>
              <w:spacing w:before="224"/>
              <w:rPr>
                <w:rFonts w:ascii="Cambria"/>
                <w:b/>
              </w:rPr>
            </w:pPr>
            <w:r>
              <w:rPr>
                <w:rFonts w:ascii="Cambria"/>
                <w:b/>
                <w:color w:val="1D2024"/>
                <w:spacing w:val="-2"/>
              </w:rPr>
              <w:t>Weekdays</w:t>
            </w:r>
          </w:p>
          <w:p w14:paraId="2AC0A253" w14:textId="77777777" w:rsidR="007C5313" w:rsidRDefault="007C5313" w:rsidP="00381EBF">
            <w:pPr>
              <w:pStyle w:val="TableParagraph"/>
              <w:spacing w:before="237" w:line="242" w:lineRule="auto"/>
              <w:rPr>
                <w:rFonts w:ascii="Cambria"/>
                <w:b/>
              </w:rPr>
            </w:pPr>
            <w:r>
              <w:rPr>
                <w:rFonts w:ascii="Cambria"/>
                <w:b/>
                <w:color w:val="1D2024"/>
              </w:rPr>
              <w:t>G1</w:t>
            </w:r>
            <w:r>
              <w:rPr>
                <w:rFonts w:ascii="Cambria"/>
                <w:b/>
                <w:color w:val="1D2024"/>
                <w:spacing w:val="80"/>
              </w:rPr>
              <w:t xml:space="preserve"> </w:t>
            </w:r>
            <w:r>
              <w:rPr>
                <w:rFonts w:ascii="Cambria"/>
                <w:b/>
                <w:color w:val="1D2024"/>
              </w:rPr>
              <w:t>and</w:t>
            </w:r>
            <w:r>
              <w:rPr>
                <w:rFonts w:ascii="Cambria"/>
                <w:b/>
                <w:color w:val="1D2024"/>
                <w:spacing w:val="80"/>
              </w:rPr>
              <w:t xml:space="preserve"> </w:t>
            </w:r>
            <w:r>
              <w:rPr>
                <w:rFonts w:ascii="Cambria"/>
                <w:b/>
                <w:color w:val="1D2024"/>
              </w:rPr>
              <w:t>G2</w:t>
            </w:r>
            <w:r>
              <w:rPr>
                <w:rFonts w:ascii="Cambria"/>
                <w:b/>
                <w:color w:val="1D2024"/>
                <w:spacing w:val="80"/>
              </w:rPr>
              <w:t xml:space="preserve"> </w:t>
            </w:r>
            <w:r>
              <w:rPr>
                <w:rFonts w:ascii="Cambria"/>
                <w:b/>
                <w:color w:val="1D2024"/>
              </w:rPr>
              <w:t>Shaila</w:t>
            </w:r>
            <w:r>
              <w:rPr>
                <w:rFonts w:ascii="Cambria"/>
                <w:b/>
                <w:color w:val="1D2024"/>
                <w:spacing w:val="80"/>
              </w:rPr>
              <w:t xml:space="preserve"> </w:t>
            </w:r>
            <w:r>
              <w:rPr>
                <w:rFonts w:ascii="Cambria"/>
                <w:b/>
                <w:color w:val="1D2024"/>
              </w:rPr>
              <w:t>Hussain</w:t>
            </w:r>
            <w:r>
              <w:rPr>
                <w:rFonts w:ascii="Cambria"/>
                <w:b/>
                <w:color w:val="1D2024"/>
                <w:spacing w:val="40"/>
              </w:rPr>
              <w:t xml:space="preserve"> </w:t>
            </w:r>
            <w:r>
              <w:rPr>
                <w:rFonts w:ascii="Cambria"/>
                <w:b/>
                <w:color w:val="1D2024"/>
              </w:rPr>
              <w:t>(Module leader)</w:t>
            </w:r>
          </w:p>
          <w:p w14:paraId="3B20203F" w14:textId="77777777" w:rsidR="007C5313" w:rsidRDefault="007C5313" w:rsidP="00381EBF">
            <w:pPr>
              <w:pStyle w:val="TableParagraph"/>
              <w:spacing w:before="234"/>
              <w:rPr>
                <w:rFonts w:ascii="Cambria"/>
                <w:b/>
              </w:rPr>
            </w:pPr>
            <w:r>
              <w:rPr>
                <w:rFonts w:ascii="Cambria"/>
                <w:b/>
                <w:color w:val="1D2024"/>
                <w:spacing w:val="-2"/>
              </w:rPr>
              <w:t>Flexi</w:t>
            </w:r>
          </w:p>
          <w:p w14:paraId="5A81DF69" w14:textId="77777777" w:rsidR="007C5313" w:rsidRDefault="007C5313" w:rsidP="00381EBF">
            <w:pPr>
              <w:pStyle w:val="TableParagraph"/>
              <w:spacing w:before="243"/>
              <w:rPr>
                <w:rFonts w:ascii="Cambria"/>
                <w:b/>
              </w:rPr>
            </w:pPr>
            <w:r>
              <w:rPr>
                <w:rFonts w:ascii="Cambria"/>
                <w:b/>
                <w:color w:val="1D2024"/>
              </w:rPr>
              <w:t>GF1</w:t>
            </w:r>
            <w:r>
              <w:rPr>
                <w:rFonts w:ascii="Cambria"/>
                <w:b/>
                <w:color w:val="1D2024"/>
                <w:spacing w:val="-3"/>
              </w:rPr>
              <w:t xml:space="preserve"> </w:t>
            </w:r>
            <w:r>
              <w:rPr>
                <w:rFonts w:ascii="Cambria"/>
                <w:b/>
                <w:color w:val="1D2024"/>
              </w:rPr>
              <w:t>Dr</w:t>
            </w:r>
            <w:r>
              <w:rPr>
                <w:rFonts w:ascii="Cambria"/>
                <w:b/>
                <w:color w:val="1D2024"/>
                <w:spacing w:val="-3"/>
              </w:rPr>
              <w:t xml:space="preserve"> </w:t>
            </w:r>
            <w:r>
              <w:rPr>
                <w:rFonts w:ascii="Cambria"/>
                <w:b/>
                <w:color w:val="1D2024"/>
              </w:rPr>
              <w:t>Soban</w:t>
            </w:r>
            <w:r>
              <w:rPr>
                <w:rFonts w:ascii="Cambria"/>
                <w:b/>
                <w:color w:val="1D2024"/>
                <w:spacing w:val="-3"/>
              </w:rPr>
              <w:t xml:space="preserve"> </w:t>
            </w:r>
            <w:r>
              <w:rPr>
                <w:rFonts w:ascii="Cambria"/>
                <w:b/>
                <w:color w:val="1D2024"/>
                <w:spacing w:val="-2"/>
              </w:rPr>
              <w:t>Sadiq</w:t>
            </w:r>
          </w:p>
        </w:tc>
        <w:tc>
          <w:tcPr>
            <w:tcW w:w="2271" w:type="dxa"/>
            <w:shd w:val="clear" w:color="auto" w:fill="D9D9D9"/>
          </w:tcPr>
          <w:p w14:paraId="4364A6C5" w14:textId="1818795C" w:rsidR="007C5313" w:rsidRPr="00DE6834" w:rsidRDefault="007C5313" w:rsidP="00DE6834">
            <w:pPr>
              <w:pStyle w:val="TableParagraph"/>
              <w:spacing w:before="122"/>
              <w:rPr>
                <w:rFonts w:ascii="Arial"/>
                <w:b/>
                <w:spacing w:val="-2"/>
              </w:rPr>
            </w:pPr>
            <w:r>
              <w:rPr>
                <w:rFonts w:ascii="Arial"/>
                <w:b/>
              </w:rPr>
              <w:t>Internal</w:t>
            </w:r>
            <w:r>
              <w:rPr>
                <w:rFonts w:ascii="Arial"/>
                <w:b/>
                <w:spacing w:val="-1"/>
              </w:rPr>
              <w:t xml:space="preserve"> </w:t>
            </w:r>
            <w:r>
              <w:rPr>
                <w:rFonts w:ascii="Arial"/>
                <w:b/>
                <w:spacing w:val="-2"/>
              </w:rPr>
              <w:t>Verifier:</w:t>
            </w:r>
          </w:p>
        </w:tc>
        <w:tc>
          <w:tcPr>
            <w:tcW w:w="2271" w:type="dxa"/>
          </w:tcPr>
          <w:p w14:paraId="075EB56D" w14:textId="77777777" w:rsidR="007C5313" w:rsidRDefault="007C5313" w:rsidP="00381EBF">
            <w:pPr>
              <w:pStyle w:val="TableParagraph"/>
              <w:spacing w:before="122"/>
              <w:rPr>
                <w:rFonts w:ascii="Arial"/>
                <w:b/>
              </w:rPr>
            </w:pPr>
            <w:r>
              <w:rPr>
                <w:rFonts w:ascii="Arial"/>
                <w:b/>
              </w:rPr>
              <w:t>Chloe</w:t>
            </w:r>
            <w:r>
              <w:rPr>
                <w:rFonts w:ascii="Arial"/>
                <w:b/>
                <w:spacing w:val="-2"/>
              </w:rPr>
              <w:t xml:space="preserve"> Harries</w:t>
            </w:r>
          </w:p>
        </w:tc>
      </w:tr>
      <w:tr w:rsidR="007C5313" w14:paraId="67C4C5B5" w14:textId="77777777" w:rsidTr="007C5313">
        <w:trPr>
          <w:trHeight w:val="1000"/>
        </w:trPr>
        <w:tc>
          <w:tcPr>
            <w:tcW w:w="2096" w:type="dxa"/>
            <w:shd w:val="clear" w:color="auto" w:fill="D9D9D9"/>
          </w:tcPr>
          <w:p w14:paraId="0536BDD6" w14:textId="77777777" w:rsidR="007C5313" w:rsidRDefault="007C5313" w:rsidP="00381EBF">
            <w:pPr>
              <w:pStyle w:val="TableParagraph"/>
              <w:spacing w:before="123"/>
              <w:rPr>
                <w:rFonts w:ascii="Arial"/>
                <w:b/>
              </w:rPr>
            </w:pPr>
            <w:r>
              <w:rPr>
                <w:rFonts w:ascii="Arial"/>
                <w:b/>
              </w:rPr>
              <w:t>Assignment</w:t>
            </w:r>
            <w:r>
              <w:rPr>
                <w:rFonts w:ascii="Arial"/>
                <w:b/>
                <w:spacing w:val="-6"/>
              </w:rPr>
              <w:t xml:space="preserve"> </w:t>
            </w:r>
            <w:r>
              <w:rPr>
                <w:rFonts w:ascii="Arial"/>
                <w:b/>
                <w:spacing w:val="-2"/>
              </w:rPr>
              <w:t>Title:</w:t>
            </w:r>
          </w:p>
        </w:tc>
        <w:tc>
          <w:tcPr>
            <w:tcW w:w="3311" w:type="dxa"/>
          </w:tcPr>
          <w:p w14:paraId="201D6454" w14:textId="77777777" w:rsidR="007C5313" w:rsidRDefault="007C5313" w:rsidP="00381EBF">
            <w:pPr>
              <w:pStyle w:val="TableParagraph"/>
              <w:spacing w:before="123" w:line="242" w:lineRule="auto"/>
              <w:rPr>
                <w:rFonts w:ascii="Arial"/>
                <w:b/>
              </w:rPr>
            </w:pPr>
            <w:r>
              <w:rPr>
                <w:rFonts w:ascii="Arial"/>
                <w:b/>
              </w:rPr>
              <w:t>Component 1: Written Assignment</w:t>
            </w:r>
            <w:r>
              <w:rPr>
                <w:rFonts w:ascii="Arial"/>
                <w:b/>
                <w:spacing w:val="-16"/>
              </w:rPr>
              <w:t xml:space="preserve"> </w:t>
            </w:r>
            <w:r>
              <w:rPr>
                <w:rFonts w:ascii="Arial"/>
                <w:b/>
              </w:rPr>
              <w:t>(Case</w:t>
            </w:r>
            <w:r>
              <w:rPr>
                <w:rFonts w:ascii="Arial"/>
                <w:b/>
                <w:spacing w:val="-15"/>
              </w:rPr>
              <w:t xml:space="preserve"> </w:t>
            </w:r>
            <w:r>
              <w:rPr>
                <w:rFonts w:ascii="Arial"/>
                <w:b/>
              </w:rPr>
              <w:t xml:space="preserve">Study </w:t>
            </w:r>
            <w:r>
              <w:rPr>
                <w:rFonts w:ascii="Arial"/>
                <w:b/>
                <w:spacing w:val="-2"/>
              </w:rPr>
              <w:t>Report)</w:t>
            </w:r>
          </w:p>
        </w:tc>
        <w:tc>
          <w:tcPr>
            <w:tcW w:w="2271" w:type="dxa"/>
            <w:shd w:val="clear" w:color="auto" w:fill="D9D9D9"/>
          </w:tcPr>
          <w:p w14:paraId="229EBD17" w14:textId="3637E1C0" w:rsidR="007C5313" w:rsidRDefault="007C5313" w:rsidP="00381EBF">
            <w:pPr>
              <w:pStyle w:val="TableParagraph"/>
              <w:tabs>
                <w:tab w:val="left" w:pos="975"/>
                <w:tab w:val="left" w:pos="1869"/>
              </w:tabs>
              <w:spacing w:before="123" w:line="242" w:lineRule="auto"/>
              <w:ind w:right="95"/>
              <w:rPr>
                <w:rFonts w:ascii="Arial"/>
                <w:b/>
              </w:rPr>
            </w:pPr>
            <w:r>
              <w:rPr>
                <w:rFonts w:ascii="Arial"/>
                <w:b/>
                <w:spacing w:val="-4"/>
              </w:rPr>
              <w:t>Word</w:t>
            </w:r>
            <w:r>
              <w:rPr>
                <w:rFonts w:ascii="Arial"/>
                <w:b/>
              </w:rPr>
              <w:tab/>
            </w:r>
            <w:r>
              <w:rPr>
                <w:rFonts w:ascii="Arial"/>
                <w:b/>
                <w:spacing w:val="-2"/>
              </w:rPr>
              <w:t>count</w:t>
            </w:r>
            <w:r>
              <w:rPr>
                <w:rFonts w:ascii="Arial"/>
                <w:b/>
              </w:rPr>
              <w:tab/>
            </w:r>
          </w:p>
        </w:tc>
        <w:tc>
          <w:tcPr>
            <w:tcW w:w="2271" w:type="dxa"/>
          </w:tcPr>
          <w:p w14:paraId="39AAC7EE" w14:textId="0024193F" w:rsidR="007C5313" w:rsidRDefault="0022146D" w:rsidP="00381EBF">
            <w:pPr>
              <w:pStyle w:val="TableParagraph"/>
              <w:spacing w:before="2"/>
              <w:rPr>
                <w:rFonts w:ascii="Arial"/>
                <w:b/>
              </w:rPr>
            </w:pPr>
            <w:r>
              <w:rPr>
                <w:rFonts w:ascii="Arial"/>
                <w:b/>
              </w:rPr>
              <w:t>2</w:t>
            </w:r>
            <w:r w:rsidR="00F660D9">
              <w:rPr>
                <w:rFonts w:ascii="Arial"/>
                <w:b/>
              </w:rPr>
              <w:t>190</w:t>
            </w:r>
          </w:p>
        </w:tc>
      </w:tr>
      <w:tr w:rsidR="007C5313" w14:paraId="79917F3E" w14:textId="77777777" w:rsidTr="007C5313">
        <w:trPr>
          <w:trHeight w:val="1000"/>
        </w:trPr>
        <w:tc>
          <w:tcPr>
            <w:tcW w:w="2096" w:type="dxa"/>
            <w:shd w:val="clear" w:color="auto" w:fill="D9D9D9"/>
          </w:tcPr>
          <w:p w14:paraId="02E19F34" w14:textId="77777777" w:rsidR="007C5313" w:rsidRDefault="007C5313" w:rsidP="00381EBF">
            <w:pPr>
              <w:pStyle w:val="TableParagraph"/>
              <w:spacing w:before="123" w:line="242" w:lineRule="auto"/>
              <w:rPr>
                <w:rFonts w:ascii="Arial"/>
                <w:b/>
              </w:rPr>
            </w:pPr>
            <w:r>
              <w:rPr>
                <w:rFonts w:ascii="Arial"/>
                <w:b/>
                <w:spacing w:val="-2"/>
              </w:rPr>
              <w:t>Submission deadline:</w:t>
            </w:r>
          </w:p>
        </w:tc>
        <w:tc>
          <w:tcPr>
            <w:tcW w:w="3311" w:type="dxa"/>
          </w:tcPr>
          <w:p w14:paraId="24A53754" w14:textId="77777777" w:rsidR="007C5313" w:rsidRDefault="007C5313" w:rsidP="00381EBF">
            <w:pPr>
              <w:pStyle w:val="TableParagraph"/>
              <w:spacing w:before="3" w:line="251" w:lineRule="exact"/>
              <w:rPr>
                <w:rFonts w:ascii="Arial"/>
                <w:b/>
              </w:rPr>
            </w:pPr>
            <w:r>
              <w:rPr>
                <w:rFonts w:ascii="Arial"/>
                <w:b/>
              </w:rPr>
              <w:t>Tuesday</w:t>
            </w:r>
            <w:r>
              <w:rPr>
                <w:rFonts w:ascii="Arial"/>
                <w:b/>
                <w:spacing w:val="-7"/>
              </w:rPr>
              <w:t xml:space="preserve"> </w:t>
            </w:r>
            <w:r>
              <w:rPr>
                <w:rFonts w:ascii="Arial"/>
                <w:b/>
              </w:rPr>
              <w:t xml:space="preserve">4 August </w:t>
            </w:r>
            <w:r>
              <w:rPr>
                <w:rFonts w:ascii="Arial"/>
                <w:b/>
                <w:spacing w:val="-4"/>
              </w:rPr>
              <w:t>2026</w:t>
            </w:r>
          </w:p>
          <w:p w14:paraId="71485626" w14:textId="77777777" w:rsidR="007C5313" w:rsidRDefault="007C5313" w:rsidP="00381EBF">
            <w:pPr>
              <w:pStyle w:val="TableParagraph"/>
              <w:spacing w:line="251" w:lineRule="exact"/>
              <w:rPr>
                <w:rFonts w:ascii="Arial"/>
                <w:b/>
              </w:rPr>
            </w:pPr>
            <w:r>
              <w:rPr>
                <w:rFonts w:ascii="Arial"/>
                <w:b/>
              </w:rPr>
              <w:t>14:00</w:t>
            </w:r>
            <w:r>
              <w:rPr>
                <w:rFonts w:ascii="Arial"/>
                <w:b/>
                <w:spacing w:val="-2"/>
              </w:rPr>
              <w:t xml:space="preserve"> (2:00PM)</w:t>
            </w:r>
          </w:p>
        </w:tc>
        <w:tc>
          <w:tcPr>
            <w:tcW w:w="2271" w:type="dxa"/>
            <w:shd w:val="clear" w:color="auto" w:fill="D9D9D9"/>
          </w:tcPr>
          <w:p w14:paraId="7F1DEF54" w14:textId="77777777" w:rsidR="007C5313" w:rsidRDefault="007C5313" w:rsidP="00381EBF">
            <w:pPr>
              <w:pStyle w:val="TableParagraph"/>
              <w:spacing w:before="123"/>
              <w:ind w:right="97"/>
              <w:jc w:val="both"/>
              <w:rPr>
                <w:rFonts w:ascii="Arial"/>
                <w:b/>
              </w:rPr>
            </w:pPr>
            <w:r>
              <w:rPr>
                <w:rFonts w:ascii="Arial"/>
                <w:b/>
              </w:rPr>
              <w:t>Return date of provisional marks &amp;</w:t>
            </w:r>
            <w:r>
              <w:rPr>
                <w:rFonts w:ascii="Arial"/>
                <w:b/>
                <w:spacing w:val="-1"/>
              </w:rPr>
              <w:t xml:space="preserve"> </w:t>
            </w:r>
            <w:r>
              <w:rPr>
                <w:rFonts w:ascii="Arial"/>
                <w:b/>
              </w:rPr>
              <w:t xml:space="preserve">written </w:t>
            </w:r>
            <w:r>
              <w:rPr>
                <w:rFonts w:ascii="Arial"/>
                <w:b/>
                <w:spacing w:val="-2"/>
              </w:rPr>
              <w:t>feedback:</w:t>
            </w:r>
          </w:p>
        </w:tc>
        <w:tc>
          <w:tcPr>
            <w:tcW w:w="2271" w:type="dxa"/>
          </w:tcPr>
          <w:p w14:paraId="3A736FB6" w14:textId="77777777" w:rsidR="007C5313" w:rsidRDefault="007C5313" w:rsidP="00381EBF">
            <w:pPr>
              <w:pStyle w:val="TableParagraph"/>
              <w:spacing w:before="3"/>
              <w:rPr>
                <w:rFonts w:ascii="Arial"/>
                <w:b/>
              </w:rPr>
            </w:pPr>
            <w:r>
              <w:rPr>
                <w:rFonts w:ascii="Arial"/>
                <w:b/>
                <w:spacing w:val="-2"/>
              </w:rPr>
              <w:t>16-Sep-</w:t>
            </w:r>
            <w:r>
              <w:rPr>
                <w:rFonts w:ascii="Arial"/>
                <w:b/>
                <w:spacing w:val="-5"/>
              </w:rPr>
              <w:t>26</w:t>
            </w:r>
          </w:p>
        </w:tc>
      </w:tr>
    </w:tbl>
    <w:p w14:paraId="74081F54" w14:textId="77777777" w:rsidR="007C5313" w:rsidRDefault="007C5313" w:rsidP="007C5313"/>
    <w:p w14:paraId="104DC23E" w14:textId="77777777" w:rsidR="007C5313" w:rsidRDefault="007C5313">
      <w:pPr>
        <w:spacing w:line="278" w:lineRule="auto"/>
        <w:jc w:val="left"/>
        <w:rPr>
          <w:rFonts w:eastAsiaTheme="majorEastAsia" w:cstheme="majorBidi"/>
          <w:b/>
          <w:color w:val="4472C4" w:themeColor="accent1"/>
          <w:sz w:val="32"/>
          <w:szCs w:val="40"/>
        </w:rPr>
      </w:pPr>
      <w:r>
        <w:br w:type="page"/>
      </w:r>
    </w:p>
    <w:sdt>
      <w:sdtPr>
        <w:rPr>
          <w:rFonts w:ascii="Times New Roman" w:eastAsiaTheme="minorHAnsi" w:hAnsi="Times New Roman" w:cstheme="minorBidi"/>
          <w:color w:val="auto"/>
          <w:kern w:val="2"/>
          <w:sz w:val="24"/>
          <w:szCs w:val="24"/>
          <w14:ligatures w14:val="standardContextual"/>
        </w:rPr>
        <w:id w:val="-1726683165"/>
        <w:docPartObj>
          <w:docPartGallery w:val="Table of Contents"/>
          <w:docPartUnique/>
        </w:docPartObj>
      </w:sdtPr>
      <w:sdtEndPr>
        <w:rPr>
          <w:b/>
          <w:bCs/>
          <w:noProof/>
        </w:rPr>
      </w:sdtEndPr>
      <w:sdtContent>
        <w:p w14:paraId="54912747" w14:textId="10A6A992" w:rsidR="00976BB8" w:rsidRPr="00976BB8" w:rsidRDefault="00976BB8">
          <w:pPr>
            <w:pStyle w:val="TOCHeading"/>
            <w:rPr>
              <w:rStyle w:val="Heading1Char"/>
            </w:rPr>
          </w:pPr>
          <w:r w:rsidRPr="00976BB8">
            <w:rPr>
              <w:rStyle w:val="Heading1Char"/>
            </w:rPr>
            <w:t>Table of Contents</w:t>
          </w:r>
        </w:p>
        <w:p w14:paraId="754250A6" w14:textId="33B4A60B" w:rsidR="00BA4D8F" w:rsidRDefault="00976BB8">
          <w:pPr>
            <w:pStyle w:val="TOC1"/>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36507706" w:history="1">
            <w:r w:rsidR="00BA4D8F" w:rsidRPr="000F3067">
              <w:rPr>
                <w:rStyle w:val="Hyperlink"/>
                <w:noProof/>
              </w:rPr>
              <w:t>Case Study Report: Type 2 Diabetes Management Through Understanding Physiology, Blood Glucose Monitoring and Lifestyle Intervention</w:t>
            </w:r>
            <w:r w:rsidR="00BA4D8F">
              <w:rPr>
                <w:noProof/>
                <w:webHidden/>
              </w:rPr>
              <w:tab/>
            </w:r>
            <w:r w:rsidR="00BA4D8F">
              <w:rPr>
                <w:noProof/>
                <w:webHidden/>
              </w:rPr>
              <w:fldChar w:fldCharType="begin"/>
            </w:r>
            <w:r w:rsidR="00BA4D8F">
              <w:rPr>
                <w:noProof/>
                <w:webHidden/>
              </w:rPr>
              <w:instrText xml:space="preserve"> PAGEREF _Toc236507706 \h </w:instrText>
            </w:r>
            <w:r w:rsidR="00BA4D8F">
              <w:rPr>
                <w:noProof/>
                <w:webHidden/>
              </w:rPr>
            </w:r>
            <w:r w:rsidR="00BA4D8F">
              <w:rPr>
                <w:noProof/>
                <w:webHidden/>
              </w:rPr>
              <w:fldChar w:fldCharType="separate"/>
            </w:r>
            <w:r w:rsidR="00BA4D8F">
              <w:rPr>
                <w:noProof/>
                <w:webHidden/>
              </w:rPr>
              <w:t>3</w:t>
            </w:r>
            <w:r w:rsidR="00BA4D8F">
              <w:rPr>
                <w:noProof/>
                <w:webHidden/>
              </w:rPr>
              <w:fldChar w:fldCharType="end"/>
            </w:r>
          </w:hyperlink>
        </w:p>
        <w:p w14:paraId="0C1CF036" w14:textId="1BC63F52"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07" w:history="1">
            <w:r w:rsidRPr="000F3067">
              <w:rPr>
                <w:rStyle w:val="Hyperlink"/>
                <w:noProof/>
              </w:rPr>
              <w:t>Introduction</w:t>
            </w:r>
            <w:r>
              <w:rPr>
                <w:noProof/>
                <w:webHidden/>
              </w:rPr>
              <w:tab/>
            </w:r>
            <w:r>
              <w:rPr>
                <w:noProof/>
                <w:webHidden/>
              </w:rPr>
              <w:fldChar w:fldCharType="begin"/>
            </w:r>
            <w:r>
              <w:rPr>
                <w:noProof/>
                <w:webHidden/>
              </w:rPr>
              <w:instrText xml:space="preserve"> PAGEREF _Toc236507707 \h </w:instrText>
            </w:r>
            <w:r>
              <w:rPr>
                <w:noProof/>
                <w:webHidden/>
              </w:rPr>
            </w:r>
            <w:r>
              <w:rPr>
                <w:noProof/>
                <w:webHidden/>
              </w:rPr>
              <w:fldChar w:fldCharType="separate"/>
            </w:r>
            <w:r>
              <w:rPr>
                <w:noProof/>
                <w:webHidden/>
              </w:rPr>
              <w:t>3</w:t>
            </w:r>
            <w:r>
              <w:rPr>
                <w:noProof/>
                <w:webHidden/>
              </w:rPr>
              <w:fldChar w:fldCharType="end"/>
            </w:r>
          </w:hyperlink>
        </w:p>
        <w:p w14:paraId="4D37FD7D" w14:textId="2FF5DC20"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08" w:history="1">
            <w:r w:rsidRPr="000F3067">
              <w:rPr>
                <w:rStyle w:val="Hyperlink"/>
                <w:noProof/>
              </w:rPr>
              <w:t>Regulation of Blood Glucose Levels in the Human Body</w:t>
            </w:r>
            <w:r>
              <w:rPr>
                <w:noProof/>
                <w:webHidden/>
              </w:rPr>
              <w:tab/>
            </w:r>
            <w:r>
              <w:rPr>
                <w:noProof/>
                <w:webHidden/>
              </w:rPr>
              <w:fldChar w:fldCharType="begin"/>
            </w:r>
            <w:r>
              <w:rPr>
                <w:noProof/>
                <w:webHidden/>
              </w:rPr>
              <w:instrText xml:space="preserve"> PAGEREF _Toc236507708 \h </w:instrText>
            </w:r>
            <w:r>
              <w:rPr>
                <w:noProof/>
                <w:webHidden/>
              </w:rPr>
            </w:r>
            <w:r>
              <w:rPr>
                <w:noProof/>
                <w:webHidden/>
              </w:rPr>
              <w:fldChar w:fldCharType="separate"/>
            </w:r>
            <w:r>
              <w:rPr>
                <w:noProof/>
                <w:webHidden/>
              </w:rPr>
              <w:t>4</w:t>
            </w:r>
            <w:r>
              <w:rPr>
                <w:noProof/>
                <w:webHidden/>
              </w:rPr>
              <w:fldChar w:fldCharType="end"/>
            </w:r>
          </w:hyperlink>
        </w:p>
        <w:p w14:paraId="78049540" w14:textId="5394B74A"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09" w:history="1">
            <w:r w:rsidRPr="000F3067">
              <w:rPr>
                <w:rStyle w:val="Hyperlink"/>
                <w:noProof/>
              </w:rPr>
              <w:t>Use of Oxygen and Glucose in Cellular Energy Production</w:t>
            </w:r>
            <w:r>
              <w:rPr>
                <w:noProof/>
                <w:webHidden/>
              </w:rPr>
              <w:tab/>
            </w:r>
            <w:r>
              <w:rPr>
                <w:noProof/>
                <w:webHidden/>
              </w:rPr>
              <w:fldChar w:fldCharType="begin"/>
            </w:r>
            <w:r>
              <w:rPr>
                <w:noProof/>
                <w:webHidden/>
              </w:rPr>
              <w:instrText xml:space="preserve"> PAGEREF _Toc236507709 \h </w:instrText>
            </w:r>
            <w:r>
              <w:rPr>
                <w:noProof/>
                <w:webHidden/>
              </w:rPr>
            </w:r>
            <w:r>
              <w:rPr>
                <w:noProof/>
                <w:webHidden/>
              </w:rPr>
              <w:fldChar w:fldCharType="separate"/>
            </w:r>
            <w:r>
              <w:rPr>
                <w:noProof/>
                <w:webHidden/>
              </w:rPr>
              <w:t>5</w:t>
            </w:r>
            <w:r>
              <w:rPr>
                <w:noProof/>
                <w:webHidden/>
              </w:rPr>
              <w:fldChar w:fldCharType="end"/>
            </w:r>
          </w:hyperlink>
        </w:p>
        <w:p w14:paraId="62DEA738" w14:textId="7067D4A6"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10" w:history="1">
            <w:r w:rsidRPr="000F3067">
              <w:rPr>
                <w:rStyle w:val="Hyperlink"/>
                <w:noProof/>
              </w:rPr>
              <w:t>Importance of Recording and Tracking Blood Glucose</w:t>
            </w:r>
            <w:r>
              <w:rPr>
                <w:noProof/>
                <w:webHidden/>
              </w:rPr>
              <w:tab/>
            </w:r>
            <w:r>
              <w:rPr>
                <w:noProof/>
                <w:webHidden/>
              </w:rPr>
              <w:fldChar w:fldCharType="begin"/>
            </w:r>
            <w:r>
              <w:rPr>
                <w:noProof/>
                <w:webHidden/>
              </w:rPr>
              <w:instrText xml:space="preserve"> PAGEREF _Toc236507710 \h </w:instrText>
            </w:r>
            <w:r>
              <w:rPr>
                <w:noProof/>
                <w:webHidden/>
              </w:rPr>
            </w:r>
            <w:r>
              <w:rPr>
                <w:noProof/>
                <w:webHidden/>
              </w:rPr>
              <w:fldChar w:fldCharType="separate"/>
            </w:r>
            <w:r>
              <w:rPr>
                <w:noProof/>
                <w:webHidden/>
              </w:rPr>
              <w:t>6</w:t>
            </w:r>
            <w:r>
              <w:rPr>
                <w:noProof/>
                <w:webHidden/>
              </w:rPr>
              <w:fldChar w:fldCharType="end"/>
            </w:r>
          </w:hyperlink>
        </w:p>
        <w:p w14:paraId="12C1E9A3" w14:textId="2CA67290"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11" w:history="1">
            <w:r w:rsidRPr="000F3067">
              <w:rPr>
                <w:rStyle w:val="Hyperlink"/>
                <w:noProof/>
              </w:rPr>
              <w:t>Evidence-Based Lifestyle Recommendations to Improve Type 2 Diabetes Management</w:t>
            </w:r>
            <w:r>
              <w:rPr>
                <w:noProof/>
                <w:webHidden/>
              </w:rPr>
              <w:tab/>
            </w:r>
            <w:r>
              <w:rPr>
                <w:noProof/>
                <w:webHidden/>
              </w:rPr>
              <w:fldChar w:fldCharType="begin"/>
            </w:r>
            <w:r>
              <w:rPr>
                <w:noProof/>
                <w:webHidden/>
              </w:rPr>
              <w:instrText xml:space="preserve"> PAGEREF _Toc236507711 \h </w:instrText>
            </w:r>
            <w:r>
              <w:rPr>
                <w:noProof/>
                <w:webHidden/>
              </w:rPr>
            </w:r>
            <w:r>
              <w:rPr>
                <w:noProof/>
                <w:webHidden/>
              </w:rPr>
              <w:fldChar w:fldCharType="separate"/>
            </w:r>
            <w:r>
              <w:rPr>
                <w:noProof/>
                <w:webHidden/>
              </w:rPr>
              <w:t>9</w:t>
            </w:r>
            <w:r>
              <w:rPr>
                <w:noProof/>
                <w:webHidden/>
              </w:rPr>
              <w:fldChar w:fldCharType="end"/>
            </w:r>
          </w:hyperlink>
        </w:p>
        <w:p w14:paraId="342CC0F9" w14:textId="33A0B41D" w:rsidR="00BA4D8F" w:rsidRDefault="00BA4D8F">
          <w:pPr>
            <w:pStyle w:val="TOC3"/>
            <w:tabs>
              <w:tab w:val="right" w:leader="dot" w:pos="9350"/>
            </w:tabs>
            <w:rPr>
              <w:rFonts w:asciiTheme="minorHAnsi" w:eastAsiaTheme="minorEastAsia" w:hAnsiTheme="minorHAnsi"/>
              <w:noProof/>
              <w:kern w:val="0"/>
              <w:sz w:val="22"/>
              <w:szCs w:val="22"/>
              <w14:ligatures w14:val="none"/>
            </w:rPr>
          </w:pPr>
          <w:hyperlink w:anchor="_Toc236507712" w:history="1">
            <w:r w:rsidRPr="000F3067">
              <w:rPr>
                <w:rStyle w:val="Hyperlink"/>
                <w:noProof/>
              </w:rPr>
              <w:t>5.1 Dietary Modification</w:t>
            </w:r>
            <w:r>
              <w:rPr>
                <w:noProof/>
                <w:webHidden/>
              </w:rPr>
              <w:tab/>
            </w:r>
            <w:r>
              <w:rPr>
                <w:noProof/>
                <w:webHidden/>
              </w:rPr>
              <w:fldChar w:fldCharType="begin"/>
            </w:r>
            <w:r>
              <w:rPr>
                <w:noProof/>
                <w:webHidden/>
              </w:rPr>
              <w:instrText xml:space="preserve"> PAGEREF _Toc236507712 \h </w:instrText>
            </w:r>
            <w:r>
              <w:rPr>
                <w:noProof/>
                <w:webHidden/>
              </w:rPr>
            </w:r>
            <w:r>
              <w:rPr>
                <w:noProof/>
                <w:webHidden/>
              </w:rPr>
              <w:fldChar w:fldCharType="separate"/>
            </w:r>
            <w:r>
              <w:rPr>
                <w:noProof/>
                <w:webHidden/>
              </w:rPr>
              <w:t>9</w:t>
            </w:r>
            <w:r>
              <w:rPr>
                <w:noProof/>
                <w:webHidden/>
              </w:rPr>
              <w:fldChar w:fldCharType="end"/>
            </w:r>
          </w:hyperlink>
        </w:p>
        <w:p w14:paraId="33F3D11F" w14:textId="73505A14" w:rsidR="00BA4D8F" w:rsidRDefault="00BA4D8F">
          <w:pPr>
            <w:pStyle w:val="TOC3"/>
            <w:tabs>
              <w:tab w:val="right" w:leader="dot" w:pos="9350"/>
            </w:tabs>
            <w:rPr>
              <w:rFonts w:asciiTheme="minorHAnsi" w:eastAsiaTheme="minorEastAsia" w:hAnsiTheme="minorHAnsi"/>
              <w:noProof/>
              <w:kern w:val="0"/>
              <w:sz w:val="22"/>
              <w:szCs w:val="22"/>
              <w14:ligatures w14:val="none"/>
            </w:rPr>
          </w:pPr>
          <w:hyperlink w:anchor="_Toc236507713" w:history="1">
            <w:r w:rsidRPr="000F3067">
              <w:rPr>
                <w:rStyle w:val="Hyperlink"/>
                <w:noProof/>
              </w:rPr>
              <w:t>5.2 Physical Activity and Exercise</w:t>
            </w:r>
            <w:r>
              <w:rPr>
                <w:noProof/>
                <w:webHidden/>
              </w:rPr>
              <w:tab/>
            </w:r>
            <w:r>
              <w:rPr>
                <w:noProof/>
                <w:webHidden/>
              </w:rPr>
              <w:fldChar w:fldCharType="begin"/>
            </w:r>
            <w:r>
              <w:rPr>
                <w:noProof/>
                <w:webHidden/>
              </w:rPr>
              <w:instrText xml:space="preserve"> PAGEREF _Toc236507713 \h </w:instrText>
            </w:r>
            <w:r>
              <w:rPr>
                <w:noProof/>
                <w:webHidden/>
              </w:rPr>
            </w:r>
            <w:r>
              <w:rPr>
                <w:noProof/>
                <w:webHidden/>
              </w:rPr>
              <w:fldChar w:fldCharType="separate"/>
            </w:r>
            <w:r>
              <w:rPr>
                <w:noProof/>
                <w:webHidden/>
              </w:rPr>
              <w:t>10</w:t>
            </w:r>
            <w:r>
              <w:rPr>
                <w:noProof/>
                <w:webHidden/>
              </w:rPr>
              <w:fldChar w:fldCharType="end"/>
            </w:r>
          </w:hyperlink>
        </w:p>
        <w:p w14:paraId="2BAA62BC" w14:textId="71966F59" w:rsidR="00BA4D8F" w:rsidRDefault="00BA4D8F">
          <w:pPr>
            <w:pStyle w:val="TOC3"/>
            <w:tabs>
              <w:tab w:val="right" w:leader="dot" w:pos="9350"/>
            </w:tabs>
            <w:rPr>
              <w:rFonts w:asciiTheme="minorHAnsi" w:eastAsiaTheme="minorEastAsia" w:hAnsiTheme="minorHAnsi"/>
              <w:noProof/>
              <w:kern w:val="0"/>
              <w:sz w:val="22"/>
              <w:szCs w:val="22"/>
              <w14:ligatures w14:val="none"/>
            </w:rPr>
          </w:pPr>
          <w:hyperlink w:anchor="_Toc236507714" w:history="1">
            <w:r w:rsidRPr="000F3067">
              <w:rPr>
                <w:rStyle w:val="Hyperlink"/>
                <w:noProof/>
              </w:rPr>
              <w:t>5.3 Smoking Cessation</w:t>
            </w:r>
            <w:r>
              <w:rPr>
                <w:noProof/>
                <w:webHidden/>
              </w:rPr>
              <w:tab/>
            </w:r>
            <w:r>
              <w:rPr>
                <w:noProof/>
                <w:webHidden/>
              </w:rPr>
              <w:fldChar w:fldCharType="begin"/>
            </w:r>
            <w:r>
              <w:rPr>
                <w:noProof/>
                <w:webHidden/>
              </w:rPr>
              <w:instrText xml:space="preserve"> PAGEREF _Toc236507714 \h </w:instrText>
            </w:r>
            <w:r>
              <w:rPr>
                <w:noProof/>
                <w:webHidden/>
              </w:rPr>
            </w:r>
            <w:r>
              <w:rPr>
                <w:noProof/>
                <w:webHidden/>
              </w:rPr>
              <w:fldChar w:fldCharType="separate"/>
            </w:r>
            <w:r>
              <w:rPr>
                <w:noProof/>
                <w:webHidden/>
              </w:rPr>
              <w:t>10</w:t>
            </w:r>
            <w:r>
              <w:rPr>
                <w:noProof/>
                <w:webHidden/>
              </w:rPr>
              <w:fldChar w:fldCharType="end"/>
            </w:r>
          </w:hyperlink>
        </w:p>
        <w:p w14:paraId="429AA348" w14:textId="56CAD98C" w:rsidR="00BA4D8F" w:rsidRDefault="00BA4D8F">
          <w:pPr>
            <w:pStyle w:val="TOC3"/>
            <w:tabs>
              <w:tab w:val="right" w:leader="dot" w:pos="9350"/>
            </w:tabs>
            <w:rPr>
              <w:rFonts w:asciiTheme="minorHAnsi" w:eastAsiaTheme="minorEastAsia" w:hAnsiTheme="minorHAnsi"/>
              <w:noProof/>
              <w:kern w:val="0"/>
              <w:sz w:val="22"/>
              <w:szCs w:val="22"/>
              <w14:ligatures w14:val="none"/>
            </w:rPr>
          </w:pPr>
          <w:hyperlink w:anchor="_Toc236507715" w:history="1">
            <w:r w:rsidRPr="000F3067">
              <w:rPr>
                <w:rStyle w:val="Hyperlink"/>
                <w:noProof/>
              </w:rPr>
              <w:t>5.4 Weight Management</w:t>
            </w:r>
            <w:r>
              <w:rPr>
                <w:noProof/>
                <w:webHidden/>
              </w:rPr>
              <w:tab/>
            </w:r>
            <w:r>
              <w:rPr>
                <w:noProof/>
                <w:webHidden/>
              </w:rPr>
              <w:fldChar w:fldCharType="begin"/>
            </w:r>
            <w:r>
              <w:rPr>
                <w:noProof/>
                <w:webHidden/>
              </w:rPr>
              <w:instrText xml:space="preserve"> PAGEREF _Toc236507715 \h </w:instrText>
            </w:r>
            <w:r>
              <w:rPr>
                <w:noProof/>
                <w:webHidden/>
              </w:rPr>
            </w:r>
            <w:r>
              <w:rPr>
                <w:noProof/>
                <w:webHidden/>
              </w:rPr>
              <w:fldChar w:fldCharType="separate"/>
            </w:r>
            <w:r>
              <w:rPr>
                <w:noProof/>
                <w:webHidden/>
              </w:rPr>
              <w:t>11</w:t>
            </w:r>
            <w:r>
              <w:rPr>
                <w:noProof/>
                <w:webHidden/>
              </w:rPr>
              <w:fldChar w:fldCharType="end"/>
            </w:r>
          </w:hyperlink>
        </w:p>
        <w:p w14:paraId="4176EAF5" w14:textId="0161FFBD"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16" w:history="1">
            <w:r w:rsidRPr="000F3067">
              <w:rPr>
                <w:rStyle w:val="Hyperlink"/>
                <w:noProof/>
              </w:rPr>
              <w:t>Conclusion</w:t>
            </w:r>
            <w:r>
              <w:rPr>
                <w:noProof/>
                <w:webHidden/>
              </w:rPr>
              <w:tab/>
            </w:r>
            <w:r>
              <w:rPr>
                <w:noProof/>
                <w:webHidden/>
              </w:rPr>
              <w:fldChar w:fldCharType="begin"/>
            </w:r>
            <w:r>
              <w:rPr>
                <w:noProof/>
                <w:webHidden/>
              </w:rPr>
              <w:instrText xml:space="preserve"> PAGEREF _Toc236507716 \h </w:instrText>
            </w:r>
            <w:r>
              <w:rPr>
                <w:noProof/>
                <w:webHidden/>
              </w:rPr>
            </w:r>
            <w:r>
              <w:rPr>
                <w:noProof/>
                <w:webHidden/>
              </w:rPr>
              <w:fldChar w:fldCharType="separate"/>
            </w:r>
            <w:r>
              <w:rPr>
                <w:noProof/>
                <w:webHidden/>
              </w:rPr>
              <w:t>11</w:t>
            </w:r>
            <w:r>
              <w:rPr>
                <w:noProof/>
                <w:webHidden/>
              </w:rPr>
              <w:fldChar w:fldCharType="end"/>
            </w:r>
          </w:hyperlink>
        </w:p>
        <w:p w14:paraId="0A207EC4" w14:textId="271F66E7" w:rsidR="00BA4D8F" w:rsidRDefault="00BA4D8F">
          <w:pPr>
            <w:pStyle w:val="TOC2"/>
            <w:tabs>
              <w:tab w:val="right" w:leader="dot" w:pos="9350"/>
            </w:tabs>
            <w:rPr>
              <w:rFonts w:asciiTheme="minorHAnsi" w:eastAsiaTheme="minorEastAsia" w:hAnsiTheme="minorHAnsi"/>
              <w:noProof/>
              <w:kern w:val="0"/>
              <w:sz w:val="22"/>
              <w:szCs w:val="22"/>
              <w14:ligatures w14:val="none"/>
            </w:rPr>
          </w:pPr>
          <w:hyperlink w:anchor="_Toc236507717" w:history="1">
            <w:r w:rsidRPr="000F3067">
              <w:rPr>
                <w:rStyle w:val="Hyperlink"/>
                <w:noProof/>
              </w:rPr>
              <w:t>Reference List</w:t>
            </w:r>
            <w:r>
              <w:rPr>
                <w:noProof/>
                <w:webHidden/>
              </w:rPr>
              <w:tab/>
            </w:r>
            <w:r>
              <w:rPr>
                <w:noProof/>
                <w:webHidden/>
              </w:rPr>
              <w:fldChar w:fldCharType="begin"/>
            </w:r>
            <w:r>
              <w:rPr>
                <w:noProof/>
                <w:webHidden/>
              </w:rPr>
              <w:instrText xml:space="preserve"> PAGEREF _Toc236507717 \h </w:instrText>
            </w:r>
            <w:r>
              <w:rPr>
                <w:noProof/>
                <w:webHidden/>
              </w:rPr>
            </w:r>
            <w:r>
              <w:rPr>
                <w:noProof/>
                <w:webHidden/>
              </w:rPr>
              <w:fldChar w:fldCharType="separate"/>
            </w:r>
            <w:r>
              <w:rPr>
                <w:noProof/>
                <w:webHidden/>
              </w:rPr>
              <w:t>12</w:t>
            </w:r>
            <w:r>
              <w:rPr>
                <w:noProof/>
                <w:webHidden/>
              </w:rPr>
              <w:fldChar w:fldCharType="end"/>
            </w:r>
          </w:hyperlink>
        </w:p>
        <w:p w14:paraId="5F9CB212" w14:textId="7F6C3536" w:rsidR="00976BB8" w:rsidRDefault="00976BB8">
          <w:r>
            <w:rPr>
              <w:b/>
              <w:bCs/>
              <w:noProof/>
            </w:rPr>
            <w:fldChar w:fldCharType="end"/>
          </w:r>
        </w:p>
      </w:sdtContent>
    </w:sdt>
    <w:p w14:paraId="3798628E" w14:textId="77777777" w:rsidR="00976BB8" w:rsidRDefault="00976BB8" w:rsidP="00976BB8"/>
    <w:p w14:paraId="7C0459C7" w14:textId="77777777" w:rsidR="00976BB8" w:rsidRDefault="00976BB8">
      <w:pPr>
        <w:spacing w:line="278" w:lineRule="auto"/>
        <w:jc w:val="left"/>
        <w:rPr>
          <w:rFonts w:eastAsiaTheme="majorEastAsia" w:cstheme="majorBidi"/>
          <w:b/>
          <w:color w:val="4472C4" w:themeColor="accent1"/>
          <w:sz w:val="32"/>
          <w:szCs w:val="40"/>
        </w:rPr>
      </w:pPr>
      <w:r>
        <w:br w:type="page"/>
      </w:r>
    </w:p>
    <w:p w14:paraId="2C26C88E" w14:textId="2DC1B9DF" w:rsidR="00824BB0" w:rsidRPr="00824BB0" w:rsidRDefault="00824BB0" w:rsidP="00824BB0">
      <w:pPr>
        <w:pStyle w:val="Heading1"/>
      </w:pPr>
      <w:bookmarkStart w:id="0" w:name="_Toc236507706"/>
      <w:r w:rsidRPr="00824BB0">
        <w:lastRenderedPageBreak/>
        <w:t>Case Study Report: Type 2 Diabetes Management Through Understanding Physiology, Blood Glucose Monitoring and Lifestyle Intervention</w:t>
      </w:r>
      <w:bookmarkEnd w:id="0"/>
    </w:p>
    <w:p w14:paraId="324A34B5" w14:textId="04081403" w:rsidR="00824BB0" w:rsidRDefault="00824BB0" w:rsidP="00824BB0">
      <w:pPr>
        <w:pStyle w:val="Heading2"/>
      </w:pPr>
      <w:bookmarkStart w:id="1" w:name="_Toc236507707"/>
      <w:r w:rsidRPr="00824BB0">
        <w:t>Introduction</w:t>
      </w:r>
      <w:bookmarkEnd w:id="1"/>
    </w:p>
    <w:p w14:paraId="5505BFC8" w14:textId="2E2DA558" w:rsidR="00824BB0" w:rsidRDefault="00824BB0" w:rsidP="00824BB0">
      <w:r>
        <w:t>Type 2 diabetes mellitus (T2DM) is a chronic metabolic disorder that is defined by a sustained hyperglycemia associated with a diminished insulin sensitivity and a gradual decrease in pancreatic b-cell function</w:t>
      </w:r>
      <w:r w:rsidR="00EE3D2F">
        <w:t xml:space="preserve"> </w:t>
      </w:r>
      <w:r w:rsidR="00EE3D2F" w:rsidRPr="00EE3D2F">
        <w:t>(Galicia-Garcia et al., 2020)</w:t>
      </w:r>
      <w:r>
        <w:t xml:space="preserve">. </w:t>
      </w:r>
      <w:r w:rsidR="00A2566A" w:rsidRPr="00A2566A">
        <w:t>In diabetes type 2, the resistance to insulin decreases the capacity of insulin to stimulate glucose uptake in skeletal muscle and adipose tissue and to inhibit hepatic production of glucose, leading to the build-up of glucose in the bloodstream</w:t>
      </w:r>
      <w:r w:rsidR="00A2566A">
        <w:t>.</w:t>
      </w:r>
      <w:r>
        <w:t xml:space="preserve"> T2DM is a massive global health problem and is associated with various complications such as cardiovascular disease, nephropathy and a diminished quality of life.</w:t>
      </w:r>
    </w:p>
    <w:p w14:paraId="589B3D70" w14:textId="0CC97398" w:rsidR="00824BB0" w:rsidRDefault="00824BB0" w:rsidP="00824BB0">
      <w:r>
        <w:t>T2DM is a complex disease, which is the result of a combination of genetic predisposition and environmental and lifestyle factors. The risk factors are the family history, smoking, obesity, physical inactivity and unhealthy eating habits, among others</w:t>
      </w:r>
      <w:r w:rsidR="00EE3D2F">
        <w:t xml:space="preserve"> </w:t>
      </w:r>
      <w:r w:rsidR="00EE3D2F" w:rsidRPr="00EE3D2F">
        <w:t>(Galicia-Garcia et al., 2020)</w:t>
      </w:r>
      <w:r>
        <w:t xml:space="preserve">. But it is not as if obesity is the only factor involved in the development of diabetes—people with the same BMI could have different metabolic risks. Visceral fat accumulation and chronic </w:t>
      </w:r>
      <w:r w:rsidR="005873C8">
        <w:t>low-grade</w:t>
      </w:r>
      <w:r>
        <w:t xml:space="preserve"> inflammation are now believed to be key factors in the promotion of insulin resistance (DeFronzo et al., 2015).</w:t>
      </w:r>
    </w:p>
    <w:p w14:paraId="5690CD19" w14:textId="77777777" w:rsidR="00824BB0" w:rsidRDefault="00824BB0" w:rsidP="00824BB0">
      <w:r>
        <w:t>The knowledge of the physiological processes of blood glucose regulation is important for the understanding of self-management of T2DM as it is important to know how lifestyle behaviours affect blood glucose levels. Working as a practice nurse and supporting patients in primary care, education on glucose monitoring, nutrition, physical activity and smoking cessation can help to ensure patients are better engaged in care plans and reduce complications in the long-term.</w:t>
      </w:r>
    </w:p>
    <w:p w14:paraId="0C192901" w14:textId="77777777" w:rsidR="00824BB0" w:rsidRDefault="00824BB0" w:rsidP="00824BB0">
      <w:r>
        <w:t>This report will explore the mechanisms of maintaining blood glucose in a healthy range, the production of cellular energy from glucose and oxygen, the significance of blood glucose patterns on health and evidence-based lifestyle modifications for successful type 2 diabetes management.</w:t>
      </w:r>
    </w:p>
    <w:p w14:paraId="7CD85C83" w14:textId="77777777" w:rsidR="00824BB0" w:rsidRDefault="00824BB0" w:rsidP="00824BB0">
      <w:pPr>
        <w:pStyle w:val="Heading2"/>
      </w:pPr>
      <w:bookmarkStart w:id="2" w:name="_Toc236507708"/>
      <w:r w:rsidRPr="00824BB0">
        <w:lastRenderedPageBreak/>
        <w:t>Regulation of Blood Glucose Levels in the Human Body</w:t>
      </w:r>
      <w:bookmarkEnd w:id="2"/>
    </w:p>
    <w:p w14:paraId="7F8A417E" w14:textId="0037EEFF" w:rsidR="00824BB0" w:rsidRDefault="00824BB0" w:rsidP="00824BB0">
      <w:r>
        <w:t>Glucose homeostasis or blood glucose regulation is a tightly regulated physiological process that involves the pancreas, liver, skeletal muscles and body tissues. This is important to keep blood glucose within an appropriate range, since glucose is the chief energy source for many cells, including the brain. In healthy people, normal fasting blood glucose (FBG) targets range from about 4-7 mmol/L, depending on individual circumstances (NICE, 2022).</w:t>
      </w:r>
    </w:p>
    <w:p w14:paraId="151AAD91" w14:textId="75FF73A9" w:rsidR="00824BB0" w:rsidRDefault="00824BB0" w:rsidP="00824BB0">
      <w:r>
        <w:t>Insulin and glucagon are two hormones secreted by the pancreas and are important in glucose homeostasis. These hormones are secreted by special endocrinal cells present in the islets of Langerhans.</w:t>
      </w:r>
    </w:p>
    <w:p w14:paraId="63EA1998" w14:textId="77777777" w:rsidR="005E3F12" w:rsidRDefault="005E3F12" w:rsidP="005E3F12">
      <w:pPr>
        <w:keepNext/>
      </w:pPr>
      <w:r>
        <w:rPr>
          <w:noProof/>
        </w:rPr>
        <w:drawing>
          <wp:inline distT="0" distB="0" distL="0" distR="0" wp14:anchorId="77FDE5A9" wp14:editId="1446A194">
            <wp:extent cx="5486400" cy="3200400"/>
            <wp:effectExtent l="0" t="0" r="0" b="12700"/>
            <wp:docPr id="205864942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13D8904" w14:textId="0DF4BBD0" w:rsidR="005E3F12" w:rsidRPr="00824BB0" w:rsidRDefault="005E3F12" w:rsidP="005E3F12">
      <w:pPr>
        <w:pStyle w:val="Caption"/>
        <w:jc w:val="center"/>
      </w:pPr>
      <w:r>
        <w:t xml:space="preserve">Figure </w:t>
      </w:r>
      <w:r w:rsidR="008E47C7">
        <w:fldChar w:fldCharType="begin"/>
      </w:r>
      <w:r w:rsidR="008E47C7">
        <w:instrText xml:space="preserve"> SEQ Figure \* ARABIC </w:instrText>
      </w:r>
      <w:r w:rsidR="008E47C7">
        <w:fldChar w:fldCharType="separate"/>
      </w:r>
      <w:r w:rsidR="008E47C7">
        <w:rPr>
          <w:noProof/>
        </w:rPr>
        <w:t>1</w:t>
      </w:r>
      <w:r w:rsidR="008E47C7">
        <w:rPr>
          <w:noProof/>
        </w:rPr>
        <w:fldChar w:fldCharType="end"/>
      </w:r>
      <w:r>
        <w:t xml:space="preserve">: </w:t>
      </w:r>
      <w:r w:rsidRPr="008F2356">
        <w:t>Normal Blood Glucose Homeostasis</w:t>
      </w:r>
    </w:p>
    <w:p w14:paraId="37117171" w14:textId="77777777" w:rsidR="007C5313" w:rsidRDefault="007C5313" w:rsidP="007C5313">
      <w:r>
        <w:t>After consuming carbohydrates, the glucose is absorbed into the bloodstream. The rise in blood sugar levels causes the pancreatic b-cells to secrete insulin. Insulin is a signalling hormone, permitting glucose to be transferred out of the blood into the cells via glucose transporter proteins, especially GLUT-4 transporters in skeletal muscle and adipose tissue. The liver and muscles can also store excess glucose as glycogen to be used in the future (Roden and Shulman, 2019).</w:t>
      </w:r>
    </w:p>
    <w:p w14:paraId="3339D12C" w14:textId="77777777" w:rsidR="007C5313" w:rsidRDefault="007C5313" w:rsidP="007C5313">
      <w:r>
        <w:t xml:space="preserve">Blood glucose level falls during the fasting period or when there is a lot of energy requirement. The pancreatic a-cells respond by releasing glucagon that activates the liver to metabolize the </w:t>
      </w:r>
      <w:r>
        <w:lastRenderedPageBreak/>
        <w:t>stored glycogen to glucose via glycogenolysis. This helps ensure that levels of blood glucose do not drop below normal levels necessary to support normal physiological functions.</w:t>
      </w:r>
    </w:p>
    <w:p w14:paraId="4757FAFE" w14:textId="308CCC48" w:rsidR="00824BB0" w:rsidRPr="00824BB0" w:rsidRDefault="007C5313" w:rsidP="007C5313">
      <w:r>
        <w:t xml:space="preserve">This regulatory system is impaired in persons with Type 2 diabetes. The first phase is typically connected with insulin resistance, when the cells no longer respond to insulin well despite the normal or high levels of insulin secretion. Consequently, glucose stays in the blood leading to hyperglycaemia. With time, persistent stress on pancreatic b-cells may result in the exhaustion of b-cells and decreased insulin secretion (DeFronzo et al., 2015). </w:t>
      </w:r>
    </w:p>
    <w:p w14:paraId="04CB09B2" w14:textId="77777777" w:rsidR="005E3F12" w:rsidRDefault="00882289" w:rsidP="005E3F12">
      <w:pPr>
        <w:keepNext/>
      </w:pPr>
      <w:r>
        <w:rPr>
          <w:noProof/>
        </w:rPr>
        <w:drawing>
          <wp:inline distT="0" distB="0" distL="0" distR="0" wp14:anchorId="41480D68" wp14:editId="36ED8C05">
            <wp:extent cx="5486400" cy="3200400"/>
            <wp:effectExtent l="0" t="0" r="0" b="12700"/>
            <wp:docPr id="7597320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50EF078" w14:textId="2837ECB5" w:rsidR="00882289" w:rsidRPr="00824BB0" w:rsidRDefault="005E3F12" w:rsidP="005E3F12">
      <w:pPr>
        <w:pStyle w:val="Caption"/>
        <w:jc w:val="center"/>
      </w:pPr>
      <w:r>
        <w:t xml:space="preserve">Figure </w:t>
      </w:r>
      <w:r w:rsidR="008E47C7">
        <w:fldChar w:fldCharType="begin"/>
      </w:r>
      <w:r w:rsidR="008E47C7">
        <w:instrText xml:space="preserve"> SEQ Figure \* ARABIC </w:instrText>
      </w:r>
      <w:r w:rsidR="008E47C7">
        <w:fldChar w:fldCharType="separate"/>
      </w:r>
      <w:r w:rsidR="008E47C7">
        <w:rPr>
          <w:noProof/>
        </w:rPr>
        <w:t>2</w:t>
      </w:r>
      <w:r w:rsidR="008E47C7">
        <w:rPr>
          <w:noProof/>
        </w:rPr>
        <w:fldChar w:fldCharType="end"/>
      </w:r>
      <w:r>
        <w:t xml:space="preserve">: </w:t>
      </w:r>
      <w:r w:rsidRPr="00BA2D0E">
        <w:t>Development of Type 2 Diabetes</w:t>
      </w:r>
    </w:p>
    <w:p w14:paraId="6C27107A" w14:textId="7B8F0F19" w:rsidR="005873C8" w:rsidRDefault="005873C8" w:rsidP="005873C8">
      <w:r>
        <w:t>As such, T2DM cannot be regarded as a mere effect of the excessive consumption of sugar. Even though diet plays a very important role, the condition is acquired in various ways of physiological events in which insulin resistance, inflammation, genetics and environmental factors are involved. The knowledge is relevant as it emphasizes the importance of combining medication, monitoring and lifestyle change as opposed to concentrating on one specific element in order to achieve effective management.</w:t>
      </w:r>
    </w:p>
    <w:p w14:paraId="09ED1B0B" w14:textId="77777777" w:rsidR="005873C8" w:rsidRPr="00824BB0" w:rsidRDefault="005873C8" w:rsidP="005873C8">
      <w:pPr>
        <w:pStyle w:val="Heading2"/>
      </w:pPr>
      <w:bookmarkStart w:id="3" w:name="_Toc236507709"/>
      <w:r w:rsidRPr="00824BB0">
        <w:t>Use of Oxygen and Glucose in Cellular Energy Production</w:t>
      </w:r>
      <w:bookmarkEnd w:id="3"/>
    </w:p>
    <w:p w14:paraId="4876635C" w14:textId="77777777" w:rsidR="005873C8" w:rsidRDefault="005873C8" w:rsidP="005873C8">
      <w:r>
        <w:t xml:space="preserve">Cellular metabolism cannot occur without glucose as it is the source of chemical energy necessary to carry out various activities like muscle contraction, nerve transmission, and tissue repair. When </w:t>
      </w:r>
      <w:r>
        <w:lastRenderedPageBreak/>
        <w:t>glucose gets to cells, it is changed into usable energy in a process known as cellular respiration. During aerobic respiration, oxygen is needed as it allows to produce adenosine triphosphate (ATP), which is the primary energy currency of cells, efficiently.</w:t>
      </w:r>
    </w:p>
    <w:p w14:paraId="416FCDFF" w14:textId="143F1A58" w:rsidR="00824BB0" w:rsidRPr="00824BB0" w:rsidRDefault="005873C8" w:rsidP="005873C8">
      <w:r>
        <w:t xml:space="preserve">The reaction in general can be depicted as: </w:t>
      </w:r>
    </w:p>
    <w:p w14:paraId="4CC35615" w14:textId="72C3EB6A" w:rsidR="00824BB0" w:rsidRPr="00824BB0" w:rsidRDefault="009C3825" w:rsidP="00824BB0">
      <w:r w:rsidRPr="009C3825">
        <w:rPr>
          <w:b/>
          <w:bCs/>
        </w:rPr>
        <w:t>C₆H₁₂O₆ + 6O₂ → 6CO₂ + 6H₂O + approximately 30–32 ATP</w:t>
      </w:r>
      <w:r>
        <w:rPr>
          <w:b/>
          <w:bCs/>
        </w:rPr>
        <w:t xml:space="preserve"> </w:t>
      </w:r>
    </w:p>
    <w:p w14:paraId="1C405C2D" w14:textId="77777777" w:rsidR="00882289" w:rsidRDefault="00882289" w:rsidP="00882289">
      <w:pPr>
        <w:keepNext/>
      </w:pPr>
      <w:r>
        <w:rPr>
          <w:noProof/>
        </w:rPr>
        <w:drawing>
          <wp:inline distT="0" distB="0" distL="0" distR="0" wp14:anchorId="16369185" wp14:editId="47C514D1">
            <wp:extent cx="6515100" cy="1022350"/>
            <wp:effectExtent l="0" t="0" r="12700" b="0"/>
            <wp:docPr id="10968180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F10F164" w14:textId="08CDCBA1" w:rsidR="00882289" w:rsidRDefault="00882289" w:rsidP="00882289">
      <w:pPr>
        <w:pStyle w:val="Caption"/>
        <w:jc w:val="center"/>
      </w:pPr>
      <w:r>
        <w:t xml:space="preserve">Figure </w:t>
      </w:r>
      <w:r w:rsidR="008E47C7">
        <w:fldChar w:fldCharType="begin"/>
      </w:r>
      <w:r w:rsidR="008E47C7">
        <w:instrText xml:space="preserve"> SEQ Figure \* ARABIC </w:instrText>
      </w:r>
      <w:r w:rsidR="008E47C7">
        <w:fldChar w:fldCharType="separate"/>
      </w:r>
      <w:r w:rsidR="008E47C7">
        <w:rPr>
          <w:noProof/>
        </w:rPr>
        <w:t>3</w:t>
      </w:r>
      <w:r w:rsidR="008E47C7">
        <w:rPr>
          <w:noProof/>
        </w:rPr>
        <w:fldChar w:fldCharType="end"/>
      </w:r>
      <w:r>
        <w:t xml:space="preserve">: </w:t>
      </w:r>
      <w:r w:rsidRPr="00613B16">
        <w:t>Cellular Respiration Process</w:t>
      </w:r>
    </w:p>
    <w:p w14:paraId="2299766C" w14:textId="77777777" w:rsidR="005873C8" w:rsidRDefault="005873C8" w:rsidP="005873C8">
      <w:r>
        <w:t>Glycolysis happens in the cytoplasm, the glucose molecules are broken down into pyruvates. Pyruvate is then transported into the mitochondria where the Krebs cycle and electron transport chain generate a high amount of ATP with the help of oxygen. Waste products are CO2 and water.</w:t>
      </w:r>
    </w:p>
    <w:p w14:paraId="7460C74D" w14:textId="77777777" w:rsidR="005873C8" w:rsidRDefault="005873C8" w:rsidP="005873C8">
      <w:r>
        <w:t>Glucose is available in the bloodstream, but in Type 2 diabetes, the cells are resistant to insulin. This means that the tissues can have less glucose use, and higher blood sugar. Oxidative stress and inflammation can also result from persistent hyperglycaemia, leading to complications like cardiovascular disease, kidney damage and nerve damage (Roden and Shulman, 2019).</w:t>
      </w:r>
    </w:p>
    <w:p w14:paraId="3FCACC69" w14:textId="77777777" w:rsidR="005873C8" w:rsidRDefault="005873C8" w:rsidP="005873C8">
      <w:r>
        <w:t>This is a good example of how important it is to keep blood sugar in balance. Tight control of diabetes is more than just keeping blood sugar readings in check; it is also about maintaining normal function of the cells and avoiding long-term physiological harm.</w:t>
      </w:r>
    </w:p>
    <w:p w14:paraId="735520F7" w14:textId="77E087E3" w:rsidR="005873C8" w:rsidRDefault="005873C8" w:rsidP="005873C8">
      <w:pPr>
        <w:pStyle w:val="Heading2"/>
      </w:pPr>
      <w:bookmarkStart w:id="4" w:name="_Toc236507710"/>
      <w:r w:rsidRPr="005873C8">
        <w:t>Importance of Recording and Tracking Blood Glucose</w:t>
      </w:r>
      <w:bookmarkEnd w:id="4"/>
    </w:p>
    <w:p w14:paraId="493D7D7C" w14:textId="55F76520" w:rsidR="00957992" w:rsidRDefault="00957992" w:rsidP="00957992">
      <w:r>
        <w:t>Therefore, BGM may play a significant role in the care of people with Type 2 diabetes (T2DM) as it delivers information on glycaemic control and its response to treatment, diet and behaviour. Multiple types of glucose information are gathered in clinical practice: capillary blood glucose (CBG) monitoring, continuous glucose monitoring (CGM) and glycated haemoglobin (HbA1c)</w:t>
      </w:r>
      <w:r w:rsidR="008E47C7">
        <w:t xml:space="preserve"> </w:t>
      </w:r>
      <w:r w:rsidR="008E47C7" w:rsidRPr="008E47C7">
        <w:t>(Ajjan et al., 2019)</w:t>
      </w:r>
      <w:r>
        <w:t>.</w:t>
      </w:r>
    </w:p>
    <w:p w14:paraId="4C1E92E0" w14:textId="008F0C90" w:rsidR="00957992" w:rsidRDefault="00957992" w:rsidP="00957992">
      <w:r>
        <w:t>Capillary blood glucose testing is performed by making a pinch in the finger to collect a drop of blood for the measurement. It is useful for the patient to get instant feedback on their blood glucose and is important to help learn how changes in blood glucose in the short-term are affected by food, movement, medications and illness. But each of the readings can only reflect the glucose levels at that particular time and should be considered in conjunction with other clinical findings.</w:t>
      </w:r>
    </w:p>
    <w:p w14:paraId="21C41A7C" w14:textId="0098CA21" w:rsidR="00957992" w:rsidRDefault="00957992" w:rsidP="00957992">
      <w:r>
        <w:t>Continuous glucose monitoring (CGM) is a glucose level measurement device that is worn under the skin, measuring glucose levels around-the-clock. CGM is different than finger prick tests as it gives information on glucose patterns, such as how glucose levels are rising and falling after eating, overnight variations, and times of high and low glucose levels. This information can be used for healthcare professionals to look for trends and make necessary changes in a treatment plan when needed.</w:t>
      </w:r>
    </w:p>
    <w:p w14:paraId="4B38AE44" w14:textId="12523794" w:rsidR="00957992" w:rsidRDefault="00957992" w:rsidP="00957992">
      <w:r>
        <w:t>Another routine measurement important to diabetes management is the HbA1c. Glucose binds to haemoglobin in red blood cells and, HbA1c is a measurement of the average glucose exposure of red blood cells and thus shows glucose levels over a period of about two to three months</w:t>
      </w:r>
      <w:r w:rsidR="008E47C7">
        <w:t xml:space="preserve"> </w:t>
      </w:r>
      <w:r w:rsidR="008E47C7" w:rsidRPr="008E47C7">
        <w:t>(Eyth et al., 2023)</w:t>
      </w:r>
      <w:r>
        <w:t>. NICE suggests HbA1c should be checked in every outpatient clinic every three to six months until glucose is stabilised and then every six months after stabilisation of therapy and glycaemic control</w:t>
      </w:r>
      <w:r w:rsidR="008E47C7">
        <w:t xml:space="preserve"> </w:t>
      </w:r>
      <w:r w:rsidR="008E47C7" w:rsidRPr="008E47C7">
        <w:t>(Boltpharmacy.co.uk, 2025)</w:t>
      </w:r>
      <w:r>
        <w:t>.</w:t>
      </w:r>
    </w:p>
    <w:p w14:paraId="46EE5B52" w14:textId="743CDA3A" w:rsidR="005873C8" w:rsidRDefault="00957992" w:rsidP="00824BB0">
      <w:r>
        <w:t>When these routine measurements are analysed it can help health workers determine if they are getting the desired effect from the treatment or if lifestyle changes, changes to medications or other support is needed. As such, glucose monitoring data should not be thought of as individual numbers, but rather as information to guide personalised care plans and shared decision-making.</w:t>
      </w:r>
    </w:p>
    <w:p w14:paraId="1E6BCBC1" w14:textId="77777777" w:rsidR="008E47C7" w:rsidRDefault="008E47C7" w:rsidP="008E47C7">
      <w:pPr>
        <w:keepNext/>
      </w:pPr>
      <w:r w:rsidRPr="00895977">
        <w:rPr>
          <w:noProof/>
        </w:rPr>
        <w:drawing>
          <wp:inline distT="0" distB="0" distL="0" distR="0" wp14:anchorId="7B791093" wp14:editId="7C574A25">
            <wp:extent cx="5943600" cy="5396865"/>
            <wp:effectExtent l="0" t="0" r="0" b="0"/>
            <wp:docPr id="1837423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5396865"/>
                    </a:xfrm>
                    <a:prstGeom prst="rect">
                      <a:avLst/>
                    </a:prstGeom>
                    <a:noFill/>
                    <a:ln>
                      <a:noFill/>
                    </a:ln>
                  </pic:spPr>
                </pic:pic>
              </a:graphicData>
            </a:graphic>
          </wp:inline>
        </w:drawing>
      </w:r>
    </w:p>
    <w:p w14:paraId="28745E37" w14:textId="71C27D55" w:rsidR="008E47C7" w:rsidRDefault="008E47C7" w:rsidP="008E47C7">
      <w:pPr>
        <w:pStyle w:val="Caption"/>
        <w:jc w:val="center"/>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4325E1">
        <w:t>Example of how routine glucose data can support diabetes management</w:t>
      </w:r>
    </w:p>
    <w:p w14:paraId="0DA7DFEB" w14:textId="77777777" w:rsidR="005873C8" w:rsidRDefault="005873C8" w:rsidP="005873C8">
      <w:r>
        <w:t>Nevertheless, despite the fact that blood glucose monitoring can be a useful tool, research indicates that monitoring in and of itself does not necessarily lead to improvement of diabetes. Patients should be aware of the interpretation of results and make the necessary changes in their behaviour. Limited improvement may be observed in a patient who records glucose levels without changing diet, exercise habits or medication adherence. Thus, monitoring is necessary in combination with diabetes education.</w:t>
      </w:r>
    </w:p>
    <w:p w14:paraId="7C45EF6B" w14:textId="77777777" w:rsidR="005873C8" w:rsidRDefault="005873C8" w:rsidP="005873C8">
      <w:r>
        <w:t>The emergence of newer technologies, especially continuous glucose monitoring (CGM), has enhanced the care of diabetes patients by giving more specific insights into the variation in glucose levels over the course of the day. CGM systems continuously monitor glucose levels by having sensors under the skin and is able to detect patterns that are not easily noticed by finger-prick testing. Nevertheless, accessibility, cost and patient training are also significant factors to be considered in the implementation of these technologies in the routine healthcare environment (Martens et al., 2021).</w:t>
      </w:r>
    </w:p>
    <w:p w14:paraId="52AFC5F9" w14:textId="77777777" w:rsidR="00882289" w:rsidRDefault="005873C8" w:rsidP="00824BB0">
      <w:r>
        <w:t>In terms of health and social care, the promotion of active involvement of patients in monitoring promotes self-management and patient autonomy. Proper monitoring will make the patients not passive receivers of healthcare, but active participants in the management of their condition.</w:t>
      </w:r>
    </w:p>
    <w:p w14:paraId="2212276E" w14:textId="7478A06F" w:rsidR="00824BB0" w:rsidRPr="00882289" w:rsidRDefault="00824BB0" w:rsidP="00882289">
      <w:pPr>
        <w:pStyle w:val="Heading2"/>
      </w:pPr>
      <w:bookmarkStart w:id="5" w:name="_Toc236507711"/>
      <w:r w:rsidRPr="00824BB0">
        <w:t>Evidence-Based Lifestyle Recommendations to Improve Type 2 Diabetes Management</w:t>
      </w:r>
      <w:bookmarkEnd w:id="5"/>
    </w:p>
    <w:p w14:paraId="281E9761" w14:textId="77777777" w:rsidR="005873C8" w:rsidRDefault="005873C8" w:rsidP="005873C8">
      <w:r>
        <w:t>The lifestyle change is a key element of Type 2 diabetes treatment since the diet, physical activity and smoking habits directly affect the insulin sensitivity and the regulation of blood glucose levels. Nevertheless, the lifestyle advice must be tailored as social factors, cultural preferences, financial constraints and individual capabilities affect the ability of patients to successfully adhere to changes.</w:t>
      </w:r>
    </w:p>
    <w:p w14:paraId="0B63D95A" w14:textId="77777777" w:rsidR="00824BB0" w:rsidRPr="00824BB0" w:rsidRDefault="00824BB0" w:rsidP="00882289">
      <w:pPr>
        <w:pStyle w:val="Heading3"/>
      </w:pPr>
      <w:bookmarkStart w:id="6" w:name="_Toc236507712"/>
      <w:r w:rsidRPr="00824BB0">
        <w:t>5.1 Dietary Modification</w:t>
      </w:r>
      <w:bookmarkEnd w:id="6"/>
    </w:p>
    <w:p w14:paraId="4739B3CC" w14:textId="2A986236" w:rsidR="00882289" w:rsidRDefault="00882289" w:rsidP="00882289">
      <w:r>
        <w:t>Eating a balanced diet is crucial to regulating blood sugar levels and preventing complications of diabetes. There are dietary trends that are supported by evidence and which focus on vegetables, whole grains, legumes, fruits, lean proteins and unsaturated fats. High fibre levels, plant-based foods and healthy fats, which are found in the Mediterranean diet have been shown to be beneficial in glycaemic control and cardiovascular risk factors in people with Type 2 diabetes (Evert et al., 2019).</w:t>
      </w:r>
    </w:p>
    <w:p w14:paraId="0BB36E15" w14:textId="39A9F66C" w:rsidR="00882289" w:rsidRDefault="00882289" w:rsidP="00882289">
      <w:r>
        <w:t>Rapid blood sugar rise post- meals can be prevented by reducing overconsumption of refined carbohydrates and highly processed foods</w:t>
      </w:r>
      <w:r w:rsidR="00EE3D2F">
        <w:t xml:space="preserve"> </w:t>
      </w:r>
      <w:r w:rsidR="008E47C7" w:rsidRPr="008E47C7">
        <w:t>(The Nutrition Source, 2013)</w:t>
      </w:r>
      <w:r>
        <w:t>. The dietary recommendations, however, must not be simplistic. Requesting the patients to avoid carbohydrates altogether is not evidence-based since carbohydrates are still a significant source of energy. Rather, better quality of carbohydrates, portion control and meal planning should be promoted by the healthcare professionals.</w:t>
      </w:r>
    </w:p>
    <w:p w14:paraId="7D92CE5A" w14:textId="77777777" w:rsidR="00882289" w:rsidRDefault="00882289" w:rsidP="00882289">
      <w:r>
        <w:t>As an illustration, substituting refined carbohydrates like white bread and sweet drinks with whole grains and high-fibre options will decelerate glucose uptake and decrease post-meal glucose surges.</w:t>
      </w:r>
    </w:p>
    <w:p w14:paraId="7FD833E2" w14:textId="77777777" w:rsidR="00824BB0" w:rsidRPr="00824BB0" w:rsidRDefault="00824BB0" w:rsidP="00882289">
      <w:pPr>
        <w:pStyle w:val="Heading3"/>
      </w:pPr>
      <w:bookmarkStart w:id="7" w:name="_Toc236507713"/>
      <w:r w:rsidRPr="00824BB0">
        <w:t>5.2 Physical Activity and Exercise</w:t>
      </w:r>
      <w:bookmarkEnd w:id="7"/>
    </w:p>
    <w:p w14:paraId="2B510F10" w14:textId="77777777" w:rsidR="00882289" w:rsidRDefault="00882289" w:rsidP="00882289">
      <w:r>
        <w:t>Regular exercise enhances the control of glucose by improving insulin sensitivity and boosting glucose uptake by skeletal muscles. Exercising activates muscle contraction which activates GLUT-4 transporters, which enables glucose to get into the muscle cells without insulin. The mechanism is especially useful in those people who have insulin resistance.</w:t>
      </w:r>
    </w:p>
    <w:p w14:paraId="5FBBA5E9" w14:textId="77777777" w:rsidR="00882289" w:rsidRDefault="00882289" w:rsidP="00882289">
      <w:r>
        <w:t>It is advised by the World Health Organization that adults need to take at least 150-300 minutes of moderate-intensity physical exercise every week, and muscle-strengthening exercises at least two or three days in a week (WHO, 2020).</w:t>
      </w:r>
    </w:p>
    <w:p w14:paraId="3CD8D853" w14:textId="77777777" w:rsidR="00882289" w:rsidRDefault="00882289" w:rsidP="00882289">
      <w:r>
        <w:t>Other benefits of exercise besides glucose control include:</w:t>
      </w:r>
    </w:p>
    <w:p w14:paraId="65EFCB95" w14:textId="02735CD4" w:rsidR="00882289" w:rsidRDefault="00882289" w:rsidP="00882289">
      <w:pPr>
        <w:pStyle w:val="ListParagraph"/>
        <w:numPr>
          <w:ilvl w:val="0"/>
          <w:numId w:val="3"/>
        </w:numPr>
      </w:pPr>
      <w:r>
        <w:t>Decreased cardiovascular risk.</w:t>
      </w:r>
    </w:p>
    <w:p w14:paraId="3B61EE64" w14:textId="273A7E5A" w:rsidR="00882289" w:rsidRDefault="00882289" w:rsidP="00882289">
      <w:pPr>
        <w:pStyle w:val="ListParagraph"/>
        <w:numPr>
          <w:ilvl w:val="0"/>
          <w:numId w:val="3"/>
        </w:numPr>
      </w:pPr>
      <w:r>
        <w:t>Improved body composition</w:t>
      </w:r>
    </w:p>
    <w:p w14:paraId="3703554F" w14:textId="0FF0B431" w:rsidR="00882289" w:rsidRDefault="00882289" w:rsidP="00882289">
      <w:pPr>
        <w:pStyle w:val="ListParagraph"/>
        <w:numPr>
          <w:ilvl w:val="0"/>
          <w:numId w:val="3"/>
        </w:numPr>
      </w:pPr>
      <w:r>
        <w:t>Increased psychological wellbeing</w:t>
      </w:r>
    </w:p>
    <w:p w14:paraId="15EC8F85" w14:textId="7796003C" w:rsidR="00882289" w:rsidRDefault="00882289" w:rsidP="00882289">
      <w:pPr>
        <w:pStyle w:val="ListParagraph"/>
        <w:numPr>
          <w:ilvl w:val="0"/>
          <w:numId w:val="3"/>
        </w:numPr>
      </w:pPr>
      <w:r>
        <w:t>Improved quality of life</w:t>
      </w:r>
    </w:p>
    <w:p w14:paraId="2F4A904C" w14:textId="77777777" w:rsidR="00882289" w:rsidRDefault="00882289" w:rsidP="00882289">
      <w:r>
        <w:t>However, the exercise programmes are supposed to be tailored based on patient capability, age and prevailing complications. As an illustration, patients with diabetic neuropathy might need less vigorous activities to minimize the risk of injury.</w:t>
      </w:r>
    </w:p>
    <w:p w14:paraId="74D02018" w14:textId="77777777" w:rsidR="00882289" w:rsidRDefault="00882289" w:rsidP="00882289">
      <w:pPr>
        <w:pStyle w:val="Heading3"/>
      </w:pPr>
      <w:bookmarkStart w:id="8" w:name="_Toc236507714"/>
      <w:r>
        <w:t>5.3 Smoking Cessation</w:t>
      </w:r>
      <w:bookmarkEnd w:id="8"/>
    </w:p>
    <w:p w14:paraId="6F6C3B9E" w14:textId="26EE345D" w:rsidR="00882289" w:rsidRDefault="00EE3D2F" w:rsidP="00882289">
      <w:r>
        <w:t>Smoking is a critical risk determinant of Type 2 diabetes since tobacco exposure enhances insulin resistance and immensely elevates cardiovascular risk</w:t>
      </w:r>
      <w:r w:rsidRPr="00EE3D2F">
        <w:rPr>
          <w:rFonts w:eastAsia="Times New Roman" w:cs="Times New Roman"/>
          <w:kern w:val="0"/>
          <w14:ligatures w14:val="none"/>
        </w:rPr>
        <w:t xml:space="preserve"> </w:t>
      </w:r>
      <w:r w:rsidRPr="00EE3D2F">
        <w:t>(Maddatu et al., 2017)</w:t>
      </w:r>
      <w:r w:rsidR="00882289">
        <w:t>. Patients already at risk of heart disease due to diabetes, smoking increases this risk by causing vascular inflammation and endothelial dysfunction.</w:t>
      </w:r>
    </w:p>
    <w:p w14:paraId="263802D4" w14:textId="77777777" w:rsidR="00882289" w:rsidRDefault="00882289" w:rsidP="00882289">
      <w:r>
        <w:t>Smoking cessation ought to be viewed as a crucial aspect of diabetes management. Nicotine replacement therapy and referral to cessation programmes can be offered by healthcare professionals.</w:t>
      </w:r>
    </w:p>
    <w:p w14:paraId="4DD13E2E" w14:textId="77777777" w:rsidR="00882289" w:rsidRDefault="00882289" w:rsidP="00882289">
      <w:r>
        <w:t>An important aspect that must be taken into consideration is that smoking cessation interventions must be supportive and not judgemental. Addiction, stress or social factors may cause difficulties to some patients. Thus, to have good healthcare practice, it is important to know the broader determinants that affect patient behaviour.</w:t>
      </w:r>
    </w:p>
    <w:p w14:paraId="6F4B4945" w14:textId="77777777" w:rsidR="00882289" w:rsidRDefault="00882289" w:rsidP="00882289">
      <w:pPr>
        <w:pStyle w:val="Heading3"/>
      </w:pPr>
      <w:bookmarkStart w:id="9" w:name="_Toc236507715"/>
      <w:r>
        <w:t>5.4 Weight Management</w:t>
      </w:r>
      <w:bookmarkEnd w:id="9"/>
    </w:p>
    <w:p w14:paraId="3646BEBF" w14:textId="77777777" w:rsidR="00882289" w:rsidRDefault="00882289" w:rsidP="00882289">
      <w:r>
        <w:t>Insulin resistance is closely linked to excess body weight and visceral adiposity. The Diabetes Remission Clinical Trial (DiRECT) revealed that, in most cases, massive weight loss due to the structured dietary intervention can lead to glucose control and, in a subset, remission of Type 2 diabetes (Lean et al., 2019).</w:t>
      </w:r>
    </w:p>
    <w:p w14:paraId="531087C4" w14:textId="77777777" w:rsidR="00882289" w:rsidRDefault="00882289" w:rsidP="00882289">
      <w:r>
        <w:t>But the weight management should not be centered on the body weight measurements. Metabolic health, psychological wellbeing and long-term lifestyle changes should be taken into consideration in a patient-centred approach. Excessive ideals about weight-loss can decrease motivation and adversely influence adherence in the long-run.</w:t>
      </w:r>
    </w:p>
    <w:p w14:paraId="13A0878B" w14:textId="203FA623" w:rsidR="00824BB0" w:rsidRPr="00824BB0" w:rsidRDefault="00824BB0" w:rsidP="00882289">
      <w:pPr>
        <w:pStyle w:val="Heading2"/>
      </w:pPr>
      <w:bookmarkStart w:id="10" w:name="_Toc236507716"/>
      <w:r w:rsidRPr="00824BB0">
        <w:t>Conclusion</w:t>
      </w:r>
      <w:bookmarkEnd w:id="10"/>
    </w:p>
    <w:p w14:paraId="73031876" w14:textId="5F46C2CF" w:rsidR="00824BB0" w:rsidRDefault="00882289" w:rsidP="00882289">
      <w:pPr>
        <w:rPr>
          <w:rFonts w:eastAsiaTheme="majorEastAsia" w:cstheme="majorBidi"/>
          <w:b/>
          <w:color w:val="2F5496" w:themeColor="accent1" w:themeShade="BF"/>
          <w:sz w:val="28"/>
          <w:szCs w:val="32"/>
        </w:rPr>
      </w:pPr>
      <w:r w:rsidRPr="00882289">
        <w:t>Type 2 diabetes is a complex metabolic disorder caused by insulin resistance, b-cell dysfunction and impaired glucose regulation. Glucose homeostasis helps to understand the development of hyperglycaemia and how this leads to complications. It is important to monitor blood glucose to help manage your health and care as well. But lifestyle changes, including healthy eating, exercising regularly, quitting smoking and managing weight, play a key role in getting better. Practice nurses are very good at educating patients and empowering them to take control of their health.</w:t>
      </w:r>
      <w:r>
        <w:t xml:space="preserve"> </w:t>
      </w:r>
    </w:p>
    <w:p w14:paraId="4AE5B801" w14:textId="77777777" w:rsidR="00882289" w:rsidRDefault="00882289">
      <w:pPr>
        <w:spacing w:line="278" w:lineRule="auto"/>
        <w:jc w:val="left"/>
        <w:rPr>
          <w:rFonts w:eastAsiaTheme="majorEastAsia" w:cstheme="majorBidi"/>
          <w:b/>
          <w:color w:val="2F5496" w:themeColor="accent1" w:themeShade="BF"/>
          <w:sz w:val="28"/>
          <w:szCs w:val="32"/>
        </w:rPr>
      </w:pPr>
      <w:r>
        <w:br w:type="page"/>
      </w:r>
    </w:p>
    <w:p w14:paraId="056E19FF" w14:textId="657BFB61" w:rsidR="008E47C7" w:rsidRDefault="00824BB0" w:rsidP="008E47C7">
      <w:pPr>
        <w:pStyle w:val="Heading2"/>
      </w:pPr>
      <w:bookmarkStart w:id="11" w:name="_Toc236507717"/>
      <w:r w:rsidRPr="00824BB0">
        <w:t>Reference List</w:t>
      </w:r>
      <w:bookmarkEnd w:id="11"/>
      <w:r w:rsidRPr="00824BB0">
        <w:t xml:space="preserve"> </w:t>
      </w:r>
    </w:p>
    <w:p w14:paraId="6BE800E9" w14:textId="77777777" w:rsidR="008E47C7" w:rsidRDefault="008E47C7" w:rsidP="00824BB0">
      <w:r w:rsidRPr="008E47C7">
        <w:t>Ajjan, R., Slattery, D., &amp; Wright, E. (2019). Continuous Glucose Monitoring: A Brief Review for Primary Care Practitioners. </w:t>
      </w:r>
      <w:r w:rsidRPr="008E47C7">
        <w:rPr>
          <w:i/>
          <w:iCs/>
        </w:rPr>
        <w:t>Advances in Therapy</w:t>
      </w:r>
      <w:r w:rsidRPr="008E47C7">
        <w:t>, </w:t>
      </w:r>
      <w:r w:rsidRPr="008E47C7">
        <w:rPr>
          <w:i/>
          <w:iCs/>
        </w:rPr>
        <w:t>36</w:t>
      </w:r>
      <w:r w:rsidRPr="008E47C7">
        <w:t xml:space="preserve">(3), 579–596. </w:t>
      </w:r>
      <w:hyperlink r:id="rId25" w:history="1">
        <w:r w:rsidRPr="004F0A4B">
          <w:rPr>
            <w:rStyle w:val="Hyperlink"/>
          </w:rPr>
          <w:t>https://doi.org/10.1007/s12325-019-0870-x</w:t>
        </w:r>
      </w:hyperlink>
    </w:p>
    <w:p w14:paraId="3E77CA1B" w14:textId="77777777" w:rsidR="008E47C7" w:rsidRDefault="008E47C7" w:rsidP="00824BB0">
      <w:r w:rsidRPr="008E47C7">
        <w:t>Boltpharmacy.co.uk. (2025). Normal range of HbA1c for diabetic patients: UK targets explained – Bolt Pharmacy. In </w:t>
      </w:r>
      <w:r w:rsidRPr="008E47C7">
        <w:rPr>
          <w:i/>
          <w:iCs/>
        </w:rPr>
        <w:t>Boltpharmacy.co.uk</w:t>
      </w:r>
      <w:r w:rsidRPr="008E47C7">
        <w:t xml:space="preserve">. </w:t>
      </w:r>
      <w:hyperlink r:id="rId26" w:history="1">
        <w:r w:rsidRPr="004F0A4B">
          <w:rPr>
            <w:rStyle w:val="Hyperlink"/>
          </w:rPr>
          <w:t>https://www.boltpharmacy.co.uk/guide/normal-range-of-hba1c-for-diabetic</w:t>
        </w:r>
      </w:hyperlink>
    </w:p>
    <w:p w14:paraId="1491312C" w14:textId="77777777" w:rsidR="008E47C7" w:rsidRDefault="008E47C7" w:rsidP="00824BB0">
      <w:r w:rsidRPr="00824BB0">
        <w:t xml:space="preserve">DeFronzo, R.A., Ferrannini, E., Groop, L., Henry, R.R., Herman, W.H., Holst, J.J., Hu, F.B., Kahn, C.R., Raz, I., Shulman, G.I. and Simonson, D.C. (2015) ‘Type 2 diabetes mellitus’, </w:t>
      </w:r>
      <w:r w:rsidRPr="00824BB0">
        <w:rPr>
          <w:i/>
          <w:iCs/>
        </w:rPr>
        <w:t>Nature Reviews Disease Primers</w:t>
      </w:r>
      <w:r w:rsidRPr="00824BB0">
        <w:t>, 1, 15019. Available at:</w:t>
      </w:r>
      <w:r>
        <w:t xml:space="preserve"> </w:t>
      </w:r>
      <w:hyperlink r:id="rId27" w:history="1">
        <w:r w:rsidRPr="004F0A4B">
          <w:rPr>
            <w:rStyle w:val="Hyperlink"/>
          </w:rPr>
          <w:t>https://doi.org/10.1038/nrdp.2015.19</w:t>
        </w:r>
      </w:hyperlink>
    </w:p>
    <w:p w14:paraId="211823C7" w14:textId="77777777" w:rsidR="008E47C7" w:rsidRPr="00824BB0" w:rsidRDefault="008E47C7" w:rsidP="00824BB0">
      <w:r w:rsidRPr="00824BB0">
        <w:t xml:space="preserve">Evert, A.B., Dennison, M., Gardner, C.D., Garvey, W.T., Lau, K.H.K., MacLeod, J., Mitri, J., Pereira, R.F., Rawlings, K., Robinson, S. and Sasak, S. (2019) ‘Nutrition therapy for adults with diabetes’, </w:t>
      </w:r>
      <w:r w:rsidRPr="00824BB0">
        <w:rPr>
          <w:i/>
          <w:iCs/>
        </w:rPr>
        <w:t>Diabetes Care</w:t>
      </w:r>
      <w:r w:rsidRPr="00824BB0">
        <w:t>, 42(5), pp.731–754. Available at:</w:t>
      </w:r>
      <w:r>
        <w:t xml:space="preserve"> </w:t>
      </w:r>
      <w:hyperlink r:id="rId28" w:history="1">
        <w:r w:rsidRPr="004F0A4B">
          <w:rPr>
            <w:rStyle w:val="Hyperlink"/>
          </w:rPr>
          <w:t>https://doi.org/10.2337/dci19-0014</w:t>
        </w:r>
      </w:hyperlink>
    </w:p>
    <w:p w14:paraId="36214503" w14:textId="77777777" w:rsidR="008E47C7" w:rsidRDefault="008E47C7" w:rsidP="00824BB0">
      <w:r w:rsidRPr="008E47C7">
        <w:t>Eyth, E., Zubair, M., &amp; Naik, R. (2023). Hemoglobin A1c. In </w:t>
      </w:r>
      <w:r w:rsidRPr="008E47C7">
        <w:rPr>
          <w:i/>
          <w:iCs/>
        </w:rPr>
        <w:t>PubMed</w:t>
      </w:r>
      <w:r w:rsidRPr="008E47C7">
        <w:t xml:space="preserve">. StatPearls Publishing. </w:t>
      </w:r>
      <w:hyperlink r:id="rId29" w:history="1">
        <w:r w:rsidRPr="004F0A4B">
          <w:rPr>
            <w:rStyle w:val="Hyperlink"/>
          </w:rPr>
          <w:t>https://www.ncbi.nlm.nih.gov/books/NBK549816/</w:t>
        </w:r>
      </w:hyperlink>
    </w:p>
    <w:p w14:paraId="35615503" w14:textId="77777777" w:rsidR="008E47C7" w:rsidRDefault="008E47C7" w:rsidP="00824BB0">
      <w:r w:rsidRPr="008E47C7">
        <w:t>Galicia-Garcia, U., Benito-Vicente, A., Jebari, S., Larrea-Sebal, A., Siddiqi, H., Uribe, K. B., Ostolaza, H., &amp; Martin, C. (2020). Pathophysiology of Type 2 Diabetes Mellitus. </w:t>
      </w:r>
      <w:r w:rsidRPr="008E47C7">
        <w:rPr>
          <w:i/>
          <w:iCs/>
        </w:rPr>
        <w:t>International Journal of Molecular Sciences</w:t>
      </w:r>
      <w:r w:rsidRPr="008E47C7">
        <w:t>, </w:t>
      </w:r>
      <w:r w:rsidRPr="008E47C7">
        <w:rPr>
          <w:i/>
          <w:iCs/>
        </w:rPr>
        <w:t>21</w:t>
      </w:r>
      <w:r w:rsidRPr="008E47C7">
        <w:t xml:space="preserve">(17), 1–34. </w:t>
      </w:r>
      <w:hyperlink r:id="rId30" w:history="1">
        <w:r w:rsidRPr="004F0A4B">
          <w:rPr>
            <w:rStyle w:val="Hyperlink"/>
          </w:rPr>
          <w:t>https://pmc.ncbi.nlm.nih.gov/articles/PMC7503727/</w:t>
        </w:r>
      </w:hyperlink>
    </w:p>
    <w:p w14:paraId="72073485" w14:textId="77777777" w:rsidR="008E47C7" w:rsidRDefault="008E47C7" w:rsidP="00824BB0">
      <w:r w:rsidRPr="00824BB0">
        <w:t xml:space="preserve">Lean, M.E.J., Leslie, W.S., Barnes, A.C., Brosnahan, N., Thom, G., McCombie, L., Peters, C., Zhyzhneuskaya, S., Al-Mrabeh, A. and Hollingsworth, K.G. (2019) ‘Durability of a primary care-led weight-management intervention for remission of Type 2 diabetes’, </w:t>
      </w:r>
      <w:r w:rsidRPr="00824BB0">
        <w:rPr>
          <w:i/>
          <w:iCs/>
        </w:rPr>
        <w:t>The Lancet Diabetes &amp; Endocrinology</w:t>
      </w:r>
      <w:r w:rsidRPr="00824BB0">
        <w:t>, 7(5), pp.344–355. Available at:</w:t>
      </w:r>
      <w:r>
        <w:t xml:space="preserve"> </w:t>
      </w:r>
      <w:hyperlink r:id="rId31" w:history="1">
        <w:r w:rsidRPr="004F0A4B">
          <w:rPr>
            <w:rStyle w:val="Hyperlink"/>
          </w:rPr>
          <w:t>https://doi.org/10.1016/S2213-8587(19)30068-3</w:t>
        </w:r>
      </w:hyperlink>
    </w:p>
    <w:p w14:paraId="1976C9C1" w14:textId="77777777" w:rsidR="008E47C7" w:rsidRDefault="008E47C7" w:rsidP="00824BB0">
      <w:r w:rsidRPr="008E47C7">
        <w:t>Maddatu, J., Anderson-Baucum, E., &amp; Evans-Molina, C. (2017). Smoking and the risk of type 2 diabetes. </w:t>
      </w:r>
      <w:r w:rsidRPr="008E47C7">
        <w:rPr>
          <w:i/>
          <w:iCs/>
        </w:rPr>
        <w:t>Translational Research : The Journal of Laboratory and Clinical Medicine</w:t>
      </w:r>
      <w:r w:rsidRPr="008E47C7">
        <w:t>, </w:t>
      </w:r>
      <w:r w:rsidRPr="008E47C7">
        <w:rPr>
          <w:i/>
          <w:iCs/>
        </w:rPr>
        <w:t>184</w:t>
      </w:r>
      <w:r w:rsidRPr="008E47C7">
        <w:t xml:space="preserve">(184), 101–107. </w:t>
      </w:r>
      <w:hyperlink r:id="rId32" w:history="1">
        <w:r w:rsidRPr="004F0A4B">
          <w:rPr>
            <w:rStyle w:val="Hyperlink"/>
          </w:rPr>
          <w:t>https://doi.org/10.1016/j.trsl.2017.02.004</w:t>
        </w:r>
      </w:hyperlink>
    </w:p>
    <w:p w14:paraId="7D26B944" w14:textId="77777777" w:rsidR="008E47C7" w:rsidRDefault="008E47C7" w:rsidP="00824BB0">
      <w:r w:rsidRPr="00824BB0">
        <w:t xml:space="preserve">Martens, T., Beck, R.W., Bailey, R., Ruedy, K.J., Calhoun, P., Peters, A.L. and Pop-Busui, R. (2021) ‘Effect of continuous glucose monitoring on glycemic control in adults with Type 2 diabetes’, </w:t>
      </w:r>
      <w:r w:rsidRPr="00824BB0">
        <w:rPr>
          <w:i/>
          <w:iCs/>
        </w:rPr>
        <w:t>JAMA</w:t>
      </w:r>
      <w:r w:rsidRPr="00824BB0">
        <w:t>, 325(22), pp.2262–2272. Available at:</w:t>
      </w:r>
      <w:r>
        <w:t xml:space="preserve"> </w:t>
      </w:r>
      <w:hyperlink r:id="rId33" w:history="1">
        <w:r w:rsidRPr="004F0A4B">
          <w:rPr>
            <w:rStyle w:val="Hyperlink"/>
          </w:rPr>
          <w:t>https://doi.org/10.1001/jama.2021.7444</w:t>
        </w:r>
      </w:hyperlink>
    </w:p>
    <w:p w14:paraId="519E62D5" w14:textId="77777777" w:rsidR="008E47C7" w:rsidRPr="00824BB0" w:rsidRDefault="008E47C7" w:rsidP="00824BB0">
      <w:r w:rsidRPr="00824BB0">
        <w:t xml:space="preserve">National Institute for Health and Care Excellence (NICE) (2022) </w:t>
      </w:r>
      <w:r w:rsidRPr="00824BB0">
        <w:rPr>
          <w:i/>
          <w:iCs/>
        </w:rPr>
        <w:t>Type 2 diabetes in adults: management (NG28).</w:t>
      </w:r>
      <w:r w:rsidRPr="00824BB0">
        <w:t xml:space="preserve"> Available at:</w:t>
      </w:r>
      <w:r>
        <w:t xml:space="preserve"> </w:t>
      </w:r>
      <w:hyperlink r:id="rId34" w:history="1">
        <w:r w:rsidRPr="004F0A4B">
          <w:rPr>
            <w:rStyle w:val="Hyperlink"/>
          </w:rPr>
          <w:t>https://www.nice.org.uk/guidance/ng28</w:t>
        </w:r>
      </w:hyperlink>
    </w:p>
    <w:p w14:paraId="44426C68" w14:textId="77777777" w:rsidR="008E47C7" w:rsidRDefault="008E47C7" w:rsidP="00824BB0">
      <w:r w:rsidRPr="00824BB0">
        <w:t xml:space="preserve">Roden, M. and Shulman, G.I. (2019) ‘The integrative biology of Type 2 diabetes’, </w:t>
      </w:r>
      <w:r w:rsidRPr="00824BB0">
        <w:rPr>
          <w:i/>
          <w:iCs/>
        </w:rPr>
        <w:t>Nature</w:t>
      </w:r>
      <w:r w:rsidRPr="00824BB0">
        <w:t>, 576, pp.51–60. Available at:</w:t>
      </w:r>
      <w:r>
        <w:t xml:space="preserve"> </w:t>
      </w:r>
      <w:hyperlink r:id="rId35" w:history="1">
        <w:r w:rsidRPr="004F0A4B">
          <w:rPr>
            <w:rStyle w:val="Hyperlink"/>
          </w:rPr>
          <w:t>https://doi.org/10.1038/s41586-019-1797-8</w:t>
        </w:r>
      </w:hyperlink>
    </w:p>
    <w:p w14:paraId="4345A241" w14:textId="77777777" w:rsidR="008E47C7" w:rsidRDefault="008E47C7" w:rsidP="00824BB0">
      <w:r w:rsidRPr="008E47C7">
        <w:t>The Nutrition Source. (2013). Carbohydrates and Blood Sugar. In </w:t>
      </w:r>
      <w:r w:rsidRPr="008E47C7">
        <w:rPr>
          <w:i/>
          <w:iCs/>
        </w:rPr>
        <w:t>The Nutrition Source</w:t>
      </w:r>
      <w:r w:rsidRPr="008E47C7">
        <w:t xml:space="preserve">. </w:t>
      </w:r>
      <w:hyperlink r:id="rId36" w:history="1">
        <w:r w:rsidRPr="004F0A4B">
          <w:rPr>
            <w:rStyle w:val="Hyperlink"/>
          </w:rPr>
          <w:t>https://nutritionsource.hsph.harvard.edu/carbohydrates/carbohydrates-and-blood-sugar/</w:t>
        </w:r>
      </w:hyperlink>
    </w:p>
    <w:p w14:paraId="616E7499" w14:textId="77777777" w:rsidR="008E47C7" w:rsidRDefault="008E47C7" w:rsidP="00824BB0">
      <w:r w:rsidRPr="00824BB0">
        <w:t xml:space="preserve">World Health Organization (2020) </w:t>
      </w:r>
      <w:r w:rsidRPr="00824BB0">
        <w:rPr>
          <w:i/>
          <w:iCs/>
        </w:rPr>
        <w:t>WHO Guidelines on Physical Activity and Sedentary Behaviour</w:t>
      </w:r>
      <w:r w:rsidRPr="00824BB0">
        <w:t>. Available at:</w:t>
      </w:r>
      <w:r>
        <w:t xml:space="preserve"> </w:t>
      </w:r>
      <w:hyperlink r:id="rId37" w:history="1">
        <w:r w:rsidRPr="004F0A4B">
          <w:rPr>
            <w:rStyle w:val="Hyperlink"/>
          </w:rPr>
          <w:t>https://www.who.int/publications/i/item/9789240015128</w:t>
        </w:r>
      </w:hyperlink>
    </w:p>
    <w:sectPr w:rsidR="008E47C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A99D29" w14:textId="77777777" w:rsidR="00FE4EBE" w:rsidRDefault="00FE4EBE" w:rsidP="001D2ED3">
      <w:pPr>
        <w:spacing w:after="0" w:line="240" w:lineRule="auto"/>
      </w:pPr>
      <w:r>
        <w:separator/>
      </w:r>
    </w:p>
  </w:endnote>
  <w:endnote w:type="continuationSeparator" w:id="0">
    <w:p w14:paraId="4FF9381B" w14:textId="77777777" w:rsidR="00FE4EBE" w:rsidRDefault="00FE4EBE" w:rsidP="001D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90566885"/>
      <w:docPartObj>
        <w:docPartGallery w:val="Page Numbers (Bottom of Page)"/>
        <w:docPartUnique/>
      </w:docPartObj>
    </w:sdtPr>
    <w:sdtEndPr>
      <w:rPr>
        <w:noProof/>
      </w:rPr>
    </w:sdtEndPr>
    <w:sdtContent>
      <w:p w14:paraId="7FBE5CC3" w14:textId="169D5161" w:rsidR="00A2566A" w:rsidRDefault="00A2566A">
        <w:pPr>
          <w:pStyle w:val="Footer"/>
          <w:jc w:val="center"/>
        </w:pPr>
        <w:r>
          <w:fldChar w:fldCharType="begin"/>
        </w:r>
        <w:r>
          <w:instrText xml:space="preserve"> PAGE   \* MERGEFORMAT </w:instrText>
        </w:r>
        <w:r>
          <w:fldChar w:fldCharType="separate"/>
        </w:r>
        <w:r w:rsidR="00BA4D8F">
          <w:rPr>
            <w:noProof/>
          </w:rPr>
          <w:t>13</w:t>
        </w:r>
        <w:r>
          <w:rPr>
            <w:noProof/>
          </w:rPr>
          <w:fldChar w:fldCharType="end"/>
        </w:r>
      </w:p>
    </w:sdtContent>
  </w:sdt>
  <w:p w14:paraId="1584344B" w14:textId="77777777" w:rsidR="00A2566A" w:rsidRDefault="00A25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DE29FD" w14:textId="77777777" w:rsidR="00FE4EBE" w:rsidRDefault="00FE4EBE" w:rsidP="001D2ED3">
      <w:pPr>
        <w:spacing w:after="0" w:line="240" w:lineRule="auto"/>
      </w:pPr>
      <w:r>
        <w:separator/>
      </w:r>
    </w:p>
  </w:footnote>
  <w:footnote w:type="continuationSeparator" w:id="0">
    <w:p w14:paraId="1306A48B" w14:textId="77777777" w:rsidR="00FE4EBE" w:rsidRDefault="00FE4EBE" w:rsidP="001D2E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065160"/>
    <w:multiLevelType w:val="hybridMultilevel"/>
    <w:tmpl w:val="22381F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256B03"/>
    <w:multiLevelType w:val="hybridMultilevel"/>
    <w:tmpl w:val="225A46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4251BA"/>
    <w:multiLevelType w:val="multilevel"/>
    <w:tmpl w:val="331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9652888">
    <w:abstractNumId w:val="2"/>
  </w:num>
  <w:num w:numId="2" w16cid:durableId="1025407261">
    <w:abstractNumId w:val="1"/>
  </w:num>
  <w:num w:numId="3" w16cid:durableId="12890469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BB0"/>
    <w:rsid w:val="000E68F6"/>
    <w:rsid w:val="000F103C"/>
    <w:rsid w:val="001D2ED3"/>
    <w:rsid w:val="0022146D"/>
    <w:rsid w:val="003B566F"/>
    <w:rsid w:val="004531F3"/>
    <w:rsid w:val="004C27FF"/>
    <w:rsid w:val="005873C8"/>
    <w:rsid w:val="005E3F12"/>
    <w:rsid w:val="005F7985"/>
    <w:rsid w:val="00636AAC"/>
    <w:rsid w:val="006E0A7D"/>
    <w:rsid w:val="007323A3"/>
    <w:rsid w:val="007C5313"/>
    <w:rsid w:val="00824BB0"/>
    <w:rsid w:val="008629E9"/>
    <w:rsid w:val="00882289"/>
    <w:rsid w:val="008B3726"/>
    <w:rsid w:val="008D3519"/>
    <w:rsid w:val="008E47C7"/>
    <w:rsid w:val="009011E9"/>
    <w:rsid w:val="00917A98"/>
    <w:rsid w:val="00957992"/>
    <w:rsid w:val="00976BB8"/>
    <w:rsid w:val="009C3825"/>
    <w:rsid w:val="009E76B0"/>
    <w:rsid w:val="00A21A76"/>
    <w:rsid w:val="00A2566A"/>
    <w:rsid w:val="00B3627F"/>
    <w:rsid w:val="00BA4D8F"/>
    <w:rsid w:val="00BE310B"/>
    <w:rsid w:val="00C4333D"/>
    <w:rsid w:val="00DE6834"/>
    <w:rsid w:val="00E727A4"/>
    <w:rsid w:val="00EE3D2F"/>
    <w:rsid w:val="00F02780"/>
    <w:rsid w:val="00F660D9"/>
    <w:rsid w:val="00FE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4FD8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726"/>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824BB0"/>
    <w:pPr>
      <w:keepNext/>
      <w:keepLines/>
      <w:spacing w:before="360" w:after="80"/>
      <w:jc w:val="center"/>
      <w:outlineLvl w:val="0"/>
    </w:pPr>
    <w:rPr>
      <w:rFonts w:eastAsiaTheme="majorEastAsia" w:cstheme="majorBidi"/>
      <w:b/>
      <w:color w:val="4472C4" w:themeColor="accent1"/>
      <w:sz w:val="32"/>
      <w:szCs w:val="40"/>
    </w:rPr>
  </w:style>
  <w:style w:type="paragraph" w:styleId="Heading2">
    <w:name w:val="heading 2"/>
    <w:basedOn w:val="Normal"/>
    <w:next w:val="Normal"/>
    <w:link w:val="Heading2Char"/>
    <w:uiPriority w:val="9"/>
    <w:unhideWhenUsed/>
    <w:qFormat/>
    <w:rsid w:val="00824BB0"/>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5873C8"/>
    <w:pPr>
      <w:keepNext/>
      <w:keepLines/>
      <w:spacing w:before="160" w:after="80"/>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824BB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4BB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24B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4B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4B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4B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BB0"/>
    <w:rPr>
      <w:rFonts w:ascii="Times New Roman" w:eastAsiaTheme="majorEastAsia" w:hAnsi="Times New Roman" w:cstheme="majorBidi"/>
      <w:b/>
      <w:color w:val="4472C4" w:themeColor="accent1"/>
      <w:sz w:val="32"/>
      <w:szCs w:val="40"/>
    </w:rPr>
  </w:style>
  <w:style w:type="character" w:customStyle="1" w:styleId="Heading2Char">
    <w:name w:val="Heading 2 Char"/>
    <w:basedOn w:val="DefaultParagraphFont"/>
    <w:link w:val="Heading2"/>
    <w:uiPriority w:val="9"/>
    <w:rsid w:val="00824BB0"/>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5873C8"/>
    <w:rPr>
      <w:rFonts w:ascii="Times New Roman" w:eastAsiaTheme="majorEastAsia" w:hAnsi="Times New Roman" w:cstheme="majorBidi"/>
      <w:b/>
      <w:color w:val="2F5496" w:themeColor="accent1" w:themeShade="BF"/>
      <w:szCs w:val="28"/>
    </w:rPr>
  </w:style>
  <w:style w:type="character" w:customStyle="1" w:styleId="Heading4Char">
    <w:name w:val="Heading 4 Char"/>
    <w:basedOn w:val="DefaultParagraphFont"/>
    <w:link w:val="Heading4"/>
    <w:uiPriority w:val="9"/>
    <w:semiHidden/>
    <w:rsid w:val="00824B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4B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4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BB0"/>
    <w:rPr>
      <w:rFonts w:eastAsiaTheme="majorEastAsia" w:cstheme="majorBidi"/>
      <w:color w:val="272727" w:themeColor="text1" w:themeTint="D8"/>
    </w:rPr>
  </w:style>
  <w:style w:type="paragraph" w:styleId="Title">
    <w:name w:val="Title"/>
    <w:basedOn w:val="Normal"/>
    <w:next w:val="Normal"/>
    <w:link w:val="TitleChar"/>
    <w:uiPriority w:val="10"/>
    <w:qFormat/>
    <w:rsid w:val="00824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B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BB0"/>
    <w:pPr>
      <w:spacing w:before="160"/>
      <w:jc w:val="center"/>
    </w:pPr>
    <w:rPr>
      <w:i/>
      <w:iCs/>
      <w:color w:val="404040" w:themeColor="text1" w:themeTint="BF"/>
    </w:rPr>
  </w:style>
  <w:style w:type="character" w:customStyle="1" w:styleId="QuoteChar">
    <w:name w:val="Quote Char"/>
    <w:basedOn w:val="DefaultParagraphFont"/>
    <w:link w:val="Quote"/>
    <w:uiPriority w:val="29"/>
    <w:rsid w:val="00824BB0"/>
    <w:rPr>
      <w:rFonts w:ascii="Times New Roman" w:hAnsi="Times New Roman"/>
      <w:i/>
      <w:iCs/>
      <w:color w:val="404040" w:themeColor="text1" w:themeTint="BF"/>
    </w:rPr>
  </w:style>
  <w:style w:type="paragraph" w:styleId="ListParagraph">
    <w:name w:val="List Paragraph"/>
    <w:basedOn w:val="Normal"/>
    <w:uiPriority w:val="34"/>
    <w:qFormat/>
    <w:rsid w:val="00824BB0"/>
    <w:pPr>
      <w:ind w:left="720"/>
      <w:contextualSpacing/>
    </w:pPr>
  </w:style>
  <w:style w:type="character" w:styleId="IntenseEmphasis">
    <w:name w:val="Intense Emphasis"/>
    <w:basedOn w:val="DefaultParagraphFont"/>
    <w:uiPriority w:val="21"/>
    <w:qFormat/>
    <w:rsid w:val="00824BB0"/>
    <w:rPr>
      <w:i/>
      <w:iCs/>
      <w:color w:val="2F5496" w:themeColor="accent1" w:themeShade="BF"/>
    </w:rPr>
  </w:style>
  <w:style w:type="paragraph" w:styleId="IntenseQuote">
    <w:name w:val="Intense Quote"/>
    <w:basedOn w:val="Normal"/>
    <w:next w:val="Normal"/>
    <w:link w:val="IntenseQuoteChar"/>
    <w:uiPriority w:val="30"/>
    <w:qFormat/>
    <w:rsid w:val="00824B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4BB0"/>
    <w:rPr>
      <w:rFonts w:ascii="Times New Roman" w:hAnsi="Times New Roman"/>
      <w:i/>
      <w:iCs/>
      <w:color w:val="2F5496" w:themeColor="accent1" w:themeShade="BF"/>
    </w:rPr>
  </w:style>
  <w:style w:type="character" w:styleId="IntenseReference">
    <w:name w:val="Intense Reference"/>
    <w:basedOn w:val="DefaultParagraphFont"/>
    <w:uiPriority w:val="32"/>
    <w:qFormat/>
    <w:rsid w:val="00824BB0"/>
    <w:rPr>
      <w:b/>
      <w:bCs/>
      <w:smallCaps/>
      <w:color w:val="2F5496" w:themeColor="accent1" w:themeShade="BF"/>
      <w:spacing w:val="5"/>
    </w:rPr>
  </w:style>
  <w:style w:type="character" w:styleId="Hyperlink">
    <w:name w:val="Hyperlink"/>
    <w:basedOn w:val="DefaultParagraphFont"/>
    <w:uiPriority w:val="99"/>
    <w:unhideWhenUsed/>
    <w:rsid w:val="00824BB0"/>
    <w:rPr>
      <w:color w:val="0563C1" w:themeColor="hyperlink"/>
      <w:u w:val="single"/>
    </w:rPr>
  </w:style>
  <w:style w:type="character" w:customStyle="1" w:styleId="UnresolvedMention1">
    <w:name w:val="Unresolved Mention1"/>
    <w:basedOn w:val="DefaultParagraphFont"/>
    <w:uiPriority w:val="99"/>
    <w:semiHidden/>
    <w:unhideWhenUsed/>
    <w:rsid w:val="00824BB0"/>
    <w:rPr>
      <w:color w:val="605E5C"/>
      <w:shd w:val="clear" w:color="auto" w:fill="E1DFDD"/>
    </w:rPr>
  </w:style>
  <w:style w:type="table" w:styleId="GridTable5Dark-Accent5">
    <w:name w:val="Grid Table 5 Dark Accent 5"/>
    <w:basedOn w:val="TableNormal"/>
    <w:uiPriority w:val="50"/>
    <w:rsid w:val="00F027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TableParagraph">
    <w:name w:val="Table Paragraph"/>
    <w:basedOn w:val="Normal"/>
    <w:uiPriority w:val="1"/>
    <w:qFormat/>
    <w:rsid w:val="007C5313"/>
    <w:pPr>
      <w:widowControl w:val="0"/>
      <w:autoSpaceDE w:val="0"/>
      <w:autoSpaceDN w:val="0"/>
      <w:spacing w:after="0" w:line="240" w:lineRule="auto"/>
      <w:ind w:left="110"/>
      <w:jc w:val="left"/>
    </w:pPr>
    <w:rPr>
      <w:rFonts w:ascii="Arial MT" w:eastAsia="Arial MT" w:hAnsi="Arial MT" w:cs="Arial MT"/>
      <w:kern w:val="0"/>
      <w:sz w:val="22"/>
      <w:szCs w:val="22"/>
      <w14:ligatures w14:val="none"/>
    </w:rPr>
  </w:style>
  <w:style w:type="paragraph" w:styleId="Caption">
    <w:name w:val="caption"/>
    <w:basedOn w:val="Normal"/>
    <w:next w:val="Normal"/>
    <w:uiPriority w:val="35"/>
    <w:unhideWhenUsed/>
    <w:qFormat/>
    <w:rsid w:val="005873C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76BB8"/>
    <w:pPr>
      <w:spacing w:before="240" w:after="0" w:line="259" w:lineRule="auto"/>
      <w:jc w:val="left"/>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976BB8"/>
    <w:pPr>
      <w:spacing w:after="100"/>
    </w:pPr>
  </w:style>
  <w:style w:type="paragraph" w:styleId="TOC2">
    <w:name w:val="toc 2"/>
    <w:basedOn w:val="Normal"/>
    <w:next w:val="Normal"/>
    <w:autoRedefine/>
    <w:uiPriority w:val="39"/>
    <w:unhideWhenUsed/>
    <w:rsid w:val="00976BB8"/>
    <w:pPr>
      <w:spacing w:after="100"/>
      <w:ind w:left="240"/>
    </w:pPr>
  </w:style>
  <w:style w:type="paragraph" w:styleId="TOC3">
    <w:name w:val="toc 3"/>
    <w:basedOn w:val="Normal"/>
    <w:next w:val="Normal"/>
    <w:autoRedefine/>
    <w:uiPriority w:val="39"/>
    <w:unhideWhenUsed/>
    <w:rsid w:val="00976BB8"/>
    <w:pPr>
      <w:spacing w:after="100"/>
      <w:ind w:left="480"/>
    </w:pPr>
  </w:style>
  <w:style w:type="paragraph" w:styleId="Header">
    <w:name w:val="header"/>
    <w:basedOn w:val="Normal"/>
    <w:link w:val="HeaderChar"/>
    <w:uiPriority w:val="99"/>
    <w:unhideWhenUsed/>
    <w:rsid w:val="001D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ED3"/>
    <w:rPr>
      <w:rFonts w:ascii="Times New Roman" w:hAnsi="Times New Roman"/>
    </w:rPr>
  </w:style>
  <w:style w:type="paragraph" w:styleId="Footer">
    <w:name w:val="footer"/>
    <w:basedOn w:val="Normal"/>
    <w:link w:val="FooterChar"/>
    <w:uiPriority w:val="99"/>
    <w:unhideWhenUsed/>
    <w:rsid w:val="001D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ED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boltpharmacy.co.uk/guide/normal-range-of-hba1c-for-diabetic" TargetMode="External"/><Relationship Id="rId39" Type="http://schemas.openxmlformats.org/officeDocument/2006/relationships/fontTable" Target="fontTable.xml"/><Relationship Id="rId21" Type="http://schemas.openxmlformats.org/officeDocument/2006/relationships/diagramQuickStyle" Target="diagrams/quickStyle3.xml"/><Relationship Id="rId34" Type="http://schemas.openxmlformats.org/officeDocument/2006/relationships/hyperlink" Target="https://www.nice.org.uk/guidance/ng28"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007/s12325-019-0870-x" TargetMode="External"/><Relationship Id="rId33" Type="http://schemas.openxmlformats.org/officeDocument/2006/relationships/hyperlink" Target="https://doi.org/10.1001/jama.2021.7444"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www.ncbi.nlm.nih.gov/books/NBK549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2.emf"/><Relationship Id="rId32" Type="http://schemas.openxmlformats.org/officeDocument/2006/relationships/hyperlink" Target="https://doi.org/10.1016/j.trsl.2017.02.004" TargetMode="External"/><Relationship Id="rId37" Type="http://schemas.openxmlformats.org/officeDocument/2006/relationships/hyperlink" Target="https://www.who.int/publications/i/item/9789240015128"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doi.org/10.2337/dci19-0014" TargetMode="External"/><Relationship Id="rId36" Type="http://schemas.openxmlformats.org/officeDocument/2006/relationships/hyperlink" Target="https://nutritionsource.hsph.harvard.edu/carbohydrates/carbohydrates-and-blood-sugar/"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doi.org/10.1016/S2213-8587(19)30068-3"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doi.org/10.1038/nrdp.2015.19" TargetMode="External"/><Relationship Id="rId30" Type="http://schemas.openxmlformats.org/officeDocument/2006/relationships/hyperlink" Target="https://pmc.ncbi.nlm.nih.gov/articles/PMC7503727/" TargetMode="External"/><Relationship Id="rId35" Type="http://schemas.openxmlformats.org/officeDocument/2006/relationships/hyperlink" Target="https://doi.org/10.1038/s41586-019-1797-8"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01CDAD-AE37-4186-BE15-26B8AB66644F}" type="doc">
      <dgm:prSet loTypeId="urn:microsoft.com/office/officeart/2005/8/layout/bProcess4" loCatId="process" qsTypeId="urn:microsoft.com/office/officeart/2005/8/quickstyle/simple1" qsCatId="simple" csTypeId="urn:microsoft.com/office/officeart/2005/8/colors/colorful5" csCatId="colorful" phldr="1"/>
      <dgm:spPr/>
      <dgm:t>
        <a:bodyPr/>
        <a:lstStyle/>
        <a:p>
          <a:endParaRPr lang="en-US"/>
        </a:p>
      </dgm:t>
    </dgm:pt>
    <dgm:pt modelId="{1AB8EC5A-FF59-45D5-A8F1-A43AFBA1D129}">
      <dgm:prSet phldrT="[Text]"/>
      <dgm:spPr/>
      <dgm:t>
        <a:bodyPr/>
        <a:lstStyle/>
        <a:p>
          <a:pPr>
            <a:buNone/>
          </a:pPr>
          <a:r>
            <a:rPr lang="en-US"/>
            <a:t>Food intake</a:t>
          </a:r>
        </a:p>
      </dgm:t>
    </dgm:pt>
    <dgm:pt modelId="{72FFECBC-5164-4D8A-8BC4-F39B92BB4C6E}" type="parTrans" cxnId="{616C3571-340A-44D4-9DB1-F200043993B5}">
      <dgm:prSet/>
      <dgm:spPr/>
      <dgm:t>
        <a:bodyPr/>
        <a:lstStyle/>
        <a:p>
          <a:endParaRPr lang="en-US"/>
        </a:p>
      </dgm:t>
    </dgm:pt>
    <dgm:pt modelId="{3700FF8B-87C9-4889-A94A-9C5189E04E7E}" type="sibTrans" cxnId="{616C3571-340A-44D4-9DB1-F200043993B5}">
      <dgm:prSet/>
      <dgm:spPr/>
      <dgm:t>
        <a:bodyPr/>
        <a:lstStyle/>
        <a:p>
          <a:endParaRPr lang="en-US"/>
        </a:p>
      </dgm:t>
    </dgm:pt>
    <dgm:pt modelId="{C8101B60-97FD-4A53-9BB7-2474ED60CAFD}">
      <dgm:prSet phldrT="[Text]"/>
      <dgm:spPr/>
      <dgm:t>
        <a:bodyPr/>
        <a:lstStyle/>
        <a:p>
          <a:pPr>
            <a:buNone/>
          </a:pPr>
          <a:r>
            <a:rPr lang="en-US"/>
            <a:t>Digestion of carbohydrates</a:t>
          </a:r>
        </a:p>
      </dgm:t>
    </dgm:pt>
    <dgm:pt modelId="{34D57E76-67FF-4334-829C-B71422203A19}" type="parTrans" cxnId="{3F836BF1-672C-4BBF-9452-FDBDDDC2BE99}">
      <dgm:prSet/>
      <dgm:spPr/>
      <dgm:t>
        <a:bodyPr/>
        <a:lstStyle/>
        <a:p>
          <a:endParaRPr lang="en-US"/>
        </a:p>
      </dgm:t>
    </dgm:pt>
    <dgm:pt modelId="{E1490C57-FB77-4DE5-8620-FE869874F7F7}" type="sibTrans" cxnId="{3F836BF1-672C-4BBF-9452-FDBDDDC2BE99}">
      <dgm:prSet/>
      <dgm:spPr/>
      <dgm:t>
        <a:bodyPr/>
        <a:lstStyle/>
        <a:p>
          <a:endParaRPr lang="en-US"/>
        </a:p>
      </dgm:t>
    </dgm:pt>
    <dgm:pt modelId="{C7DE7BA2-4C32-47E6-B863-9D7937EA8297}">
      <dgm:prSet phldrT="[Text]"/>
      <dgm:spPr/>
      <dgm:t>
        <a:bodyPr/>
        <a:lstStyle/>
        <a:p>
          <a:pPr>
            <a:buNone/>
          </a:pPr>
          <a:r>
            <a:rPr lang="en-US"/>
            <a:t>Increased blood glucose</a:t>
          </a:r>
        </a:p>
      </dgm:t>
    </dgm:pt>
    <dgm:pt modelId="{C567681A-EE6A-4817-888C-C4499A2CB254}" type="parTrans" cxnId="{8B867F74-A38F-43FF-A72F-EB221CBABC63}">
      <dgm:prSet/>
      <dgm:spPr/>
      <dgm:t>
        <a:bodyPr/>
        <a:lstStyle/>
        <a:p>
          <a:endParaRPr lang="en-US"/>
        </a:p>
      </dgm:t>
    </dgm:pt>
    <dgm:pt modelId="{C3433F84-610C-4625-8CAF-B6D06842F539}" type="sibTrans" cxnId="{8B867F74-A38F-43FF-A72F-EB221CBABC63}">
      <dgm:prSet/>
      <dgm:spPr/>
      <dgm:t>
        <a:bodyPr/>
        <a:lstStyle/>
        <a:p>
          <a:endParaRPr lang="en-US"/>
        </a:p>
      </dgm:t>
    </dgm:pt>
    <dgm:pt modelId="{9F3388C7-CD3D-47CD-8738-6E9A68CDFD89}">
      <dgm:prSet phldrT="[Text]"/>
      <dgm:spPr/>
      <dgm:t>
        <a:bodyPr/>
        <a:lstStyle/>
        <a:p>
          <a:pPr>
            <a:buNone/>
          </a:pPr>
          <a:r>
            <a:rPr lang="en-US"/>
            <a:t>Pancreatic β-cells detect rise</a:t>
          </a:r>
        </a:p>
      </dgm:t>
    </dgm:pt>
    <dgm:pt modelId="{3DC0E9FD-1BA1-42F3-8D14-FA5A86005E9F}" type="parTrans" cxnId="{F546C579-E4AA-4FAE-834E-1A8965DFAE79}">
      <dgm:prSet/>
      <dgm:spPr/>
      <dgm:t>
        <a:bodyPr/>
        <a:lstStyle/>
        <a:p>
          <a:endParaRPr lang="en-US"/>
        </a:p>
      </dgm:t>
    </dgm:pt>
    <dgm:pt modelId="{AFF8B690-3902-4A40-91E7-57EC982FA2BE}" type="sibTrans" cxnId="{F546C579-E4AA-4FAE-834E-1A8965DFAE79}">
      <dgm:prSet/>
      <dgm:spPr/>
      <dgm:t>
        <a:bodyPr/>
        <a:lstStyle/>
        <a:p>
          <a:endParaRPr lang="en-US"/>
        </a:p>
      </dgm:t>
    </dgm:pt>
    <dgm:pt modelId="{6488FDAF-073E-4169-B2F9-52CE845E1639}">
      <dgm:prSet phldrT="[Text]"/>
      <dgm:spPr/>
      <dgm:t>
        <a:bodyPr/>
        <a:lstStyle/>
        <a:p>
          <a:pPr>
            <a:buNone/>
          </a:pPr>
          <a:r>
            <a:rPr lang="en-US"/>
            <a:t>Insulin secretion</a:t>
          </a:r>
        </a:p>
      </dgm:t>
    </dgm:pt>
    <dgm:pt modelId="{9102296B-CEB7-455A-988A-19F8A703145A}" type="parTrans" cxnId="{C4A04EE6-CF99-4649-B0C5-634CB70848E4}">
      <dgm:prSet/>
      <dgm:spPr/>
      <dgm:t>
        <a:bodyPr/>
        <a:lstStyle/>
        <a:p>
          <a:endParaRPr lang="en-US"/>
        </a:p>
      </dgm:t>
    </dgm:pt>
    <dgm:pt modelId="{A7082337-8B62-4829-B420-5A0754E8FFF6}" type="sibTrans" cxnId="{C4A04EE6-CF99-4649-B0C5-634CB70848E4}">
      <dgm:prSet/>
      <dgm:spPr/>
      <dgm:t>
        <a:bodyPr/>
        <a:lstStyle/>
        <a:p>
          <a:endParaRPr lang="en-US"/>
        </a:p>
      </dgm:t>
    </dgm:pt>
    <dgm:pt modelId="{7FC2225C-88E2-4578-92FF-8981A9AA24CC}">
      <dgm:prSet phldrT="[Text]"/>
      <dgm:spPr/>
      <dgm:t>
        <a:bodyPr/>
        <a:lstStyle/>
        <a:p>
          <a:pPr>
            <a:buNone/>
          </a:pPr>
          <a:r>
            <a:rPr lang="en-US"/>
            <a:t>Blood glucose returns to normal</a:t>
          </a:r>
        </a:p>
      </dgm:t>
    </dgm:pt>
    <dgm:pt modelId="{FCD76417-783D-4531-AFCB-DCA210E2A9ED}" type="parTrans" cxnId="{8D9442D4-7FEA-4E1A-87CF-552A2B8DD6D9}">
      <dgm:prSet/>
      <dgm:spPr/>
      <dgm:t>
        <a:bodyPr/>
        <a:lstStyle/>
        <a:p>
          <a:endParaRPr lang="en-US"/>
        </a:p>
      </dgm:t>
    </dgm:pt>
    <dgm:pt modelId="{C69E9F69-F7B8-4EA3-A9FC-A7637170E062}" type="sibTrans" cxnId="{8D9442D4-7FEA-4E1A-87CF-552A2B8DD6D9}">
      <dgm:prSet/>
      <dgm:spPr/>
      <dgm:t>
        <a:bodyPr/>
        <a:lstStyle/>
        <a:p>
          <a:endParaRPr lang="en-US"/>
        </a:p>
      </dgm:t>
    </dgm:pt>
    <dgm:pt modelId="{AF56D840-9243-40CD-A7AC-A0D2A88843D5}">
      <dgm:prSet phldrT="[Text]"/>
      <dgm:spPr/>
      <dgm:t>
        <a:bodyPr/>
        <a:lstStyle/>
        <a:p>
          <a:pPr>
            <a:buNone/>
          </a:pPr>
          <a:r>
            <a:rPr lang="en-US"/>
            <a:t>Low blood glucose</a:t>
          </a:r>
        </a:p>
      </dgm:t>
    </dgm:pt>
    <dgm:pt modelId="{86F04762-3A2F-42CB-9D6F-10459372D66F}" type="parTrans" cxnId="{387D3575-C02E-4AFD-8375-97CE89176551}">
      <dgm:prSet/>
      <dgm:spPr/>
      <dgm:t>
        <a:bodyPr/>
        <a:lstStyle/>
        <a:p>
          <a:endParaRPr lang="en-US"/>
        </a:p>
      </dgm:t>
    </dgm:pt>
    <dgm:pt modelId="{1FAFFBF7-5F43-4541-B215-8E3CA7A30B84}" type="sibTrans" cxnId="{387D3575-C02E-4AFD-8375-97CE89176551}">
      <dgm:prSet/>
      <dgm:spPr/>
      <dgm:t>
        <a:bodyPr/>
        <a:lstStyle/>
        <a:p>
          <a:endParaRPr lang="en-US"/>
        </a:p>
      </dgm:t>
    </dgm:pt>
    <dgm:pt modelId="{0B4F476B-E2B6-4A57-8BBD-930F799D9700}">
      <dgm:prSet phldrT="[Text]"/>
      <dgm:spPr/>
      <dgm:t>
        <a:bodyPr/>
        <a:lstStyle/>
        <a:p>
          <a:pPr>
            <a:buNone/>
          </a:pPr>
          <a:r>
            <a:rPr lang="en-US"/>
            <a:t>Pancreatic α-cells release glucagon</a:t>
          </a:r>
        </a:p>
      </dgm:t>
    </dgm:pt>
    <dgm:pt modelId="{227BAC4D-9384-45EA-A74C-C3CD411FE3C4}" type="parTrans" cxnId="{5F084D33-0C64-40DE-B891-1A87D2BEB230}">
      <dgm:prSet/>
      <dgm:spPr/>
      <dgm:t>
        <a:bodyPr/>
        <a:lstStyle/>
        <a:p>
          <a:endParaRPr lang="en-US"/>
        </a:p>
      </dgm:t>
    </dgm:pt>
    <dgm:pt modelId="{C99D94D9-101C-4AD5-9B59-658D1E61E158}" type="sibTrans" cxnId="{5F084D33-0C64-40DE-B891-1A87D2BEB230}">
      <dgm:prSet/>
      <dgm:spPr/>
      <dgm:t>
        <a:bodyPr/>
        <a:lstStyle/>
        <a:p>
          <a:endParaRPr lang="en-US"/>
        </a:p>
      </dgm:t>
    </dgm:pt>
    <dgm:pt modelId="{E53DF0A9-955C-41AC-9C69-6CC4F4383A3B}">
      <dgm:prSet/>
      <dgm:spPr/>
      <dgm:t>
        <a:bodyPr/>
        <a:lstStyle/>
        <a:p>
          <a:pPr>
            <a:buNone/>
          </a:pPr>
          <a:r>
            <a:rPr lang="en-US"/>
            <a:t>Glucose enters muscle and fat cells</a:t>
          </a:r>
        </a:p>
      </dgm:t>
    </dgm:pt>
    <dgm:pt modelId="{A3D26B17-9746-4A8D-835C-2254F35322A9}" type="parTrans" cxnId="{7DD28CA5-6BCA-4AE3-A099-8A6F3C032126}">
      <dgm:prSet/>
      <dgm:spPr/>
      <dgm:t>
        <a:bodyPr/>
        <a:lstStyle/>
        <a:p>
          <a:endParaRPr lang="en-US"/>
        </a:p>
      </dgm:t>
    </dgm:pt>
    <dgm:pt modelId="{4FFF399A-E337-4C1C-A688-D1E2B76EB543}" type="sibTrans" cxnId="{7DD28CA5-6BCA-4AE3-A099-8A6F3C032126}">
      <dgm:prSet/>
      <dgm:spPr/>
      <dgm:t>
        <a:bodyPr/>
        <a:lstStyle/>
        <a:p>
          <a:endParaRPr lang="en-US"/>
        </a:p>
      </dgm:t>
    </dgm:pt>
    <dgm:pt modelId="{FA596203-86DE-4FD0-AD1D-EE95374A76B5}">
      <dgm:prSet/>
      <dgm:spPr/>
      <dgm:t>
        <a:bodyPr/>
        <a:lstStyle/>
        <a:p>
          <a:pPr>
            <a:buNone/>
          </a:pPr>
          <a:r>
            <a:rPr lang="en-US"/>
            <a:t>Liver breaks down glycogen</a:t>
          </a:r>
        </a:p>
      </dgm:t>
    </dgm:pt>
    <dgm:pt modelId="{20802BF7-89A0-42AE-8315-03F7C50DFCAC}" type="parTrans" cxnId="{4C51F855-A5EF-4492-8295-FD974FDF3868}">
      <dgm:prSet/>
      <dgm:spPr/>
      <dgm:t>
        <a:bodyPr/>
        <a:lstStyle/>
        <a:p>
          <a:endParaRPr lang="en-US"/>
        </a:p>
      </dgm:t>
    </dgm:pt>
    <dgm:pt modelId="{F1DA2E7F-147E-4C90-8028-0EE6A3DFB23E}" type="sibTrans" cxnId="{4C51F855-A5EF-4492-8295-FD974FDF3868}">
      <dgm:prSet/>
      <dgm:spPr/>
      <dgm:t>
        <a:bodyPr/>
        <a:lstStyle/>
        <a:p>
          <a:endParaRPr lang="en-US"/>
        </a:p>
      </dgm:t>
    </dgm:pt>
    <dgm:pt modelId="{773CB5DF-1078-4E96-ABB1-DDB69C8FA4AB}">
      <dgm:prSet/>
      <dgm:spPr/>
      <dgm:t>
        <a:bodyPr/>
        <a:lstStyle/>
        <a:p>
          <a:pPr>
            <a:buNone/>
          </a:pPr>
          <a:r>
            <a:rPr lang="en-US"/>
            <a:t>Glucose released into bloodstream</a:t>
          </a:r>
        </a:p>
      </dgm:t>
    </dgm:pt>
    <dgm:pt modelId="{EB7B8597-F681-4693-817F-E9583195E155}" type="parTrans" cxnId="{43F3644B-F56D-41BA-AF29-4D9B9D8D46EA}">
      <dgm:prSet/>
      <dgm:spPr/>
      <dgm:t>
        <a:bodyPr/>
        <a:lstStyle/>
        <a:p>
          <a:endParaRPr lang="en-US"/>
        </a:p>
      </dgm:t>
    </dgm:pt>
    <dgm:pt modelId="{51DD1C01-13E9-4BF0-AFA6-214F6364B3B0}" type="sibTrans" cxnId="{43F3644B-F56D-41BA-AF29-4D9B9D8D46EA}">
      <dgm:prSet/>
      <dgm:spPr/>
      <dgm:t>
        <a:bodyPr/>
        <a:lstStyle/>
        <a:p>
          <a:endParaRPr lang="en-US"/>
        </a:p>
      </dgm:t>
    </dgm:pt>
    <dgm:pt modelId="{B3D02FFE-EE0D-4D18-BBEC-EB4F777917EA}" type="pres">
      <dgm:prSet presAssocID="{8701CDAD-AE37-4186-BE15-26B8AB66644F}" presName="Name0" presStyleCnt="0">
        <dgm:presLayoutVars>
          <dgm:dir/>
          <dgm:resizeHandles/>
        </dgm:presLayoutVars>
      </dgm:prSet>
      <dgm:spPr/>
    </dgm:pt>
    <dgm:pt modelId="{828499BE-C5E9-4E6F-ADF7-22222823FFD4}" type="pres">
      <dgm:prSet presAssocID="{1AB8EC5A-FF59-45D5-A8F1-A43AFBA1D129}" presName="compNode" presStyleCnt="0"/>
      <dgm:spPr/>
    </dgm:pt>
    <dgm:pt modelId="{C8F5373C-8012-4702-8615-34AFA193F1D0}" type="pres">
      <dgm:prSet presAssocID="{1AB8EC5A-FF59-45D5-A8F1-A43AFBA1D129}" presName="dummyConnPt" presStyleCnt="0"/>
      <dgm:spPr/>
    </dgm:pt>
    <dgm:pt modelId="{AACE79D9-144B-479B-86C6-1191354C4279}" type="pres">
      <dgm:prSet presAssocID="{1AB8EC5A-FF59-45D5-A8F1-A43AFBA1D129}" presName="node" presStyleLbl="node1" presStyleIdx="0" presStyleCnt="11">
        <dgm:presLayoutVars>
          <dgm:bulletEnabled val="1"/>
        </dgm:presLayoutVars>
      </dgm:prSet>
      <dgm:spPr/>
    </dgm:pt>
    <dgm:pt modelId="{475679FB-2DC2-401E-B335-C6627B25E740}" type="pres">
      <dgm:prSet presAssocID="{3700FF8B-87C9-4889-A94A-9C5189E04E7E}" presName="sibTrans" presStyleLbl="bgSibTrans2D1" presStyleIdx="0" presStyleCnt="10"/>
      <dgm:spPr/>
    </dgm:pt>
    <dgm:pt modelId="{383B00C3-428F-4157-B62B-27CD2439301F}" type="pres">
      <dgm:prSet presAssocID="{C8101B60-97FD-4A53-9BB7-2474ED60CAFD}" presName="compNode" presStyleCnt="0"/>
      <dgm:spPr/>
    </dgm:pt>
    <dgm:pt modelId="{315E850B-6952-4DF5-B6B9-C09E49759315}" type="pres">
      <dgm:prSet presAssocID="{C8101B60-97FD-4A53-9BB7-2474ED60CAFD}" presName="dummyConnPt" presStyleCnt="0"/>
      <dgm:spPr/>
    </dgm:pt>
    <dgm:pt modelId="{0E708E45-5FA2-41FE-A57F-88E77A0C8500}" type="pres">
      <dgm:prSet presAssocID="{C8101B60-97FD-4A53-9BB7-2474ED60CAFD}" presName="node" presStyleLbl="node1" presStyleIdx="1" presStyleCnt="11">
        <dgm:presLayoutVars>
          <dgm:bulletEnabled val="1"/>
        </dgm:presLayoutVars>
      </dgm:prSet>
      <dgm:spPr/>
    </dgm:pt>
    <dgm:pt modelId="{BE7E699B-3B5F-40A3-BAEE-3D7C655DAA37}" type="pres">
      <dgm:prSet presAssocID="{E1490C57-FB77-4DE5-8620-FE869874F7F7}" presName="sibTrans" presStyleLbl="bgSibTrans2D1" presStyleIdx="1" presStyleCnt="10"/>
      <dgm:spPr/>
    </dgm:pt>
    <dgm:pt modelId="{4B3C5AEE-DB3B-485E-AC05-71A23313E737}" type="pres">
      <dgm:prSet presAssocID="{C7DE7BA2-4C32-47E6-B863-9D7937EA8297}" presName="compNode" presStyleCnt="0"/>
      <dgm:spPr/>
    </dgm:pt>
    <dgm:pt modelId="{3D146216-ABBA-4231-B5BF-8AFC2C7712FE}" type="pres">
      <dgm:prSet presAssocID="{C7DE7BA2-4C32-47E6-B863-9D7937EA8297}" presName="dummyConnPt" presStyleCnt="0"/>
      <dgm:spPr/>
    </dgm:pt>
    <dgm:pt modelId="{3CBC3F76-F14F-42CA-9D2B-94D1EEDCD488}" type="pres">
      <dgm:prSet presAssocID="{C7DE7BA2-4C32-47E6-B863-9D7937EA8297}" presName="node" presStyleLbl="node1" presStyleIdx="2" presStyleCnt="11">
        <dgm:presLayoutVars>
          <dgm:bulletEnabled val="1"/>
        </dgm:presLayoutVars>
      </dgm:prSet>
      <dgm:spPr/>
    </dgm:pt>
    <dgm:pt modelId="{EB9EAC02-516E-44D4-AB06-E3C030FCE5CD}" type="pres">
      <dgm:prSet presAssocID="{C3433F84-610C-4625-8CAF-B6D06842F539}" presName="sibTrans" presStyleLbl="bgSibTrans2D1" presStyleIdx="2" presStyleCnt="10"/>
      <dgm:spPr/>
    </dgm:pt>
    <dgm:pt modelId="{EA09D62F-13EA-4E90-9CB2-9E16541EEE8D}" type="pres">
      <dgm:prSet presAssocID="{9F3388C7-CD3D-47CD-8738-6E9A68CDFD89}" presName="compNode" presStyleCnt="0"/>
      <dgm:spPr/>
    </dgm:pt>
    <dgm:pt modelId="{4BC71B9C-E453-4684-9FF4-D486CC108930}" type="pres">
      <dgm:prSet presAssocID="{9F3388C7-CD3D-47CD-8738-6E9A68CDFD89}" presName="dummyConnPt" presStyleCnt="0"/>
      <dgm:spPr/>
    </dgm:pt>
    <dgm:pt modelId="{8D240195-73A0-46BD-9C2C-D8350F623035}" type="pres">
      <dgm:prSet presAssocID="{9F3388C7-CD3D-47CD-8738-6E9A68CDFD89}" presName="node" presStyleLbl="node1" presStyleIdx="3" presStyleCnt="11">
        <dgm:presLayoutVars>
          <dgm:bulletEnabled val="1"/>
        </dgm:presLayoutVars>
      </dgm:prSet>
      <dgm:spPr/>
    </dgm:pt>
    <dgm:pt modelId="{E245AD74-04B2-4AC8-84F4-3853698F810A}" type="pres">
      <dgm:prSet presAssocID="{AFF8B690-3902-4A40-91E7-57EC982FA2BE}" presName="sibTrans" presStyleLbl="bgSibTrans2D1" presStyleIdx="3" presStyleCnt="10"/>
      <dgm:spPr/>
    </dgm:pt>
    <dgm:pt modelId="{4B3358A7-FE0E-40C7-8E7B-0B0075C52521}" type="pres">
      <dgm:prSet presAssocID="{6488FDAF-073E-4169-B2F9-52CE845E1639}" presName="compNode" presStyleCnt="0"/>
      <dgm:spPr/>
    </dgm:pt>
    <dgm:pt modelId="{E8BC32B4-0116-4236-9767-0BD2C8ABD917}" type="pres">
      <dgm:prSet presAssocID="{6488FDAF-073E-4169-B2F9-52CE845E1639}" presName="dummyConnPt" presStyleCnt="0"/>
      <dgm:spPr/>
    </dgm:pt>
    <dgm:pt modelId="{027BD6CE-49B7-42E3-9395-D65FFA56D1ED}" type="pres">
      <dgm:prSet presAssocID="{6488FDAF-073E-4169-B2F9-52CE845E1639}" presName="node" presStyleLbl="node1" presStyleIdx="4" presStyleCnt="11">
        <dgm:presLayoutVars>
          <dgm:bulletEnabled val="1"/>
        </dgm:presLayoutVars>
      </dgm:prSet>
      <dgm:spPr/>
    </dgm:pt>
    <dgm:pt modelId="{3A2DA15A-F897-4282-8B1A-9A6EF2C8ED8E}" type="pres">
      <dgm:prSet presAssocID="{A7082337-8B62-4829-B420-5A0754E8FFF6}" presName="sibTrans" presStyleLbl="bgSibTrans2D1" presStyleIdx="4" presStyleCnt="10"/>
      <dgm:spPr/>
    </dgm:pt>
    <dgm:pt modelId="{90D95642-1BE0-4A66-B20B-07E10793B4B8}" type="pres">
      <dgm:prSet presAssocID="{E53DF0A9-955C-41AC-9C69-6CC4F4383A3B}" presName="compNode" presStyleCnt="0"/>
      <dgm:spPr/>
    </dgm:pt>
    <dgm:pt modelId="{16AC0BE4-A65F-4AAE-B4B8-1091D0787C76}" type="pres">
      <dgm:prSet presAssocID="{E53DF0A9-955C-41AC-9C69-6CC4F4383A3B}" presName="dummyConnPt" presStyleCnt="0"/>
      <dgm:spPr/>
    </dgm:pt>
    <dgm:pt modelId="{208D39E8-C33E-42F2-AD1B-866A271DF6DC}" type="pres">
      <dgm:prSet presAssocID="{E53DF0A9-955C-41AC-9C69-6CC4F4383A3B}" presName="node" presStyleLbl="node1" presStyleIdx="5" presStyleCnt="11">
        <dgm:presLayoutVars>
          <dgm:bulletEnabled val="1"/>
        </dgm:presLayoutVars>
      </dgm:prSet>
      <dgm:spPr/>
    </dgm:pt>
    <dgm:pt modelId="{73998E7C-C37F-4CFE-BA04-EED17B839CCA}" type="pres">
      <dgm:prSet presAssocID="{4FFF399A-E337-4C1C-A688-D1E2B76EB543}" presName="sibTrans" presStyleLbl="bgSibTrans2D1" presStyleIdx="5" presStyleCnt="10"/>
      <dgm:spPr/>
    </dgm:pt>
    <dgm:pt modelId="{414D19F3-B898-4629-949F-9EB66B9D4E63}" type="pres">
      <dgm:prSet presAssocID="{7FC2225C-88E2-4578-92FF-8981A9AA24CC}" presName="compNode" presStyleCnt="0"/>
      <dgm:spPr/>
    </dgm:pt>
    <dgm:pt modelId="{89866C38-3EAE-4C42-B724-CDE5EC40D789}" type="pres">
      <dgm:prSet presAssocID="{7FC2225C-88E2-4578-92FF-8981A9AA24CC}" presName="dummyConnPt" presStyleCnt="0"/>
      <dgm:spPr/>
    </dgm:pt>
    <dgm:pt modelId="{D4FADCE2-C96D-47B7-8F30-0708D478B9D8}" type="pres">
      <dgm:prSet presAssocID="{7FC2225C-88E2-4578-92FF-8981A9AA24CC}" presName="node" presStyleLbl="node1" presStyleIdx="6" presStyleCnt="11">
        <dgm:presLayoutVars>
          <dgm:bulletEnabled val="1"/>
        </dgm:presLayoutVars>
      </dgm:prSet>
      <dgm:spPr/>
    </dgm:pt>
    <dgm:pt modelId="{B80B4341-3673-45BC-BC4C-F89C8DF4D556}" type="pres">
      <dgm:prSet presAssocID="{C69E9F69-F7B8-4EA3-A9FC-A7637170E062}" presName="sibTrans" presStyleLbl="bgSibTrans2D1" presStyleIdx="6" presStyleCnt="10"/>
      <dgm:spPr/>
    </dgm:pt>
    <dgm:pt modelId="{0500E05A-6660-4AAD-8383-F338A7223DFA}" type="pres">
      <dgm:prSet presAssocID="{AF56D840-9243-40CD-A7AC-A0D2A88843D5}" presName="compNode" presStyleCnt="0"/>
      <dgm:spPr/>
    </dgm:pt>
    <dgm:pt modelId="{FB7C46C6-26BA-4BEF-88EE-27E096A069E3}" type="pres">
      <dgm:prSet presAssocID="{AF56D840-9243-40CD-A7AC-A0D2A88843D5}" presName="dummyConnPt" presStyleCnt="0"/>
      <dgm:spPr/>
    </dgm:pt>
    <dgm:pt modelId="{6A8FB38B-1914-44A5-A3F3-20BF2470F180}" type="pres">
      <dgm:prSet presAssocID="{AF56D840-9243-40CD-A7AC-A0D2A88843D5}" presName="node" presStyleLbl="node1" presStyleIdx="7" presStyleCnt="11">
        <dgm:presLayoutVars>
          <dgm:bulletEnabled val="1"/>
        </dgm:presLayoutVars>
      </dgm:prSet>
      <dgm:spPr/>
    </dgm:pt>
    <dgm:pt modelId="{A7EA29F1-8330-4B43-AC2F-C76A8A865522}" type="pres">
      <dgm:prSet presAssocID="{1FAFFBF7-5F43-4541-B215-8E3CA7A30B84}" presName="sibTrans" presStyleLbl="bgSibTrans2D1" presStyleIdx="7" presStyleCnt="10"/>
      <dgm:spPr/>
    </dgm:pt>
    <dgm:pt modelId="{A3DD77A2-99BE-407B-864D-D8C1935D346B}" type="pres">
      <dgm:prSet presAssocID="{0B4F476B-E2B6-4A57-8BBD-930F799D9700}" presName="compNode" presStyleCnt="0"/>
      <dgm:spPr/>
    </dgm:pt>
    <dgm:pt modelId="{73797C09-9DE0-4ACF-8A3F-1151F208809F}" type="pres">
      <dgm:prSet presAssocID="{0B4F476B-E2B6-4A57-8BBD-930F799D9700}" presName="dummyConnPt" presStyleCnt="0"/>
      <dgm:spPr/>
    </dgm:pt>
    <dgm:pt modelId="{290D040D-40FE-4B88-91EB-0C1CB36AB27B}" type="pres">
      <dgm:prSet presAssocID="{0B4F476B-E2B6-4A57-8BBD-930F799D9700}" presName="node" presStyleLbl="node1" presStyleIdx="8" presStyleCnt="11">
        <dgm:presLayoutVars>
          <dgm:bulletEnabled val="1"/>
        </dgm:presLayoutVars>
      </dgm:prSet>
      <dgm:spPr/>
    </dgm:pt>
    <dgm:pt modelId="{9BAE74DE-8894-4434-872B-A65BBCE7F5D2}" type="pres">
      <dgm:prSet presAssocID="{C99D94D9-101C-4AD5-9B59-658D1E61E158}" presName="sibTrans" presStyleLbl="bgSibTrans2D1" presStyleIdx="8" presStyleCnt="10"/>
      <dgm:spPr/>
    </dgm:pt>
    <dgm:pt modelId="{770529D1-B9D3-4F40-945D-E4D27CF8A943}" type="pres">
      <dgm:prSet presAssocID="{FA596203-86DE-4FD0-AD1D-EE95374A76B5}" presName="compNode" presStyleCnt="0"/>
      <dgm:spPr/>
    </dgm:pt>
    <dgm:pt modelId="{0535DB60-1DB7-4500-B817-7AC9D423360C}" type="pres">
      <dgm:prSet presAssocID="{FA596203-86DE-4FD0-AD1D-EE95374A76B5}" presName="dummyConnPt" presStyleCnt="0"/>
      <dgm:spPr/>
    </dgm:pt>
    <dgm:pt modelId="{F573C70A-5E4D-4E46-824C-1C55DFA5826F}" type="pres">
      <dgm:prSet presAssocID="{FA596203-86DE-4FD0-AD1D-EE95374A76B5}" presName="node" presStyleLbl="node1" presStyleIdx="9" presStyleCnt="11">
        <dgm:presLayoutVars>
          <dgm:bulletEnabled val="1"/>
        </dgm:presLayoutVars>
      </dgm:prSet>
      <dgm:spPr/>
    </dgm:pt>
    <dgm:pt modelId="{77185991-D4E9-43F2-AD71-FBE6B8906A04}" type="pres">
      <dgm:prSet presAssocID="{F1DA2E7F-147E-4C90-8028-0EE6A3DFB23E}" presName="sibTrans" presStyleLbl="bgSibTrans2D1" presStyleIdx="9" presStyleCnt="10"/>
      <dgm:spPr/>
    </dgm:pt>
    <dgm:pt modelId="{680B30C5-7AE9-4F37-814A-4EC42C5B16D6}" type="pres">
      <dgm:prSet presAssocID="{773CB5DF-1078-4E96-ABB1-DDB69C8FA4AB}" presName="compNode" presStyleCnt="0"/>
      <dgm:spPr/>
    </dgm:pt>
    <dgm:pt modelId="{64F9D9DB-A96A-47AC-A924-6A9180A02F20}" type="pres">
      <dgm:prSet presAssocID="{773CB5DF-1078-4E96-ABB1-DDB69C8FA4AB}" presName="dummyConnPt" presStyleCnt="0"/>
      <dgm:spPr/>
    </dgm:pt>
    <dgm:pt modelId="{A878267B-B506-419A-921F-4CC93834C37C}" type="pres">
      <dgm:prSet presAssocID="{773CB5DF-1078-4E96-ABB1-DDB69C8FA4AB}" presName="node" presStyleLbl="node1" presStyleIdx="10" presStyleCnt="11">
        <dgm:presLayoutVars>
          <dgm:bulletEnabled val="1"/>
        </dgm:presLayoutVars>
      </dgm:prSet>
      <dgm:spPr/>
    </dgm:pt>
  </dgm:ptLst>
  <dgm:cxnLst>
    <dgm:cxn modelId="{79108F04-5FF5-42D4-B6A6-48C6E75CFDC7}" type="presOf" srcId="{AF56D840-9243-40CD-A7AC-A0D2A88843D5}" destId="{6A8FB38B-1914-44A5-A3F3-20BF2470F180}" srcOrd="0" destOrd="0" presId="urn:microsoft.com/office/officeart/2005/8/layout/bProcess4"/>
    <dgm:cxn modelId="{E22A3A14-9D46-4E4D-91C1-573E9A5277B2}" type="presOf" srcId="{0B4F476B-E2B6-4A57-8BBD-930F799D9700}" destId="{290D040D-40FE-4B88-91EB-0C1CB36AB27B}" srcOrd="0" destOrd="0" presId="urn:microsoft.com/office/officeart/2005/8/layout/bProcess4"/>
    <dgm:cxn modelId="{56F81415-8F54-4779-93B0-2B4867D20626}" type="presOf" srcId="{C7DE7BA2-4C32-47E6-B863-9D7937EA8297}" destId="{3CBC3F76-F14F-42CA-9D2B-94D1EEDCD488}" srcOrd="0" destOrd="0" presId="urn:microsoft.com/office/officeart/2005/8/layout/bProcess4"/>
    <dgm:cxn modelId="{AEABD515-7EDF-44AD-8A34-9F74E79324ED}" type="presOf" srcId="{3700FF8B-87C9-4889-A94A-9C5189E04E7E}" destId="{475679FB-2DC2-401E-B335-C6627B25E740}" srcOrd="0" destOrd="0" presId="urn:microsoft.com/office/officeart/2005/8/layout/bProcess4"/>
    <dgm:cxn modelId="{F163F016-D9E5-4870-B479-CF527AE663E9}" type="presOf" srcId="{773CB5DF-1078-4E96-ABB1-DDB69C8FA4AB}" destId="{A878267B-B506-419A-921F-4CC93834C37C}" srcOrd="0" destOrd="0" presId="urn:microsoft.com/office/officeart/2005/8/layout/bProcess4"/>
    <dgm:cxn modelId="{D2036E1E-99CE-40C8-8BA9-37E35B272522}" type="presOf" srcId="{E1490C57-FB77-4DE5-8620-FE869874F7F7}" destId="{BE7E699B-3B5F-40A3-BAEE-3D7C655DAA37}" srcOrd="0" destOrd="0" presId="urn:microsoft.com/office/officeart/2005/8/layout/bProcess4"/>
    <dgm:cxn modelId="{EA25392C-D343-4611-8401-593003BF74BF}" type="presOf" srcId="{8701CDAD-AE37-4186-BE15-26B8AB66644F}" destId="{B3D02FFE-EE0D-4D18-BBEC-EB4F777917EA}" srcOrd="0" destOrd="0" presId="urn:microsoft.com/office/officeart/2005/8/layout/bProcess4"/>
    <dgm:cxn modelId="{5F084D33-0C64-40DE-B891-1A87D2BEB230}" srcId="{8701CDAD-AE37-4186-BE15-26B8AB66644F}" destId="{0B4F476B-E2B6-4A57-8BBD-930F799D9700}" srcOrd="8" destOrd="0" parTransId="{227BAC4D-9384-45EA-A74C-C3CD411FE3C4}" sibTransId="{C99D94D9-101C-4AD5-9B59-658D1E61E158}"/>
    <dgm:cxn modelId="{3BDC593D-8CE3-4FD9-B33E-7EE9EB54024F}" type="presOf" srcId="{F1DA2E7F-147E-4C90-8028-0EE6A3DFB23E}" destId="{77185991-D4E9-43F2-AD71-FBE6B8906A04}" srcOrd="0" destOrd="0" presId="urn:microsoft.com/office/officeart/2005/8/layout/bProcess4"/>
    <dgm:cxn modelId="{61192042-4F68-4053-8D66-78C1E3164906}" type="presOf" srcId="{C8101B60-97FD-4A53-9BB7-2474ED60CAFD}" destId="{0E708E45-5FA2-41FE-A57F-88E77A0C8500}" srcOrd="0" destOrd="0" presId="urn:microsoft.com/office/officeart/2005/8/layout/bProcess4"/>
    <dgm:cxn modelId="{82C3FC47-8799-4EC1-8CA7-0222A960D740}" type="presOf" srcId="{1AB8EC5A-FF59-45D5-A8F1-A43AFBA1D129}" destId="{AACE79D9-144B-479B-86C6-1191354C4279}" srcOrd="0" destOrd="0" presId="urn:microsoft.com/office/officeart/2005/8/layout/bProcess4"/>
    <dgm:cxn modelId="{84A18448-AF2F-4DF8-86B8-3DBC7FFDA1E6}" type="presOf" srcId="{1FAFFBF7-5F43-4541-B215-8E3CA7A30B84}" destId="{A7EA29F1-8330-4B43-AC2F-C76A8A865522}" srcOrd="0" destOrd="0" presId="urn:microsoft.com/office/officeart/2005/8/layout/bProcess4"/>
    <dgm:cxn modelId="{43F3644B-F56D-41BA-AF29-4D9B9D8D46EA}" srcId="{8701CDAD-AE37-4186-BE15-26B8AB66644F}" destId="{773CB5DF-1078-4E96-ABB1-DDB69C8FA4AB}" srcOrd="10" destOrd="0" parTransId="{EB7B8597-F681-4693-817F-E9583195E155}" sibTransId="{51DD1C01-13E9-4BF0-AFA6-214F6364B3B0}"/>
    <dgm:cxn modelId="{4C51F855-A5EF-4492-8295-FD974FDF3868}" srcId="{8701CDAD-AE37-4186-BE15-26B8AB66644F}" destId="{FA596203-86DE-4FD0-AD1D-EE95374A76B5}" srcOrd="9" destOrd="0" parTransId="{20802BF7-89A0-42AE-8315-03F7C50DFCAC}" sibTransId="{F1DA2E7F-147E-4C90-8028-0EE6A3DFB23E}"/>
    <dgm:cxn modelId="{9EA27758-4BCD-4CE8-A440-1FC8DC01401A}" type="presOf" srcId="{6488FDAF-073E-4169-B2F9-52CE845E1639}" destId="{027BD6CE-49B7-42E3-9395-D65FFA56D1ED}" srcOrd="0" destOrd="0" presId="urn:microsoft.com/office/officeart/2005/8/layout/bProcess4"/>
    <dgm:cxn modelId="{62B6CD62-0BF2-4025-B7D0-E91F08EC8A18}" type="presOf" srcId="{9F3388C7-CD3D-47CD-8738-6E9A68CDFD89}" destId="{8D240195-73A0-46BD-9C2C-D8350F623035}" srcOrd="0" destOrd="0" presId="urn:microsoft.com/office/officeart/2005/8/layout/bProcess4"/>
    <dgm:cxn modelId="{DA597A66-6E15-4DED-A1CF-E06396393AF9}" type="presOf" srcId="{C3433F84-610C-4625-8CAF-B6D06842F539}" destId="{EB9EAC02-516E-44D4-AB06-E3C030FCE5CD}" srcOrd="0" destOrd="0" presId="urn:microsoft.com/office/officeart/2005/8/layout/bProcess4"/>
    <dgm:cxn modelId="{616C3571-340A-44D4-9DB1-F200043993B5}" srcId="{8701CDAD-AE37-4186-BE15-26B8AB66644F}" destId="{1AB8EC5A-FF59-45D5-A8F1-A43AFBA1D129}" srcOrd="0" destOrd="0" parTransId="{72FFECBC-5164-4D8A-8BC4-F39B92BB4C6E}" sibTransId="{3700FF8B-87C9-4889-A94A-9C5189E04E7E}"/>
    <dgm:cxn modelId="{8B867F74-A38F-43FF-A72F-EB221CBABC63}" srcId="{8701CDAD-AE37-4186-BE15-26B8AB66644F}" destId="{C7DE7BA2-4C32-47E6-B863-9D7937EA8297}" srcOrd="2" destOrd="0" parTransId="{C567681A-EE6A-4817-888C-C4499A2CB254}" sibTransId="{C3433F84-610C-4625-8CAF-B6D06842F539}"/>
    <dgm:cxn modelId="{387D3575-C02E-4AFD-8375-97CE89176551}" srcId="{8701CDAD-AE37-4186-BE15-26B8AB66644F}" destId="{AF56D840-9243-40CD-A7AC-A0D2A88843D5}" srcOrd="7" destOrd="0" parTransId="{86F04762-3A2F-42CB-9D6F-10459372D66F}" sibTransId="{1FAFFBF7-5F43-4541-B215-8E3CA7A30B84}"/>
    <dgm:cxn modelId="{F546C579-E4AA-4FAE-834E-1A8965DFAE79}" srcId="{8701CDAD-AE37-4186-BE15-26B8AB66644F}" destId="{9F3388C7-CD3D-47CD-8738-6E9A68CDFD89}" srcOrd="3" destOrd="0" parTransId="{3DC0E9FD-1BA1-42F3-8D14-FA5A86005E9F}" sibTransId="{AFF8B690-3902-4A40-91E7-57EC982FA2BE}"/>
    <dgm:cxn modelId="{6FA8B680-81F2-435C-8D8B-AD6A01EFFEF0}" type="presOf" srcId="{4FFF399A-E337-4C1C-A688-D1E2B76EB543}" destId="{73998E7C-C37F-4CFE-BA04-EED17B839CCA}" srcOrd="0" destOrd="0" presId="urn:microsoft.com/office/officeart/2005/8/layout/bProcess4"/>
    <dgm:cxn modelId="{38B5FF92-D7D3-4E70-88FF-DB1BEE1899AE}" type="presOf" srcId="{7FC2225C-88E2-4578-92FF-8981A9AA24CC}" destId="{D4FADCE2-C96D-47B7-8F30-0708D478B9D8}" srcOrd="0" destOrd="0" presId="urn:microsoft.com/office/officeart/2005/8/layout/bProcess4"/>
    <dgm:cxn modelId="{52560698-10E5-4220-B526-DE06846FDC64}" type="presOf" srcId="{FA596203-86DE-4FD0-AD1D-EE95374A76B5}" destId="{F573C70A-5E4D-4E46-824C-1C55DFA5826F}" srcOrd="0" destOrd="0" presId="urn:microsoft.com/office/officeart/2005/8/layout/bProcess4"/>
    <dgm:cxn modelId="{7DD28CA5-6BCA-4AE3-A099-8A6F3C032126}" srcId="{8701CDAD-AE37-4186-BE15-26B8AB66644F}" destId="{E53DF0A9-955C-41AC-9C69-6CC4F4383A3B}" srcOrd="5" destOrd="0" parTransId="{A3D26B17-9746-4A8D-835C-2254F35322A9}" sibTransId="{4FFF399A-E337-4C1C-A688-D1E2B76EB543}"/>
    <dgm:cxn modelId="{75375EAD-EA2C-429B-895B-06E4BA548C34}" type="presOf" srcId="{C69E9F69-F7B8-4EA3-A9FC-A7637170E062}" destId="{B80B4341-3673-45BC-BC4C-F89C8DF4D556}" srcOrd="0" destOrd="0" presId="urn:microsoft.com/office/officeart/2005/8/layout/bProcess4"/>
    <dgm:cxn modelId="{D7C515B0-140B-49A3-9916-A60944BBA56C}" type="presOf" srcId="{A7082337-8B62-4829-B420-5A0754E8FFF6}" destId="{3A2DA15A-F897-4282-8B1A-9A6EF2C8ED8E}" srcOrd="0" destOrd="0" presId="urn:microsoft.com/office/officeart/2005/8/layout/bProcess4"/>
    <dgm:cxn modelId="{34D9EFB3-2141-4AD9-B853-4D25202F1E8B}" type="presOf" srcId="{E53DF0A9-955C-41AC-9C69-6CC4F4383A3B}" destId="{208D39E8-C33E-42F2-AD1B-866A271DF6DC}" srcOrd="0" destOrd="0" presId="urn:microsoft.com/office/officeart/2005/8/layout/bProcess4"/>
    <dgm:cxn modelId="{811345C3-D598-4341-A732-31F52A27C32C}" type="presOf" srcId="{C99D94D9-101C-4AD5-9B59-658D1E61E158}" destId="{9BAE74DE-8894-4434-872B-A65BBCE7F5D2}" srcOrd="0" destOrd="0" presId="urn:microsoft.com/office/officeart/2005/8/layout/bProcess4"/>
    <dgm:cxn modelId="{35C44ACB-A940-434E-92C2-0835F0DE44B2}" type="presOf" srcId="{AFF8B690-3902-4A40-91E7-57EC982FA2BE}" destId="{E245AD74-04B2-4AC8-84F4-3853698F810A}" srcOrd="0" destOrd="0" presId="urn:microsoft.com/office/officeart/2005/8/layout/bProcess4"/>
    <dgm:cxn modelId="{8D9442D4-7FEA-4E1A-87CF-552A2B8DD6D9}" srcId="{8701CDAD-AE37-4186-BE15-26B8AB66644F}" destId="{7FC2225C-88E2-4578-92FF-8981A9AA24CC}" srcOrd="6" destOrd="0" parTransId="{FCD76417-783D-4531-AFCB-DCA210E2A9ED}" sibTransId="{C69E9F69-F7B8-4EA3-A9FC-A7637170E062}"/>
    <dgm:cxn modelId="{C4A04EE6-CF99-4649-B0C5-634CB70848E4}" srcId="{8701CDAD-AE37-4186-BE15-26B8AB66644F}" destId="{6488FDAF-073E-4169-B2F9-52CE845E1639}" srcOrd="4" destOrd="0" parTransId="{9102296B-CEB7-455A-988A-19F8A703145A}" sibTransId="{A7082337-8B62-4829-B420-5A0754E8FFF6}"/>
    <dgm:cxn modelId="{3F836BF1-672C-4BBF-9452-FDBDDDC2BE99}" srcId="{8701CDAD-AE37-4186-BE15-26B8AB66644F}" destId="{C8101B60-97FD-4A53-9BB7-2474ED60CAFD}" srcOrd="1" destOrd="0" parTransId="{34D57E76-67FF-4334-829C-B71422203A19}" sibTransId="{E1490C57-FB77-4DE5-8620-FE869874F7F7}"/>
    <dgm:cxn modelId="{9A67EDD6-CC38-405F-BA8F-72CE910B7319}" type="presParOf" srcId="{B3D02FFE-EE0D-4D18-BBEC-EB4F777917EA}" destId="{828499BE-C5E9-4E6F-ADF7-22222823FFD4}" srcOrd="0" destOrd="0" presId="urn:microsoft.com/office/officeart/2005/8/layout/bProcess4"/>
    <dgm:cxn modelId="{F6A57757-A7CD-4CB3-9801-7BF15928AC04}" type="presParOf" srcId="{828499BE-C5E9-4E6F-ADF7-22222823FFD4}" destId="{C8F5373C-8012-4702-8615-34AFA193F1D0}" srcOrd="0" destOrd="0" presId="urn:microsoft.com/office/officeart/2005/8/layout/bProcess4"/>
    <dgm:cxn modelId="{36A047A0-2DB3-4231-8A90-D85F0343CD21}" type="presParOf" srcId="{828499BE-C5E9-4E6F-ADF7-22222823FFD4}" destId="{AACE79D9-144B-479B-86C6-1191354C4279}" srcOrd="1" destOrd="0" presId="urn:microsoft.com/office/officeart/2005/8/layout/bProcess4"/>
    <dgm:cxn modelId="{177B7F9D-5809-49D4-B246-BAB8CE1F99E3}" type="presParOf" srcId="{B3D02FFE-EE0D-4D18-BBEC-EB4F777917EA}" destId="{475679FB-2DC2-401E-B335-C6627B25E740}" srcOrd="1" destOrd="0" presId="urn:microsoft.com/office/officeart/2005/8/layout/bProcess4"/>
    <dgm:cxn modelId="{9914C268-1229-4935-A43D-0B3FF7CECDE0}" type="presParOf" srcId="{B3D02FFE-EE0D-4D18-BBEC-EB4F777917EA}" destId="{383B00C3-428F-4157-B62B-27CD2439301F}" srcOrd="2" destOrd="0" presId="urn:microsoft.com/office/officeart/2005/8/layout/bProcess4"/>
    <dgm:cxn modelId="{48705AF2-E35F-42FD-89DC-BDBA3B3AAB6C}" type="presParOf" srcId="{383B00C3-428F-4157-B62B-27CD2439301F}" destId="{315E850B-6952-4DF5-B6B9-C09E49759315}" srcOrd="0" destOrd="0" presId="urn:microsoft.com/office/officeart/2005/8/layout/bProcess4"/>
    <dgm:cxn modelId="{5BD2DD24-BAE8-4B32-8971-9908A17ECBC5}" type="presParOf" srcId="{383B00C3-428F-4157-B62B-27CD2439301F}" destId="{0E708E45-5FA2-41FE-A57F-88E77A0C8500}" srcOrd="1" destOrd="0" presId="urn:microsoft.com/office/officeart/2005/8/layout/bProcess4"/>
    <dgm:cxn modelId="{6DA54F4B-691A-45FB-883D-4049932775F9}" type="presParOf" srcId="{B3D02FFE-EE0D-4D18-BBEC-EB4F777917EA}" destId="{BE7E699B-3B5F-40A3-BAEE-3D7C655DAA37}" srcOrd="3" destOrd="0" presId="urn:microsoft.com/office/officeart/2005/8/layout/bProcess4"/>
    <dgm:cxn modelId="{5A690CDF-A5A1-4C61-A68C-CE169AFAB456}" type="presParOf" srcId="{B3D02FFE-EE0D-4D18-BBEC-EB4F777917EA}" destId="{4B3C5AEE-DB3B-485E-AC05-71A23313E737}" srcOrd="4" destOrd="0" presId="urn:microsoft.com/office/officeart/2005/8/layout/bProcess4"/>
    <dgm:cxn modelId="{CAF0E614-2312-47FE-957A-8230609573B5}" type="presParOf" srcId="{4B3C5AEE-DB3B-485E-AC05-71A23313E737}" destId="{3D146216-ABBA-4231-B5BF-8AFC2C7712FE}" srcOrd="0" destOrd="0" presId="urn:microsoft.com/office/officeart/2005/8/layout/bProcess4"/>
    <dgm:cxn modelId="{F418EA60-ACCC-42F8-9A12-26C068769BF6}" type="presParOf" srcId="{4B3C5AEE-DB3B-485E-AC05-71A23313E737}" destId="{3CBC3F76-F14F-42CA-9D2B-94D1EEDCD488}" srcOrd="1" destOrd="0" presId="urn:microsoft.com/office/officeart/2005/8/layout/bProcess4"/>
    <dgm:cxn modelId="{EC05B31A-2B77-4AC1-9FF0-3AB8335C8455}" type="presParOf" srcId="{B3D02FFE-EE0D-4D18-BBEC-EB4F777917EA}" destId="{EB9EAC02-516E-44D4-AB06-E3C030FCE5CD}" srcOrd="5" destOrd="0" presId="urn:microsoft.com/office/officeart/2005/8/layout/bProcess4"/>
    <dgm:cxn modelId="{8FC337E6-D92A-4111-81BE-5E48BC307B0C}" type="presParOf" srcId="{B3D02FFE-EE0D-4D18-BBEC-EB4F777917EA}" destId="{EA09D62F-13EA-4E90-9CB2-9E16541EEE8D}" srcOrd="6" destOrd="0" presId="urn:microsoft.com/office/officeart/2005/8/layout/bProcess4"/>
    <dgm:cxn modelId="{4862CDF1-FD31-46A6-86C0-2D25717A58FC}" type="presParOf" srcId="{EA09D62F-13EA-4E90-9CB2-9E16541EEE8D}" destId="{4BC71B9C-E453-4684-9FF4-D486CC108930}" srcOrd="0" destOrd="0" presId="urn:microsoft.com/office/officeart/2005/8/layout/bProcess4"/>
    <dgm:cxn modelId="{C34101BE-F599-4507-8C41-CC54FCAE2588}" type="presParOf" srcId="{EA09D62F-13EA-4E90-9CB2-9E16541EEE8D}" destId="{8D240195-73A0-46BD-9C2C-D8350F623035}" srcOrd="1" destOrd="0" presId="urn:microsoft.com/office/officeart/2005/8/layout/bProcess4"/>
    <dgm:cxn modelId="{490959F0-23F4-4E27-8859-6492AEFEFCA8}" type="presParOf" srcId="{B3D02FFE-EE0D-4D18-BBEC-EB4F777917EA}" destId="{E245AD74-04B2-4AC8-84F4-3853698F810A}" srcOrd="7" destOrd="0" presId="urn:microsoft.com/office/officeart/2005/8/layout/bProcess4"/>
    <dgm:cxn modelId="{9D84F7B2-24E1-4295-B4A3-5CCDBC5CEFE0}" type="presParOf" srcId="{B3D02FFE-EE0D-4D18-BBEC-EB4F777917EA}" destId="{4B3358A7-FE0E-40C7-8E7B-0B0075C52521}" srcOrd="8" destOrd="0" presId="urn:microsoft.com/office/officeart/2005/8/layout/bProcess4"/>
    <dgm:cxn modelId="{12349ACE-2B7C-4436-88C1-A9A6CEB7409B}" type="presParOf" srcId="{4B3358A7-FE0E-40C7-8E7B-0B0075C52521}" destId="{E8BC32B4-0116-4236-9767-0BD2C8ABD917}" srcOrd="0" destOrd="0" presId="urn:microsoft.com/office/officeart/2005/8/layout/bProcess4"/>
    <dgm:cxn modelId="{C60BDAD5-11A7-45FB-B9E4-44B651E5D762}" type="presParOf" srcId="{4B3358A7-FE0E-40C7-8E7B-0B0075C52521}" destId="{027BD6CE-49B7-42E3-9395-D65FFA56D1ED}" srcOrd="1" destOrd="0" presId="urn:microsoft.com/office/officeart/2005/8/layout/bProcess4"/>
    <dgm:cxn modelId="{F7A5AA04-4E83-404A-B754-65041949F561}" type="presParOf" srcId="{B3D02FFE-EE0D-4D18-BBEC-EB4F777917EA}" destId="{3A2DA15A-F897-4282-8B1A-9A6EF2C8ED8E}" srcOrd="9" destOrd="0" presId="urn:microsoft.com/office/officeart/2005/8/layout/bProcess4"/>
    <dgm:cxn modelId="{DFA5DB18-38CE-4498-87E0-2BB24E562BA8}" type="presParOf" srcId="{B3D02FFE-EE0D-4D18-BBEC-EB4F777917EA}" destId="{90D95642-1BE0-4A66-B20B-07E10793B4B8}" srcOrd="10" destOrd="0" presId="urn:microsoft.com/office/officeart/2005/8/layout/bProcess4"/>
    <dgm:cxn modelId="{A28EE91B-AE94-4234-9286-69138EAA7A5A}" type="presParOf" srcId="{90D95642-1BE0-4A66-B20B-07E10793B4B8}" destId="{16AC0BE4-A65F-4AAE-B4B8-1091D0787C76}" srcOrd="0" destOrd="0" presId="urn:microsoft.com/office/officeart/2005/8/layout/bProcess4"/>
    <dgm:cxn modelId="{9AFA61F2-6562-4E39-A25F-D508C201F014}" type="presParOf" srcId="{90D95642-1BE0-4A66-B20B-07E10793B4B8}" destId="{208D39E8-C33E-42F2-AD1B-866A271DF6DC}" srcOrd="1" destOrd="0" presId="urn:microsoft.com/office/officeart/2005/8/layout/bProcess4"/>
    <dgm:cxn modelId="{8A92BCE7-366D-4CE4-9BF3-9EEBE3FBAD73}" type="presParOf" srcId="{B3D02FFE-EE0D-4D18-BBEC-EB4F777917EA}" destId="{73998E7C-C37F-4CFE-BA04-EED17B839CCA}" srcOrd="11" destOrd="0" presId="urn:microsoft.com/office/officeart/2005/8/layout/bProcess4"/>
    <dgm:cxn modelId="{F797621A-B51F-4BCE-8694-8B376764D40C}" type="presParOf" srcId="{B3D02FFE-EE0D-4D18-BBEC-EB4F777917EA}" destId="{414D19F3-B898-4629-949F-9EB66B9D4E63}" srcOrd="12" destOrd="0" presId="urn:microsoft.com/office/officeart/2005/8/layout/bProcess4"/>
    <dgm:cxn modelId="{2750757E-46FA-4087-A5C8-23900B9E7F01}" type="presParOf" srcId="{414D19F3-B898-4629-949F-9EB66B9D4E63}" destId="{89866C38-3EAE-4C42-B724-CDE5EC40D789}" srcOrd="0" destOrd="0" presId="urn:microsoft.com/office/officeart/2005/8/layout/bProcess4"/>
    <dgm:cxn modelId="{74100753-DAF5-4FD1-BD67-DBD4F53F7CC1}" type="presParOf" srcId="{414D19F3-B898-4629-949F-9EB66B9D4E63}" destId="{D4FADCE2-C96D-47B7-8F30-0708D478B9D8}" srcOrd="1" destOrd="0" presId="urn:microsoft.com/office/officeart/2005/8/layout/bProcess4"/>
    <dgm:cxn modelId="{161C911F-1B00-4252-8DB0-A3F17077345B}" type="presParOf" srcId="{B3D02FFE-EE0D-4D18-BBEC-EB4F777917EA}" destId="{B80B4341-3673-45BC-BC4C-F89C8DF4D556}" srcOrd="13" destOrd="0" presId="urn:microsoft.com/office/officeart/2005/8/layout/bProcess4"/>
    <dgm:cxn modelId="{05F07B90-ED0D-43A2-8195-A41F54B38578}" type="presParOf" srcId="{B3D02FFE-EE0D-4D18-BBEC-EB4F777917EA}" destId="{0500E05A-6660-4AAD-8383-F338A7223DFA}" srcOrd="14" destOrd="0" presId="urn:microsoft.com/office/officeart/2005/8/layout/bProcess4"/>
    <dgm:cxn modelId="{1DA9DB80-2031-4215-BB55-BAE29DEE53AB}" type="presParOf" srcId="{0500E05A-6660-4AAD-8383-F338A7223DFA}" destId="{FB7C46C6-26BA-4BEF-88EE-27E096A069E3}" srcOrd="0" destOrd="0" presId="urn:microsoft.com/office/officeart/2005/8/layout/bProcess4"/>
    <dgm:cxn modelId="{DDA2C679-AC27-4DFD-899B-4DECD1168C3C}" type="presParOf" srcId="{0500E05A-6660-4AAD-8383-F338A7223DFA}" destId="{6A8FB38B-1914-44A5-A3F3-20BF2470F180}" srcOrd="1" destOrd="0" presId="urn:microsoft.com/office/officeart/2005/8/layout/bProcess4"/>
    <dgm:cxn modelId="{635DEA2F-242A-44F5-8102-A21748ED325F}" type="presParOf" srcId="{B3D02FFE-EE0D-4D18-BBEC-EB4F777917EA}" destId="{A7EA29F1-8330-4B43-AC2F-C76A8A865522}" srcOrd="15" destOrd="0" presId="urn:microsoft.com/office/officeart/2005/8/layout/bProcess4"/>
    <dgm:cxn modelId="{FFB33863-4F47-4E24-9DF4-8AC9BC05F9E8}" type="presParOf" srcId="{B3D02FFE-EE0D-4D18-BBEC-EB4F777917EA}" destId="{A3DD77A2-99BE-407B-864D-D8C1935D346B}" srcOrd="16" destOrd="0" presId="urn:microsoft.com/office/officeart/2005/8/layout/bProcess4"/>
    <dgm:cxn modelId="{8A77B23E-B4EB-480D-B007-F2C5FB973045}" type="presParOf" srcId="{A3DD77A2-99BE-407B-864D-D8C1935D346B}" destId="{73797C09-9DE0-4ACF-8A3F-1151F208809F}" srcOrd="0" destOrd="0" presId="urn:microsoft.com/office/officeart/2005/8/layout/bProcess4"/>
    <dgm:cxn modelId="{FBB77B6D-0119-401F-879F-F8736603BA03}" type="presParOf" srcId="{A3DD77A2-99BE-407B-864D-D8C1935D346B}" destId="{290D040D-40FE-4B88-91EB-0C1CB36AB27B}" srcOrd="1" destOrd="0" presId="urn:microsoft.com/office/officeart/2005/8/layout/bProcess4"/>
    <dgm:cxn modelId="{64DC24D4-A539-4763-8D31-8DAAA08E9E42}" type="presParOf" srcId="{B3D02FFE-EE0D-4D18-BBEC-EB4F777917EA}" destId="{9BAE74DE-8894-4434-872B-A65BBCE7F5D2}" srcOrd="17" destOrd="0" presId="urn:microsoft.com/office/officeart/2005/8/layout/bProcess4"/>
    <dgm:cxn modelId="{51278561-7218-4B56-8125-8705D3578F79}" type="presParOf" srcId="{B3D02FFE-EE0D-4D18-BBEC-EB4F777917EA}" destId="{770529D1-B9D3-4F40-945D-E4D27CF8A943}" srcOrd="18" destOrd="0" presId="urn:microsoft.com/office/officeart/2005/8/layout/bProcess4"/>
    <dgm:cxn modelId="{7F2CAA74-A17B-4958-9058-E92056D28428}" type="presParOf" srcId="{770529D1-B9D3-4F40-945D-E4D27CF8A943}" destId="{0535DB60-1DB7-4500-B817-7AC9D423360C}" srcOrd="0" destOrd="0" presId="urn:microsoft.com/office/officeart/2005/8/layout/bProcess4"/>
    <dgm:cxn modelId="{7CC8887B-1012-49AD-8265-A6BDC2A2B2D6}" type="presParOf" srcId="{770529D1-B9D3-4F40-945D-E4D27CF8A943}" destId="{F573C70A-5E4D-4E46-824C-1C55DFA5826F}" srcOrd="1" destOrd="0" presId="urn:microsoft.com/office/officeart/2005/8/layout/bProcess4"/>
    <dgm:cxn modelId="{FE8AC2BC-2809-43E7-A332-637FD521681C}" type="presParOf" srcId="{B3D02FFE-EE0D-4D18-BBEC-EB4F777917EA}" destId="{77185991-D4E9-43F2-AD71-FBE6B8906A04}" srcOrd="19" destOrd="0" presId="urn:microsoft.com/office/officeart/2005/8/layout/bProcess4"/>
    <dgm:cxn modelId="{0BF0DF25-44CB-4DA2-83DE-0BE16C5DAFD7}" type="presParOf" srcId="{B3D02FFE-EE0D-4D18-BBEC-EB4F777917EA}" destId="{680B30C5-7AE9-4F37-814A-4EC42C5B16D6}" srcOrd="20" destOrd="0" presId="urn:microsoft.com/office/officeart/2005/8/layout/bProcess4"/>
    <dgm:cxn modelId="{4225900A-4774-4890-A882-54669A9EAA26}" type="presParOf" srcId="{680B30C5-7AE9-4F37-814A-4EC42C5B16D6}" destId="{64F9D9DB-A96A-47AC-A924-6A9180A02F20}" srcOrd="0" destOrd="0" presId="urn:microsoft.com/office/officeart/2005/8/layout/bProcess4"/>
    <dgm:cxn modelId="{C235B50B-2B13-4918-816F-705FC9806A6B}" type="presParOf" srcId="{680B30C5-7AE9-4F37-814A-4EC42C5B16D6}" destId="{A878267B-B506-419A-921F-4CC93834C37C}" srcOrd="1" destOrd="0" presId="urn:microsoft.com/office/officeart/2005/8/layout/b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69B17A3-24C8-4065-8D4B-FC96A9AB98C8}" type="doc">
      <dgm:prSet loTypeId="urn:microsoft.com/office/officeart/2005/8/layout/process5" loCatId="process" qsTypeId="urn:microsoft.com/office/officeart/2005/8/quickstyle/simple1" qsCatId="simple" csTypeId="urn:microsoft.com/office/officeart/2005/8/colors/colorful5" csCatId="colorful" phldr="1"/>
      <dgm:spPr/>
    </dgm:pt>
    <dgm:pt modelId="{98AA2DF3-2955-4986-B6D4-53DD033564D5}">
      <dgm:prSet phldrT="[Text]"/>
      <dgm:spPr/>
      <dgm:t>
        <a:bodyPr/>
        <a:lstStyle/>
        <a:p>
          <a:pPr>
            <a:buNone/>
          </a:pPr>
          <a:r>
            <a:rPr lang="en-US"/>
            <a:t>Lifestyle/genetic factors</a:t>
          </a:r>
        </a:p>
      </dgm:t>
    </dgm:pt>
    <dgm:pt modelId="{6E4D8C11-9815-43ED-BC42-6CFF5A76A2C9}" type="parTrans" cxnId="{2DC89363-F166-4797-91D6-D8168F2457BE}">
      <dgm:prSet/>
      <dgm:spPr/>
      <dgm:t>
        <a:bodyPr/>
        <a:lstStyle/>
        <a:p>
          <a:endParaRPr lang="en-US"/>
        </a:p>
      </dgm:t>
    </dgm:pt>
    <dgm:pt modelId="{3B02BD15-B8A6-4E19-88B0-ECA52B3D229B}" type="sibTrans" cxnId="{2DC89363-F166-4797-91D6-D8168F2457BE}">
      <dgm:prSet/>
      <dgm:spPr/>
      <dgm:t>
        <a:bodyPr/>
        <a:lstStyle/>
        <a:p>
          <a:endParaRPr lang="en-US"/>
        </a:p>
      </dgm:t>
    </dgm:pt>
    <dgm:pt modelId="{C7F7EAE0-BDA2-4318-800A-0A832B9E67F2}">
      <dgm:prSet phldrT="[Text]"/>
      <dgm:spPr/>
      <dgm:t>
        <a:bodyPr/>
        <a:lstStyle/>
        <a:p>
          <a:pPr>
            <a:buNone/>
          </a:pPr>
          <a:r>
            <a:rPr lang="en-US"/>
            <a:t>Increased insulin resistance</a:t>
          </a:r>
        </a:p>
      </dgm:t>
    </dgm:pt>
    <dgm:pt modelId="{2C2F2641-9ACE-4DBB-B1B6-A985F61B2210}" type="parTrans" cxnId="{75AA5E53-0289-4EE3-A6EA-1CDB5EE174CC}">
      <dgm:prSet/>
      <dgm:spPr/>
      <dgm:t>
        <a:bodyPr/>
        <a:lstStyle/>
        <a:p>
          <a:endParaRPr lang="en-US"/>
        </a:p>
      </dgm:t>
    </dgm:pt>
    <dgm:pt modelId="{36A0E6FF-CE52-4DE6-90BA-892EE0BFF415}" type="sibTrans" cxnId="{75AA5E53-0289-4EE3-A6EA-1CDB5EE174CC}">
      <dgm:prSet/>
      <dgm:spPr/>
      <dgm:t>
        <a:bodyPr/>
        <a:lstStyle/>
        <a:p>
          <a:endParaRPr lang="en-US"/>
        </a:p>
      </dgm:t>
    </dgm:pt>
    <dgm:pt modelId="{44AC45A2-4479-4788-9D54-CB31E4549283}">
      <dgm:prSet phldrT="[Text]"/>
      <dgm:spPr/>
      <dgm:t>
        <a:bodyPr/>
        <a:lstStyle/>
        <a:p>
          <a:pPr>
            <a:buNone/>
          </a:pPr>
          <a:r>
            <a:rPr lang="en-US"/>
            <a:t>Reduced glucose uptake by cells</a:t>
          </a:r>
        </a:p>
      </dgm:t>
    </dgm:pt>
    <dgm:pt modelId="{2CA6404E-2F1A-4357-96CF-900B7143DB93}" type="parTrans" cxnId="{97BC2BF0-F38B-438F-8C7F-0A715C0E7282}">
      <dgm:prSet/>
      <dgm:spPr/>
      <dgm:t>
        <a:bodyPr/>
        <a:lstStyle/>
        <a:p>
          <a:endParaRPr lang="en-US"/>
        </a:p>
      </dgm:t>
    </dgm:pt>
    <dgm:pt modelId="{79875D5C-782F-42D1-A9BD-FD489A73DEA5}" type="sibTrans" cxnId="{97BC2BF0-F38B-438F-8C7F-0A715C0E7282}">
      <dgm:prSet/>
      <dgm:spPr/>
      <dgm:t>
        <a:bodyPr/>
        <a:lstStyle/>
        <a:p>
          <a:endParaRPr lang="en-US"/>
        </a:p>
      </dgm:t>
    </dgm:pt>
    <dgm:pt modelId="{608AFA1A-C401-4E8C-BBAA-D173CDED0D70}">
      <dgm:prSet phldrT="[Text]"/>
      <dgm:spPr/>
      <dgm:t>
        <a:bodyPr/>
        <a:lstStyle/>
        <a:p>
          <a:pPr>
            <a:buNone/>
          </a:pPr>
          <a:r>
            <a:rPr lang="en-US"/>
            <a:t>Increased blood glucose levels</a:t>
          </a:r>
        </a:p>
      </dgm:t>
    </dgm:pt>
    <dgm:pt modelId="{A828501D-197D-4AAF-8140-40B15B08BC48}" type="parTrans" cxnId="{C300E9F9-3B06-44F3-9422-52CA60E4C7DD}">
      <dgm:prSet/>
      <dgm:spPr/>
      <dgm:t>
        <a:bodyPr/>
        <a:lstStyle/>
        <a:p>
          <a:endParaRPr lang="en-US"/>
        </a:p>
      </dgm:t>
    </dgm:pt>
    <dgm:pt modelId="{2D7857A4-10BF-46CE-AA7A-CC0B1823E79E}" type="sibTrans" cxnId="{C300E9F9-3B06-44F3-9422-52CA60E4C7DD}">
      <dgm:prSet/>
      <dgm:spPr/>
      <dgm:t>
        <a:bodyPr/>
        <a:lstStyle/>
        <a:p>
          <a:endParaRPr lang="en-US"/>
        </a:p>
      </dgm:t>
    </dgm:pt>
    <dgm:pt modelId="{858F0BD2-E742-420D-9684-82818AF59B92}">
      <dgm:prSet phldrT="[Text]"/>
      <dgm:spPr/>
      <dgm:t>
        <a:bodyPr/>
        <a:lstStyle/>
        <a:p>
          <a:pPr>
            <a:buNone/>
          </a:pPr>
          <a:r>
            <a:rPr lang="en-US"/>
            <a:t>Increased pancreatic workload</a:t>
          </a:r>
        </a:p>
      </dgm:t>
    </dgm:pt>
    <dgm:pt modelId="{92445E08-501B-4E87-8E35-388122C1A819}" type="parTrans" cxnId="{B1EBF027-1921-48B2-8490-58FF7195BA42}">
      <dgm:prSet/>
      <dgm:spPr/>
      <dgm:t>
        <a:bodyPr/>
        <a:lstStyle/>
        <a:p>
          <a:endParaRPr lang="en-US"/>
        </a:p>
      </dgm:t>
    </dgm:pt>
    <dgm:pt modelId="{BC0DC5BC-5277-421A-94C3-831269EE1373}" type="sibTrans" cxnId="{B1EBF027-1921-48B2-8490-58FF7195BA42}">
      <dgm:prSet/>
      <dgm:spPr/>
      <dgm:t>
        <a:bodyPr/>
        <a:lstStyle/>
        <a:p>
          <a:endParaRPr lang="en-US"/>
        </a:p>
      </dgm:t>
    </dgm:pt>
    <dgm:pt modelId="{4B496F1E-E6CC-44FD-A84E-DEA42599F76A}">
      <dgm:prSet phldrT="[Text]"/>
      <dgm:spPr/>
      <dgm:t>
        <a:bodyPr/>
        <a:lstStyle/>
        <a:p>
          <a:pPr>
            <a:buNone/>
          </a:pPr>
          <a:r>
            <a:rPr lang="en-US"/>
            <a:t>β-cell dysfunction</a:t>
          </a:r>
        </a:p>
      </dgm:t>
    </dgm:pt>
    <dgm:pt modelId="{5C7D97B4-787A-4560-B5CE-F19E881129D3}" type="parTrans" cxnId="{6939B4E9-E38A-45FD-9E80-9B1FF6A5A1CB}">
      <dgm:prSet/>
      <dgm:spPr/>
      <dgm:t>
        <a:bodyPr/>
        <a:lstStyle/>
        <a:p>
          <a:endParaRPr lang="en-US"/>
        </a:p>
      </dgm:t>
    </dgm:pt>
    <dgm:pt modelId="{F118E3BF-7E67-4064-92AA-C091F0D6F0BF}" type="sibTrans" cxnId="{6939B4E9-E38A-45FD-9E80-9B1FF6A5A1CB}">
      <dgm:prSet/>
      <dgm:spPr/>
      <dgm:t>
        <a:bodyPr/>
        <a:lstStyle/>
        <a:p>
          <a:endParaRPr lang="en-US"/>
        </a:p>
      </dgm:t>
    </dgm:pt>
    <dgm:pt modelId="{733D8F58-8C3A-479F-B858-7D9B52051DE2}">
      <dgm:prSet phldrT="[Text]"/>
      <dgm:spPr/>
      <dgm:t>
        <a:bodyPr/>
        <a:lstStyle/>
        <a:p>
          <a:pPr>
            <a:buNone/>
          </a:pPr>
          <a:r>
            <a:rPr lang="en-US"/>
            <a:t>Type 2 Diabetes Mellitus</a:t>
          </a:r>
        </a:p>
      </dgm:t>
    </dgm:pt>
    <dgm:pt modelId="{AA08DDA1-0B3C-4583-A410-850A6E880F71}" type="parTrans" cxnId="{0E4DF350-AE13-4EA0-BAF1-038CF9D3F0FC}">
      <dgm:prSet/>
      <dgm:spPr/>
      <dgm:t>
        <a:bodyPr/>
        <a:lstStyle/>
        <a:p>
          <a:endParaRPr lang="en-US"/>
        </a:p>
      </dgm:t>
    </dgm:pt>
    <dgm:pt modelId="{71D1C1DA-CADD-4CA1-AF5C-C34DC2B1E730}" type="sibTrans" cxnId="{0E4DF350-AE13-4EA0-BAF1-038CF9D3F0FC}">
      <dgm:prSet/>
      <dgm:spPr/>
      <dgm:t>
        <a:bodyPr/>
        <a:lstStyle/>
        <a:p>
          <a:endParaRPr lang="en-US"/>
        </a:p>
      </dgm:t>
    </dgm:pt>
    <dgm:pt modelId="{734B7EAE-634B-441C-80EF-6E76427ADBCB}" type="pres">
      <dgm:prSet presAssocID="{069B17A3-24C8-4065-8D4B-FC96A9AB98C8}" presName="diagram" presStyleCnt="0">
        <dgm:presLayoutVars>
          <dgm:dir/>
          <dgm:resizeHandles val="exact"/>
        </dgm:presLayoutVars>
      </dgm:prSet>
      <dgm:spPr/>
    </dgm:pt>
    <dgm:pt modelId="{2F0C5BEF-177B-484E-8627-5EB2A7437197}" type="pres">
      <dgm:prSet presAssocID="{98AA2DF3-2955-4986-B6D4-53DD033564D5}" presName="node" presStyleLbl="node1" presStyleIdx="0" presStyleCnt="7">
        <dgm:presLayoutVars>
          <dgm:bulletEnabled val="1"/>
        </dgm:presLayoutVars>
      </dgm:prSet>
      <dgm:spPr/>
    </dgm:pt>
    <dgm:pt modelId="{2343637D-47E5-4CB0-A44A-B31B0666BCC7}" type="pres">
      <dgm:prSet presAssocID="{3B02BD15-B8A6-4E19-88B0-ECA52B3D229B}" presName="sibTrans" presStyleLbl="sibTrans2D1" presStyleIdx="0" presStyleCnt="6"/>
      <dgm:spPr/>
    </dgm:pt>
    <dgm:pt modelId="{0391F43F-2285-42F1-AFB4-8086A69EC60D}" type="pres">
      <dgm:prSet presAssocID="{3B02BD15-B8A6-4E19-88B0-ECA52B3D229B}" presName="connectorText" presStyleLbl="sibTrans2D1" presStyleIdx="0" presStyleCnt="6"/>
      <dgm:spPr/>
    </dgm:pt>
    <dgm:pt modelId="{A5C7AEB2-5BA7-4139-8865-B8F6D4644731}" type="pres">
      <dgm:prSet presAssocID="{C7F7EAE0-BDA2-4318-800A-0A832B9E67F2}" presName="node" presStyleLbl="node1" presStyleIdx="1" presStyleCnt="7">
        <dgm:presLayoutVars>
          <dgm:bulletEnabled val="1"/>
        </dgm:presLayoutVars>
      </dgm:prSet>
      <dgm:spPr/>
    </dgm:pt>
    <dgm:pt modelId="{3715FA7C-34B6-4DAD-8F73-04B178D380C7}" type="pres">
      <dgm:prSet presAssocID="{36A0E6FF-CE52-4DE6-90BA-892EE0BFF415}" presName="sibTrans" presStyleLbl="sibTrans2D1" presStyleIdx="1" presStyleCnt="6"/>
      <dgm:spPr/>
    </dgm:pt>
    <dgm:pt modelId="{2620BEB1-7C94-4381-8AC8-ECE83C2D6183}" type="pres">
      <dgm:prSet presAssocID="{36A0E6FF-CE52-4DE6-90BA-892EE0BFF415}" presName="connectorText" presStyleLbl="sibTrans2D1" presStyleIdx="1" presStyleCnt="6"/>
      <dgm:spPr/>
    </dgm:pt>
    <dgm:pt modelId="{A0D2C605-8AC9-4599-A335-AEA1DD29AFB5}" type="pres">
      <dgm:prSet presAssocID="{44AC45A2-4479-4788-9D54-CB31E4549283}" presName="node" presStyleLbl="node1" presStyleIdx="2" presStyleCnt="7">
        <dgm:presLayoutVars>
          <dgm:bulletEnabled val="1"/>
        </dgm:presLayoutVars>
      </dgm:prSet>
      <dgm:spPr/>
    </dgm:pt>
    <dgm:pt modelId="{BEB98E88-0AFE-4C39-BC3C-36D598A62437}" type="pres">
      <dgm:prSet presAssocID="{79875D5C-782F-42D1-A9BD-FD489A73DEA5}" presName="sibTrans" presStyleLbl="sibTrans2D1" presStyleIdx="2" presStyleCnt="6"/>
      <dgm:spPr/>
    </dgm:pt>
    <dgm:pt modelId="{6E69C28C-667F-4816-B2E8-F408DE636D46}" type="pres">
      <dgm:prSet presAssocID="{79875D5C-782F-42D1-A9BD-FD489A73DEA5}" presName="connectorText" presStyleLbl="sibTrans2D1" presStyleIdx="2" presStyleCnt="6"/>
      <dgm:spPr/>
    </dgm:pt>
    <dgm:pt modelId="{2C088469-412A-4474-B394-BEF7732C0315}" type="pres">
      <dgm:prSet presAssocID="{608AFA1A-C401-4E8C-BBAA-D173CDED0D70}" presName="node" presStyleLbl="node1" presStyleIdx="3" presStyleCnt="7">
        <dgm:presLayoutVars>
          <dgm:bulletEnabled val="1"/>
        </dgm:presLayoutVars>
      </dgm:prSet>
      <dgm:spPr/>
    </dgm:pt>
    <dgm:pt modelId="{ED6E93B1-F6B4-47C6-8EE6-E5859A4927E0}" type="pres">
      <dgm:prSet presAssocID="{2D7857A4-10BF-46CE-AA7A-CC0B1823E79E}" presName="sibTrans" presStyleLbl="sibTrans2D1" presStyleIdx="3" presStyleCnt="6"/>
      <dgm:spPr/>
    </dgm:pt>
    <dgm:pt modelId="{AB429524-3511-4789-8DB8-2D2055F409F5}" type="pres">
      <dgm:prSet presAssocID="{2D7857A4-10BF-46CE-AA7A-CC0B1823E79E}" presName="connectorText" presStyleLbl="sibTrans2D1" presStyleIdx="3" presStyleCnt="6"/>
      <dgm:spPr/>
    </dgm:pt>
    <dgm:pt modelId="{2C104CDB-1894-4E55-951A-70B2AEC43FB2}" type="pres">
      <dgm:prSet presAssocID="{858F0BD2-E742-420D-9684-82818AF59B92}" presName="node" presStyleLbl="node1" presStyleIdx="4" presStyleCnt="7">
        <dgm:presLayoutVars>
          <dgm:bulletEnabled val="1"/>
        </dgm:presLayoutVars>
      </dgm:prSet>
      <dgm:spPr/>
    </dgm:pt>
    <dgm:pt modelId="{795FCEB8-6F1F-4C12-8001-15CAC32FE08D}" type="pres">
      <dgm:prSet presAssocID="{BC0DC5BC-5277-421A-94C3-831269EE1373}" presName="sibTrans" presStyleLbl="sibTrans2D1" presStyleIdx="4" presStyleCnt="6"/>
      <dgm:spPr/>
    </dgm:pt>
    <dgm:pt modelId="{F4578A1A-4FAD-4485-B7F8-D749124B64DE}" type="pres">
      <dgm:prSet presAssocID="{BC0DC5BC-5277-421A-94C3-831269EE1373}" presName="connectorText" presStyleLbl="sibTrans2D1" presStyleIdx="4" presStyleCnt="6"/>
      <dgm:spPr/>
    </dgm:pt>
    <dgm:pt modelId="{AEA50231-BA20-4C61-A119-E2C1986CF5FC}" type="pres">
      <dgm:prSet presAssocID="{4B496F1E-E6CC-44FD-A84E-DEA42599F76A}" presName="node" presStyleLbl="node1" presStyleIdx="5" presStyleCnt="7">
        <dgm:presLayoutVars>
          <dgm:bulletEnabled val="1"/>
        </dgm:presLayoutVars>
      </dgm:prSet>
      <dgm:spPr/>
    </dgm:pt>
    <dgm:pt modelId="{D25398B3-F54E-41CD-8F5C-04DB01FB2CD6}" type="pres">
      <dgm:prSet presAssocID="{F118E3BF-7E67-4064-92AA-C091F0D6F0BF}" presName="sibTrans" presStyleLbl="sibTrans2D1" presStyleIdx="5" presStyleCnt="6"/>
      <dgm:spPr/>
    </dgm:pt>
    <dgm:pt modelId="{9785575B-6002-4E33-B207-2E55C00C785C}" type="pres">
      <dgm:prSet presAssocID="{F118E3BF-7E67-4064-92AA-C091F0D6F0BF}" presName="connectorText" presStyleLbl="sibTrans2D1" presStyleIdx="5" presStyleCnt="6"/>
      <dgm:spPr/>
    </dgm:pt>
    <dgm:pt modelId="{FC714896-2264-4F12-8D4F-08D74E837C06}" type="pres">
      <dgm:prSet presAssocID="{733D8F58-8C3A-479F-B858-7D9B52051DE2}" presName="node" presStyleLbl="node1" presStyleIdx="6" presStyleCnt="7">
        <dgm:presLayoutVars>
          <dgm:bulletEnabled val="1"/>
        </dgm:presLayoutVars>
      </dgm:prSet>
      <dgm:spPr/>
    </dgm:pt>
  </dgm:ptLst>
  <dgm:cxnLst>
    <dgm:cxn modelId="{E865DE06-944B-40B9-9C5A-4D3B63BC5EF9}" type="presOf" srcId="{4B496F1E-E6CC-44FD-A84E-DEA42599F76A}" destId="{AEA50231-BA20-4C61-A119-E2C1986CF5FC}" srcOrd="0" destOrd="0" presId="urn:microsoft.com/office/officeart/2005/8/layout/process5"/>
    <dgm:cxn modelId="{71E74809-40A8-4F58-9BD6-DF11AEEA522D}" type="presOf" srcId="{2D7857A4-10BF-46CE-AA7A-CC0B1823E79E}" destId="{ED6E93B1-F6B4-47C6-8EE6-E5859A4927E0}" srcOrd="0" destOrd="0" presId="urn:microsoft.com/office/officeart/2005/8/layout/process5"/>
    <dgm:cxn modelId="{7B57060B-4CE9-4361-879C-2D09BBACF409}" type="presOf" srcId="{2D7857A4-10BF-46CE-AA7A-CC0B1823E79E}" destId="{AB429524-3511-4789-8DB8-2D2055F409F5}" srcOrd="1" destOrd="0" presId="urn:microsoft.com/office/officeart/2005/8/layout/process5"/>
    <dgm:cxn modelId="{AAEB1D16-68FF-404B-AFC0-CB412EAB6B56}" type="presOf" srcId="{36A0E6FF-CE52-4DE6-90BA-892EE0BFF415}" destId="{3715FA7C-34B6-4DAD-8F73-04B178D380C7}" srcOrd="0" destOrd="0" presId="urn:microsoft.com/office/officeart/2005/8/layout/process5"/>
    <dgm:cxn modelId="{B1EBF027-1921-48B2-8490-58FF7195BA42}" srcId="{069B17A3-24C8-4065-8D4B-FC96A9AB98C8}" destId="{858F0BD2-E742-420D-9684-82818AF59B92}" srcOrd="4" destOrd="0" parTransId="{92445E08-501B-4E87-8E35-388122C1A819}" sibTransId="{BC0DC5BC-5277-421A-94C3-831269EE1373}"/>
    <dgm:cxn modelId="{F7885D4B-7D92-4A08-A148-D7087EED598A}" type="presOf" srcId="{F118E3BF-7E67-4064-92AA-C091F0D6F0BF}" destId="{D25398B3-F54E-41CD-8F5C-04DB01FB2CD6}" srcOrd="0" destOrd="0" presId="urn:microsoft.com/office/officeart/2005/8/layout/process5"/>
    <dgm:cxn modelId="{0E4DF350-AE13-4EA0-BAF1-038CF9D3F0FC}" srcId="{069B17A3-24C8-4065-8D4B-FC96A9AB98C8}" destId="{733D8F58-8C3A-479F-B858-7D9B52051DE2}" srcOrd="6" destOrd="0" parTransId="{AA08DDA1-0B3C-4583-A410-850A6E880F71}" sibTransId="{71D1C1DA-CADD-4CA1-AF5C-C34DC2B1E730}"/>
    <dgm:cxn modelId="{0FD64451-1C29-494D-A0E4-0D2212FAFACB}" type="presOf" srcId="{BC0DC5BC-5277-421A-94C3-831269EE1373}" destId="{F4578A1A-4FAD-4485-B7F8-D749124B64DE}" srcOrd="1" destOrd="0" presId="urn:microsoft.com/office/officeart/2005/8/layout/process5"/>
    <dgm:cxn modelId="{45942D52-B204-4A06-A26E-5FE8C13F0CFC}" type="presOf" srcId="{3B02BD15-B8A6-4E19-88B0-ECA52B3D229B}" destId="{2343637D-47E5-4CB0-A44A-B31B0666BCC7}" srcOrd="0" destOrd="0" presId="urn:microsoft.com/office/officeart/2005/8/layout/process5"/>
    <dgm:cxn modelId="{75AA5E53-0289-4EE3-A6EA-1CDB5EE174CC}" srcId="{069B17A3-24C8-4065-8D4B-FC96A9AB98C8}" destId="{C7F7EAE0-BDA2-4318-800A-0A832B9E67F2}" srcOrd="1" destOrd="0" parTransId="{2C2F2641-9ACE-4DBB-B1B6-A985F61B2210}" sibTransId="{36A0E6FF-CE52-4DE6-90BA-892EE0BFF415}"/>
    <dgm:cxn modelId="{2DC89363-F166-4797-91D6-D8168F2457BE}" srcId="{069B17A3-24C8-4065-8D4B-FC96A9AB98C8}" destId="{98AA2DF3-2955-4986-B6D4-53DD033564D5}" srcOrd="0" destOrd="0" parTransId="{6E4D8C11-9815-43ED-BC42-6CFF5A76A2C9}" sibTransId="{3B02BD15-B8A6-4E19-88B0-ECA52B3D229B}"/>
    <dgm:cxn modelId="{9B288F7C-8A31-4CEA-A82A-92D199B67926}" type="presOf" srcId="{98AA2DF3-2955-4986-B6D4-53DD033564D5}" destId="{2F0C5BEF-177B-484E-8627-5EB2A7437197}" srcOrd="0" destOrd="0" presId="urn:microsoft.com/office/officeart/2005/8/layout/process5"/>
    <dgm:cxn modelId="{FEDA7781-AF69-4A77-85F9-ACBA423A4DD3}" type="presOf" srcId="{858F0BD2-E742-420D-9684-82818AF59B92}" destId="{2C104CDB-1894-4E55-951A-70B2AEC43FB2}" srcOrd="0" destOrd="0" presId="urn:microsoft.com/office/officeart/2005/8/layout/process5"/>
    <dgm:cxn modelId="{E11CFD94-D3EA-42EC-BDD6-D032942C86A3}" type="presOf" srcId="{BC0DC5BC-5277-421A-94C3-831269EE1373}" destId="{795FCEB8-6F1F-4C12-8001-15CAC32FE08D}" srcOrd="0" destOrd="0" presId="urn:microsoft.com/office/officeart/2005/8/layout/process5"/>
    <dgm:cxn modelId="{D4648B95-D556-461F-917A-9D075AF41E00}" type="presOf" srcId="{79875D5C-782F-42D1-A9BD-FD489A73DEA5}" destId="{6E69C28C-667F-4816-B2E8-F408DE636D46}" srcOrd="1" destOrd="0" presId="urn:microsoft.com/office/officeart/2005/8/layout/process5"/>
    <dgm:cxn modelId="{65318DB0-9F73-45CA-A6C2-EA3E887616A5}" type="presOf" srcId="{36A0E6FF-CE52-4DE6-90BA-892EE0BFF415}" destId="{2620BEB1-7C94-4381-8AC8-ECE83C2D6183}" srcOrd="1" destOrd="0" presId="urn:microsoft.com/office/officeart/2005/8/layout/process5"/>
    <dgm:cxn modelId="{9AE6D3B1-AFE9-4F35-86AA-D83EA003424C}" type="presOf" srcId="{608AFA1A-C401-4E8C-BBAA-D173CDED0D70}" destId="{2C088469-412A-4474-B394-BEF7732C0315}" srcOrd="0" destOrd="0" presId="urn:microsoft.com/office/officeart/2005/8/layout/process5"/>
    <dgm:cxn modelId="{359422B7-D1DD-4DD7-9E31-BB263887C479}" type="presOf" srcId="{069B17A3-24C8-4065-8D4B-FC96A9AB98C8}" destId="{734B7EAE-634B-441C-80EF-6E76427ADBCB}" srcOrd="0" destOrd="0" presId="urn:microsoft.com/office/officeart/2005/8/layout/process5"/>
    <dgm:cxn modelId="{792C09C2-672A-4DB5-AF41-E4E395931184}" type="presOf" srcId="{733D8F58-8C3A-479F-B858-7D9B52051DE2}" destId="{FC714896-2264-4F12-8D4F-08D74E837C06}" srcOrd="0" destOrd="0" presId="urn:microsoft.com/office/officeart/2005/8/layout/process5"/>
    <dgm:cxn modelId="{FD0711C2-B641-46B1-B342-6098D4B2678A}" type="presOf" srcId="{F118E3BF-7E67-4064-92AA-C091F0D6F0BF}" destId="{9785575B-6002-4E33-B207-2E55C00C785C}" srcOrd="1" destOrd="0" presId="urn:microsoft.com/office/officeart/2005/8/layout/process5"/>
    <dgm:cxn modelId="{E6BE05D4-31D9-428E-BE0F-CC99D4C597DE}" type="presOf" srcId="{C7F7EAE0-BDA2-4318-800A-0A832B9E67F2}" destId="{A5C7AEB2-5BA7-4139-8865-B8F6D4644731}" srcOrd="0" destOrd="0" presId="urn:microsoft.com/office/officeart/2005/8/layout/process5"/>
    <dgm:cxn modelId="{7BBF37D9-F564-438B-8B5C-7B3892626396}" type="presOf" srcId="{44AC45A2-4479-4788-9D54-CB31E4549283}" destId="{A0D2C605-8AC9-4599-A335-AEA1DD29AFB5}" srcOrd="0" destOrd="0" presId="urn:microsoft.com/office/officeart/2005/8/layout/process5"/>
    <dgm:cxn modelId="{0069BDE2-FBAA-4E9E-A434-CD008441C7B8}" type="presOf" srcId="{79875D5C-782F-42D1-A9BD-FD489A73DEA5}" destId="{BEB98E88-0AFE-4C39-BC3C-36D598A62437}" srcOrd="0" destOrd="0" presId="urn:microsoft.com/office/officeart/2005/8/layout/process5"/>
    <dgm:cxn modelId="{6939B4E9-E38A-45FD-9E80-9B1FF6A5A1CB}" srcId="{069B17A3-24C8-4065-8D4B-FC96A9AB98C8}" destId="{4B496F1E-E6CC-44FD-A84E-DEA42599F76A}" srcOrd="5" destOrd="0" parTransId="{5C7D97B4-787A-4560-B5CE-F19E881129D3}" sibTransId="{F118E3BF-7E67-4064-92AA-C091F0D6F0BF}"/>
    <dgm:cxn modelId="{97BC2BF0-F38B-438F-8C7F-0A715C0E7282}" srcId="{069B17A3-24C8-4065-8D4B-FC96A9AB98C8}" destId="{44AC45A2-4479-4788-9D54-CB31E4549283}" srcOrd="2" destOrd="0" parTransId="{2CA6404E-2F1A-4357-96CF-900B7143DB93}" sibTransId="{79875D5C-782F-42D1-A9BD-FD489A73DEA5}"/>
    <dgm:cxn modelId="{06D0A1F7-609B-489D-8AF5-881F800FAB33}" type="presOf" srcId="{3B02BD15-B8A6-4E19-88B0-ECA52B3D229B}" destId="{0391F43F-2285-42F1-AFB4-8086A69EC60D}" srcOrd="1" destOrd="0" presId="urn:microsoft.com/office/officeart/2005/8/layout/process5"/>
    <dgm:cxn modelId="{C300E9F9-3B06-44F3-9422-52CA60E4C7DD}" srcId="{069B17A3-24C8-4065-8D4B-FC96A9AB98C8}" destId="{608AFA1A-C401-4E8C-BBAA-D173CDED0D70}" srcOrd="3" destOrd="0" parTransId="{A828501D-197D-4AAF-8140-40B15B08BC48}" sibTransId="{2D7857A4-10BF-46CE-AA7A-CC0B1823E79E}"/>
    <dgm:cxn modelId="{CEDD6D90-1969-4873-8AB8-6AC6AA5605DC}" type="presParOf" srcId="{734B7EAE-634B-441C-80EF-6E76427ADBCB}" destId="{2F0C5BEF-177B-484E-8627-5EB2A7437197}" srcOrd="0" destOrd="0" presId="urn:microsoft.com/office/officeart/2005/8/layout/process5"/>
    <dgm:cxn modelId="{28513BCD-F102-4CE6-8DF9-A3532C022E6A}" type="presParOf" srcId="{734B7EAE-634B-441C-80EF-6E76427ADBCB}" destId="{2343637D-47E5-4CB0-A44A-B31B0666BCC7}" srcOrd="1" destOrd="0" presId="urn:microsoft.com/office/officeart/2005/8/layout/process5"/>
    <dgm:cxn modelId="{0970E7D2-CA57-48D3-91E2-39FBF8FADF34}" type="presParOf" srcId="{2343637D-47E5-4CB0-A44A-B31B0666BCC7}" destId="{0391F43F-2285-42F1-AFB4-8086A69EC60D}" srcOrd="0" destOrd="0" presId="urn:microsoft.com/office/officeart/2005/8/layout/process5"/>
    <dgm:cxn modelId="{1F7EBA5E-9333-4FB7-8D57-78BC1CFDF281}" type="presParOf" srcId="{734B7EAE-634B-441C-80EF-6E76427ADBCB}" destId="{A5C7AEB2-5BA7-4139-8865-B8F6D4644731}" srcOrd="2" destOrd="0" presId="urn:microsoft.com/office/officeart/2005/8/layout/process5"/>
    <dgm:cxn modelId="{B42DE1AD-DBCD-4854-912E-CC59D9AEF7BE}" type="presParOf" srcId="{734B7EAE-634B-441C-80EF-6E76427ADBCB}" destId="{3715FA7C-34B6-4DAD-8F73-04B178D380C7}" srcOrd="3" destOrd="0" presId="urn:microsoft.com/office/officeart/2005/8/layout/process5"/>
    <dgm:cxn modelId="{6889E437-D6E5-45F6-9A67-C14CCEC881DD}" type="presParOf" srcId="{3715FA7C-34B6-4DAD-8F73-04B178D380C7}" destId="{2620BEB1-7C94-4381-8AC8-ECE83C2D6183}" srcOrd="0" destOrd="0" presId="urn:microsoft.com/office/officeart/2005/8/layout/process5"/>
    <dgm:cxn modelId="{BF2D066B-ACAB-416D-8BD0-9B1CDF708673}" type="presParOf" srcId="{734B7EAE-634B-441C-80EF-6E76427ADBCB}" destId="{A0D2C605-8AC9-4599-A335-AEA1DD29AFB5}" srcOrd="4" destOrd="0" presId="urn:microsoft.com/office/officeart/2005/8/layout/process5"/>
    <dgm:cxn modelId="{05CFBA48-EEC7-490E-AF88-364D84FA22B6}" type="presParOf" srcId="{734B7EAE-634B-441C-80EF-6E76427ADBCB}" destId="{BEB98E88-0AFE-4C39-BC3C-36D598A62437}" srcOrd="5" destOrd="0" presId="urn:microsoft.com/office/officeart/2005/8/layout/process5"/>
    <dgm:cxn modelId="{A9790881-6FA6-437C-B7C1-D2619821F8F8}" type="presParOf" srcId="{BEB98E88-0AFE-4C39-BC3C-36D598A62437}" destId="{6E69C28C-667F-4816-B2E8-F408DE636D46}" srcOrd="0" destOrd="0" presId="urn:microsoft.com/office/officeart/2005/8/layout/process5"/>
    <dgm:cxn modelId="{C59E55BA-C683-4506-97D5-DDF78584446B}" type="presParOf" srcId="{734B7EAE-634B-441C-80EF-6E76427ADBCB}" destId="{2C088469-412A-4474-B394-BEF7732C0315}" srcOrd="6" destOrd="0" presId="urn:microsoft.com/office/officeart/2005/8/layout/process5"/>
    <dgm:cxn modelId="{7592DD33-EBF3-46EE-A346-A0C6D5186745}" type="presParOf" srcId="{734B7EAE-634B-441C-80EF-6E76427ADBCB}" destId="{ED6E93B1-F6B4-47C6-8EE6-E5859A4927E0}" srcOrd="7" destOrd="0" presId="urn:microsoft.com/office/officeart/2005/8/layout/process5"/>
    <dgm:cxn modelId="{AFB69CD6-862F-4817-A0B5-709EB206762C}" type="presParOf" srcId="{ED6E93B1-F6B4-47C6-8EE6-E5859A4927E0}" destId="{AB429524-3511-4789-8DB8-2D2055F409F5}" srcOrd="0" destOrd="0" presId="urn:microsoft.com/office/officeart/2005/8/layout/process5"/>
    <dgm:cxn modelId="{9EBE41CF-1ED9-4880-8656-E6CBDD978C4F}" type="presParOf" srcId="{734B7EAE-634B-441C-80EF-6E76427ADBCB}" destId="{2C104CDB-1894-4E55-951A-70B2AEC43FB2}" srcOrd="8" destOrd="0" presId="urn:microsoft.com/office/officeart/2005/8/layout/process5"/>
    <dgm:cxn modelId="{F65AF699-89A8-4ECE-9A76-E1D4B4AD860D}" type="presParOf" srcId="{734B7EAE-634B-441C-80EF-6E76427ADBCB}" destId="{795FCEB8-6F1F-4C12-8001-15CAC32FE08D}" srcOrd="9" destOrd="0" presId="urn:microsoft.com/office/officeart/2005/8/layout/process5"/>
    <dgm:cxn modelId="{2FD57E24-3D95-474E-8E28-A8779D2233C7}" type="presParOf" srcId="{795FCEB8-6F1F-4C12-8001-15CAC32FE08D}" destId="{F4578A1A-4FAD-4485-B7F8-D749124B64DE}" srcOrd="0" destOrd="0" presId="urn:microsoft.com/office/officeart/2005/8/layout/process5"/>
    <dgm:cxn modelId="{ADCAC3A4-5752-4603-99ED-A74FA150FE58}" type="presParOf" srcId="{734B7EAE-634B-441C-80EF-6E76427ADBCB}" destId="{AEA50231-BA20-4C61-A119-E2C1986CF5FC}" srcOrd="10" destOrd="0" presId="urn:microsoft.com/office/officeart/2005/8/layout/process5"/>
    <dgm:cxn modelId="{8A2608BD-CC6F-442B-A910-ABCC48A3340D}" type="presParOf" srcId="{734B7EAE-634B-441C-80EF-6E76427ADBCB}" destId="{D25398B3-F54E-41CD-8F5C-04DB01FB2CD6}" srcOrd="11" destOrd="0" presId="urn:microsoft.com/office/officeart/2005/8/layout/process5"/>
    <dgm:cxn modelId="{81CA04BA-AB42-46BA-BC90-8D0F9002E72C}" type="presParOf" srcId="{D25398B3-F54E-41CD-8F5C-04DB01FB2CD6}" destId="{9785575B-6002-4E33-B207-2E55C00C785C}" srcOrd="0" destOrd="0" presId="urn:microsoft.com/office/officeart/2005/8/layout/process5"/>
    <dgm:cxn modelId="{2B0BA7EB-CDA2-4F34-B35A-FFF245994450}" type="presParOf" srcId="{734B7EAE-634B-441C-80EF-6E76427ADBCB}" destId="{FC714896-2264-4F12-8D4F-08D74E837C06}" srcOrd="12" destOrd="0" presId="urn:microsoft.com/office/officeart/2005/8/layout/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2BE828-88CB-4C73-B575-1EE12EA6F484}" type="doc">
      <dgm:prSet loTypeId="urn:microsoft.com/office/officeart/2005/8/layout/process1" loCatId="process" qsTypeId="urn:microsoft.com/office/officeart/2005/8/quickstyle/simple1" qsCatId="simple" csTypeId="urn:microsoft.com/office/officeart/2005/8/colors/colorful5" csCatId="colorful" phldr="1"/>
      <dgm:spPr/>
    </dgm:pt>
    <dgm:pt modelId="{304B867F-9DFF-4ADD-9135-41963ECA69D3}">
      <dgm:prSet phldrT="[Text]"/>
      <dgm:spPr/>
      <dgm:t>
        <a:bodyPr/>
        <a:lstStyle/>
        <a:p>
          <a:pPr>
            <a:buNone/>
          </a:pPr>
          <a:r>
            <a:rPr lang="en-US"/>
            <a:t>Glucose</a:t>
          </a:r>
        </a:p>
      </dgm:t>
    </dgm:pt>
    <dgm:pt modelId="{A04F08B3-3CFD-47A5-8EBB-E6515F297C03}" type="parTrans" cxnId="{A7D2E46E-D323-4D29-9A23-2E9B28688D51}">
      <dgm:prSet/>
      <dgm:spPr/>
      <dgm:t>
        <a:bodyPr/>
        <a:lstStyle/>
        <a:p>
          <a:endParaRPr lang="en-US"/>
        </a:p>
      </dgm:t>
    </dgm:pt>
    <dgm:pt modelId="{B23C782E-0225-4109-A0AA-811BE86E92ED}" type="sibTrans" cxnId="{A7D2E46E-D323-4D29-9A23-2E9B28688D51}">
      <dgm:prSet/>
      <dgm:spPr/>
      <dgm:t>
        <a:bodyPr/>
        <a:lstStyle/>
        <a:p>
          <a:endParaRPr lang="en-US"/>
        </a:p>
      </dgm:t>
    </dgm:pt>
    <dgm:pt modelId="{11480426-B185-446E-85FE-7877532D2B45}">
      <dgm:prSet phldrT="[Text]"/>
      <dgm:spPr/>
      <dgm:t>
        <a:bodyPr/>
        <a:lstStyle/>
        <a:p>
          <a:pPr>
            <a:buNone/>
          </a:pPr>
          <a:r>
            <a:rPr lang="en-US"/>
            <a:t>Glycolysis (cytoplasm)</a:t>
          </a:r>
        </a:p>
      </dgm:t>
    </dgm:pt>
    <dgm:pt modelId="{E9CB2A08-6F5D-4ED6-882B-F2A327EE28CC}" type="parTrans" cxnId="{52F0F88D-9370-4A2F-9866-CEEC81EE59DA}">
      <dgm:prSet/>
      <dgm:spPr/>
      <dgm:t>
        <a:bodyPr/>
        <a:lstStyle/>
        <a:p>
          <a:endParaRPr lang="en-US"/>
        </a:p>
      </dgm:t>
    </dgm:pt>
    <dgm:pt modelId="{36BA5B1E-4BB2-43AE-B955-7A96E49976B7}" type="sibTrans" cxnId="{52F0F88D-9370-4A2F-9866-CEEC81EE59DA}">
      <dgm:prSet/>
      <dgm:spPr/>
      <dgm:t>
        <a:bodyPr/>
        <a:lstStyle/>
        <a:p>
          <a:endParaRPr lang="en-US"/>
        </a:p>
      </dgm:t>
    </dgm:pt>
    <dgm:pt modelId="{3AD6638B-85CB-4B97-ABAE-FFEAD81EC995}">
      <dgm:prSet phldrT="[Text]"/>
      <dgm:spPr/>
      <dgm:t>
        <a:bodyPr/>
        <a:lstStyle/>
        <a:p>
          <a:pPr>
            <a:buNone/>
          </a:pPr>
          <a:r>
            <a:rPr lang="en-US"/>
            <a:t>Pyruvate production</a:t>
          </a:r>
        </a:p>
      </dgm:t>
    </dgm:pt>
    <dgm:pt modelId="{46D9C4DC-C83D-4756-9250-C08C1BADBCE1}" type="parTrans" cxnId="{984C75D7-C5B1-4CA4-AD90-9E3A3478E944}">
      <dgm:prSet/>
      <dgm:spPr/>
      <dgm:t>
        <a:bodyPr/>
        <a:lstStyle/>
        <a:p>
          <a:endParaRPr lang="en-US"/>
        </a:p>
      </dgm:t>
    </dgm:pt>
    <dgm:pt modelId="{3D37795D-C399-4E27-8A99-A2FB8C837BBE}" type="sibTrans" cxnId="{984C75D7-C5B1-4CA4-AD90-9E3A3478E944}">
      <dgm:prSet/>
      <dgm:spPr/>
      <dgm:t>
        <a:bodyPr/>
        <a:lstStyle/>
        <a:p>
          <a:endParaRPr lang="en-US"/>
        </a:p>
      </dgm:t>
    </dgm:pt>
    <dgm:pt modelId="{C64032E6-FD64-40AA-AB3B-C0983C852B1F}">
      <dgm:prSet phldrT="[Text]"/>
      <dgm:spPr/>
      <dgm:t>
        <a:bodyPr/>
        <a:lstStyle/>
        <a:p>
          <a:pPr>
            <a:buNone/>
          </a:pPr>
          <a:r>
            <a:rPr lang="en-US"/>
            <a:t>Krebs cycle (mitochondria)</a:t>
          </a:r>
        </a:p>
      </dgm:t>
    </dgm:pt>
    <dgm:pt modelId="{20E92AE1-7E3A-4507-87B4-7EF78C0022AB}" type="parTrans" cxnId="{4A06293C-71A3-43F8-A3C4-446D6067D12A}">
      <dgm:prSet/>
      <dgm:spPr/>
      <dgm:t>
        <a:bodyPr/>
        <a:lstStyle/>
        <a:p>
          <a:endParaRPr lang="en-US"/>
        </a:p>
      </dgm:t>
    </dgm:pt>
    <dgm:pt modelId="{8D22AB1A-BC99-40D7-AB09-9E5E49A3CC2D}" type="sibTrans" cxnId="{4A06293C-71A3-43F8-A3C4-446D6067D12A}">
      <dgm:prSet/>
      <dgm:spPr/>
      <dgm:t>
        <a:bodyPr/>
        <a:lstStyle/>
        <a:p>
          <a:endParaRPr lang="en-US"/>
        </a:p>
      </dgm:t>
    </dgm:pt>
    <dgm:pt modelId="{AA2DAAE1-F957-47D3-B4AF-A6D14307E0E9}">
      <dgm:prSet phldrT="[Text]"/>
      <dgm:spPr/>
      <dgm:t>
        <a:bodyPr/>
        <a:lstStyle/>
        <a:p>
          <a:pPr>
            <a:buNone/>
          </a:pPr>
          <a:r>
            <a:rPr lang="en-US"/>
            <a:t>Electron transport chain</a:t>
          </a:r>
        </a:p>
      </dgm:t>
    </dgm:pt>
    <dgm:pt modelId="{40874C1B-CE89-4F9F-9AE2-7AAB7CBEF15B}" type="parTrans" cxnId="{CD8BB7D8-51ED-487F-9A99-D2878332743F}">
      <dgm:prSet/>
      <dgm:spPr/>
      <dgm:t>
        <a:bodyPr/>
        <a:lstStyle/>
        <a:p>
          <a:endParaRPr lang="en-US"/>
        </a:p>
      </dgm:t>
    </dgm:pt>
    <dgm:pt modelId="{E2A99C24-8743-4889-975F-EA7C7EEDAA73}" type="sibTrans" cxnId="{CD8BB7D8-51ED-487F-9A99-D2878332743F}">
      <dgm:prSet/>
      <dgm:spPr/>
      <dgm:t>
        <a:bodyPr/>
        <a:lstStyle/>
        <a:p>
          <a:endParaRPr lang="en-US"/>
        </a:p>
      </dgm:t>
    </dgm:pt>
    <dgm:pt modelId="{C66A0011-7001-47EC-9644-2ED22F588ED4}">
      <dgm:prSet phldrT="[Text]"/>
      <dgm:spPr/>
      <dgm:t>
        <a:bodyPr/>
        <a:lstStyle/>
        <a:p>
          <a:pPr>
            <a:buNone/>
          </a:pPr>
          <a:r>
            <a:rPr lang="en-US"/>
            <a:t>ATP production</a:t>
          </a:r>
        </a:p>
      </dgm:t>
    </dgm:pt>
    <dgm:pt modelId="{43C1B32E-C077-4B7E-BE79-033D087D1C9C}" type="parTrans" cxnId="{28FD2F13-1055-48E0-A61D-66AA4505BF46}">
      <dgm:prSet/>
      <dgm:spPr/>
      <dgm:t>
        <a:bodyPr/>
        <a:lstStyle/>
        <a:p>
          <a:endParaRPr lang="en-US"/>
        </a:p>
      </dgm:t>
    </dgm:pt>
    <dgm:pt modelId="{AC609B39-5349-4667-9E3A-53D79B1A9905}" type="sibTrans" cxnId="{28FD2F13-1055-48E0-A61D-66AA4505BF46}">
      <dgm:prSet/>
      <dgm:spPr/>
      <dgm:t>
        <a:bodyPr/>
        <a:lstStyle/>
        <a:p>
          <a:endParaRPr lang="en-US"/>
        </a:p>
      </dgm:t>
    </dgm:pt>
    <dgm:pt modelId="{085E9C78-4DFD-42F6-B0AE-8C32C20B987B}" type="pres">
      <dgm:prSet presAssocID="{F82BE828-88CB-4C73-B575-1EE12EA6F484}" presName="Name0" presStyleCnt="0">
        <dgm:presLayoutVars>
          <dgm:dir/>
          <dgm:resizeHandles val="exact"/>
        </dgm:presLayoutVars>
      </dgm:prSet>
      <dgm:spPr/>
    </dgm:pt>
    <dgm:pt modelId="{8E1F7B7D-E2A4-43CF-8549-69ABCE7D311F}" type="pres">
      <dgm:prSet presAssocID="{304B867F-9DFF-4ADD-9135-41963ECA69D3}" presName="node" presStyleLbl="node1" presStyleIdx="0" presStyleCnt="6">
        <dgm:presLayoutVars>
          <dgm:bulletEnabled val="1"/>
        </dgm:presLayoutVars>
      </dgm:prSet>
      <dgm:spPr/>
    </dgm:pt>
    <dgm:pt modelId="{744A3C8A-58D7-4CE4-BE87-BBE7EEF4CE10}" type="pres">
      <dgm:prSet presAssocID="{B23C782E-0225-4109-A0AA-811BE86E92ED}" presName="sibTrans" presStyleLbl="sibTrans2D1" presStyleIdx="0" presStyleCnt="5"/>
      <dgm:spPr/>
    </dgm:pt>
    <dgm:pt modelId="{174BD348-8634-4595-AA4D-5F0A1673316F}" type="pres">
      <dgm:prSet presAssocID="{B23C782E-0225-4109-A0AA-811BE86E92ED}" presName="connectorText" presStyleLbl="sibTrans2D1" presStyleIdx="0" presStyleCnt="5"/>
      <dgm:spPr/>
    </dgm:pt>
    <dgm:pt modelId="{CCBB0978-A850-44A1-AFAA-16054F4F8006}" type="pres">
      <dgm:prSet presAssocID="{11480426-B185-446E-85FE-7877532D2B45}" presName="node" presStyleLbl="node1" presStyleIdx="1" presStyleCnt="6">
        <dgm:presLayoutVars>
          <dgm:bulletEnabled val="1"/>
        </dgm:presLayoutVars>
      </dgm:prSet>
      <dgm:spPr/>
    </dgm:pt>
    <dgm:pt modelId="{F7E8C5CD-30BB-4E8C-A182-2CC5C65FDF81}" type="pres">
      <dgm:prSet presAssocID="{36BA5B1E-4BB2-43AE-B955-7A96E49976B7}" presName="sibTrans" presStyleLbl="sibTrans2D1" presStyleIdx="1" presStyleCnt="5"/>
      <dgm:spPr/>
    </dgm:pt>
    <dgm:pt modelId="{C088F85E-F83F-45B8-B387-E0DB9666EADE}" type="pres">
      <dgm:prSet presAssocID="{36BA5B1E-4BB2-43AE-B955-7A96E49976B7}" presName="connectorText" presStyleLbl="sibTrans2D1" presStyleIdx="1" presStyleCnt="5"/>
      <dgm:spPr/>
    </dgm:pt>
    <dgm:pt modelId="{36DABB28-E3CB-49A9-8524-8FC90099A8FC}" type="pres">
      <dgm:prSet presAssocID="{3AD6638B-85CB-4B97-ABAE-FFEAD81EC995}" presName="node" presStyleLbl="node1" presStyleIdx="2" presStyleCnt="6">
        <dgm:presLayoutVars>
          <dgm:bulletEnabled val="1"/>
        </dgm:presLayoutVars>
      </dgm:prSet>
      <dgm:spPr/>
    </dgm:pt>
    <dgm:pt modelId="{9963E967-0FCD-40F1-84F8-0060EE9081B5}" type="pres">
      <dgm:prSet presAssocID="{3D37795D-C399-4E27-8A99-A2FB8C837BBE}" presName="sibTrans" presStyleLbl="sibTrans2D1" presStyleIdx="2" presStyleCnt="5"/>
      <dgm:spPr/>
    </dgm:pt>
    <dgm:pt modelId="{0BCEC215-C614-47A9-89CD-62056AB35473}" type="pres">
      <dgm:prSet presAssocID="{3D37795D-C399-4E27-8A99-A2FB8C837BBE}" presName="connectorText" presStyleLbl="sibTrans2D1" presStyleIdx="2" presStyleCnt="5"/>
      <dgm:spPr/>
    </dgm:pt>
    <dgm:pt modelId="{D10553C9-22EC-4CF8-8C1D-E88106434E73}" type="pres">
      <dgm:prSet presAssocID="{C64032E6-FD64-40AA-AB3B-C0983C852B1F}" presName="node" presStyleLbl="node1" presStyleIdx="3" presStyleCnt="6">
        <dgm:presLayoutVars>
          <dgm:bulletEnabled val="1"/>
        </dgm:presLayoutVars>
      </dgm:prSet>
      <dgm:spPr/>
    </dgm:pt>
    <dgm:pt modelId="{A02D9C0C-68C2-4ED9-B85B-8A81EA4545A0}" type="pres">
      <dgm:prSet presAssocID="{8D22AB1A-BC99-40D7-AB09-9E5E49A3CC2D}" presName="sibTrans" presStyleLbl="sibTrans2D1" presStyleIdx="3" presStyleCnt="5"/>
      <dgm:spPr/>
    </dgm:pt>
    <dgm:pt modelId="{E0180E27-90D6-43C8-9C64-6586256A7BEB}" type="pres">
      <dgm:prSet presAssocID="{8D22AB1A-BC99-40D7-AB09-9E5E49A3CC2D}" presName="connectorText" presStyleLbl="sibTrans2D1" presStyleIdx="3" presStyleCnt="5"/>
      <dgm:spPr/>
    </dgm:pt>
    <dgm:pt modelId="{C9E956BE-37C6-4E4B-85FE-109373EC542B}" type="pres">
      <dgm:prSet presAssocID="{AA2DAAE1-F957-47D3-B4AF-A6D14307E0E9}" presName="node" presStyleLbl="node1" presStyleIdx="4" presStyleCnt="6">
        <dgm:presLayoutVars>
          <dgm:bulletEnabled val="1"/>
        </dgm:presLayoutVars>
      </dgm:prSet>
      <dgm:spPr/>
    </dgm:pt>
    <dgm:pt modelId="{CE8350A4-82D7-493A-8138-BACC32C9D0D1}" type="pres">
      <dgm:prSet presAssocID="{E2A99C24-8743-4889-975F-EA7C7EEDAA73}" presName="sibTrans" presStyleLbl="sibTrans2D1" presStyleIdx="4" presStyleCnt="5"/>
      <dgm:spPr/>
    </dgm:pt>
    <dgm:pt modelId="{0EBDB1E4-FC82-493F-8352-D65432357411}" type="pres">
      <dgm:prSet presAssocID="{E2A99C24-8743-4889-975F-EA7C7EEDAA73}" presName="connectorText" presStyleLbl="sibTrans2D1" presStyleIdx="4" presStyleCnt="5"/>
      <dgm:spPr/>
    </dgm:pt>
    <dgm:pt modelId="{CBBF0373-69E6-4CE6-B5F6-9D319F59B995}" type="pres">
      <dgm:prSet presAssocID="{C66A0011-7001-47EC-9644-2ED22F588ED4}" presName="node" presStyleLbl="node1" presStyleIdx="5" presStyleCnt="6">
        <dgm:presLayoutVars>
          <dgm:bulletEnabled val="1"/>
        </dgm:presLayoutVars>
      </dgm:prSet>
      <dgm:spPr/>
    </dgm:pt>
  </dgm:ptLst>
  <dgm:cxnLst>
    <dgm:cxn modelId="{302DC607-F7A3-4BF2-A99D-1C4D48B067DC}" type="presOf" srcId="{B23C782E-0225-4109-A0AA-811BE86E92ED}" destId="{174BD348-8634-4595-AA4D-5F0A1673316F}" srcOrd="1" destOrd="0" presId="urn:microsoft.com/office/officeart/2005/8/layout/process1"/>
    <dgm:cxn modelId="{AE105C11-45D3-4611-9A81-5283DD45332B}" type="presOf" srcId="{8D22AB1A-BC99-40D7-AB09-9E5E49A3CC2D}" destId="{E0180E27-90D6-43C8-9C64-6586256A7BEB}" srcOrd="1" destOrd="0" presId="urn:microsoft.com/office/officeart/2005/8/layout/process1"/>
    <dgm:cxn modelId="{28FD2F13-1055-48E0-A61D-66AA4505BF46}" srcId="{F82BE828-88CB-4C73-B575-1EE12EA6F484}" destId="{C66A0011-7001-47EC-9644-2ED22F588ED4}" srcOrd="5" destOrd="0" parTransId="{43C1B32E-C077-4B7E-BE79-033D087D1C9C}" sibTransId="{AC609B39-5349-4667-9E3A-53D79B1A9905}"/>
    <dgm:cxn modelId="{CC6FD217-5A98-4806-8964-E8E7D6FB7BEA}" type="presOf" srcId="{AA2DAAE1-F957-47D3-B4AF-A6D14307E0E9}" destId="{C9E956BE-37C6-4E4B-85FE-109373EC542B}" srcOrd="0" destOrd="0" presId="urn:microsoft.com/office/officeart/2005/8/layout/process1"/>
    <dgm:cxn modelId="{C25EE82D-D494-4C87-BD8C-2FE69F7C25CE}" type="presOf" srcId="{3D37795D-C399-4E27-8A99-A2FB8C837BBE}" destId="{0BCEC215-C614-47A9-89CD-62056AB35473}" srcOrd="1" destOrd="0" presId="urn:microsoft.com/office/officeart/2005/8/layout/process1"/>
    <dgm:cxn modelId="{7C63643A-9315-4C05-AFF7-8423C49975FD}" type="presOf" srcId="{C64032E6-FD64-40AA-AB3B-C0983C852B1F}" destId="{D10553C9-22EC-4CF8-8C1D-E88106434E73}" srcOrd="0" destOrd="0" presId="urn:microsoft.com/office/officeart/2005/8/layout/process1"/>
    <dgm:cxn modelId="{4A06293C-71A3-43F8-A3C4-446D6067D12A}" srcId="{F82BE828-88CB-4C73-B575-1EE12EA6F484}" destId="{C64032E6-FD64-40AA-AB3B-C0983C852B1F}" srcOrd="3" destOrd="0" parTransId="{20E92AE1-7E3A-4507-87B4-7EF78C0022AB}" sibTransId="{8D22AB1A-BC99-40D7-AB09-9E5E49A3CC2D}"/>
    <dgm:cxn modelId="{4B684945-14C8-4F1B-A74D-9DD0BBED4FD9}" type="presOf" srcId="{304B867F-9DFF-4ADD-9135-41963ECA69D3}" destId="{8E1F7B7D-E2A4-43CF-8549-69ABCE7D311F}" srcOrd="0" destOrd="0" presId="urn:microsoft.com/office/officeart/2005/8/layout/process1"/>
    <dgm:cxn modelId="{B8F56A48-87F4-4FE2-8027-5132F3AA04E4}" type="presOf" srcId="{B23C782E-0225-4109-A0AA-811BE86E92ED}" destId="{744A3C8A-58D7-4CE4-BE87-BBE7EEF4CE10}" srcOrd="0" destOrd="0" presId="urn:microsoft.com/office/officeart/2005/8/layout/process1"/>
    <dgm:cxn modelId="{3989184F-F1D5-4E8F-84D4-45936EA67E4E}" type="presOf" srcId="{3D37795D-C399-4E27-8A99-A2FB8C837BBE}" destId="{9963E967-0FCD-40F1-84F8-0060EE9081B5}" srcOrd="0" destOrd="0" presId="urn:microsoft.com/office/officeart/2005/8/layout/process1"/>
    <dgm:cxn modelId="{A7D2E46E-D323-4D29-9A23-2E9B28688D51}" srcId="{F82BE828-88CB-4C73-B575-1EE12EA6F484}" destId="{304B867F-9DFF-4ADD-9135-41963ECA69D3}" srcOrd="0" destOrd="0" parTransId="{A04F08B3-3CFD-47A5-8EBB-E6515F297C03}" sibTransId="{B23C782E-0225-4109-A0AA-811BE86E92ED}"/>
    <dgm:cxn modelId="{52F0F88D-9370-4A2F-9866-CEEC81EE59DA}" srcId="{F82BE828-88CB-4C73-B575-1EE12EA6F484}" destId="{11480426-B185-446E-85FE-7877532D2B45}" srcOrd="1" destOrd="0" parTransId="{E9CB2A08-6F5D-4ED6-882B-F2A327EE28CC}" sibTransId="{36BA5B1E-4BB2-43AE-B955-7A96E49976B7}"/>
    <dgm:cxn modelId="{7C22BE95-1A9B-4074-918C-B2B271082B08}" type="presOf" srcId="{E2A99C24-8743-4889-975F-EA7C7EEDAA73}" destId="{CE8350A4-82D7-493A-8138-BACC32C9D0D1}" srcOrd="0" destOrd="0" presId="urn:microsoft.com/office/officeart/2005/8/layout/process1"/>
    <dgm:cxn modelId="{B771D796-58F8-4B55-9193-88EAD7373F7E}" type="presOf" srcId="{3AD6638B-85CB-4B97-ABAE-FFEAD81EC995}" destId="{36DABB28-E3CB-49A9-8524-8FC90099A8FC}" srcOrd="0" destOrd="0" presId="urn:microsoft.com/office/officeart/2005/8/layout/process1"/>
    <dgm:cxn modelId="{33FB60A5-58EA-4E6E-BDC5-7702898DD6D3}" type="presOf" srcId="{11480426-B185-446E-85FE-7877532D2B45}" destId="{CCBB0978-A850-44A1-AFAA-16054F4F8006}" srcOrd="0" destOrd="0" presId="urn:microsoft.com/office/officeart/2005/8/layout/process1"/>
    <dgm:cxn modelId="{7AE096B1-2839-4BF6-B3B5-98699611ACFB}" type="presOf" srcId="{C66A0011-7001-47EC-9644-2ED22F588ED4}" destId="{CBBF0373-69E6-4CE6-B5F6-9D319F59B995}" srcOrd="0" destOrd="0" presId="urn:microsoft.com/office/officeart/2005/8/layout/process1"/>
    <dgm:cxn modelId="{0E6598B1-D311-4A54-9968-6F87BC89D8A2}" type="presOf" srcId="{F82BE828-88CB-4C73-B575-1EE12EA6F484}" destId="{085E9C78-4DFD-42F6-B0AE-8C32C20B987B}" srcOrd="0" destOrd="0" presId="urn:microsoft.com/office/officeart/2005/8/layout/process1"/>
    <dgm:cxn modelId="{130420B8-609A-4C5C-B57D-B88CB0A48C82}" type="presOf" srcId="{36BA5B1E-4BB2-43AE-B955-7A96E49976B7}" destId="{C088F85E-F83F-45B8-B387-E0DB9666EADE}" srcOrd="1" destOrd="0" presId="urn:microsoft.com/office/officeart/2005/8/layout/process1"/>
    <dgm:cxn modelId="{C3F0D6C8-ECBA-4BE5-A300-B0D6DC8CEAA9}" type="presOf" srcId="{8D22AB1A-BC99-40D7-AB09-9E5E49A3CC2D}" destId="{A02D9C0C-68C2-4ED9-B85B-8A81EA4545A0}" srcOrd="0" destOrd="0" presId="urn:microsoft.com/office/officeart/2005/8/layout/process1"/>
    <dgm:cxn modelId="{C94002D5-4AA5-4B6E-A0EB-CCA0187B5CF0}" type="presOf" srcId="{36BA5B1E-4BB2-43AE-B955-7A96E49976B7}" destId="{F7E8C5CD-30BB-4E8C-A182-2CC5C65FDF81}" srcOrd="0" destOrd="0" presId="urn:microsoft.com/office/officeart/2005/8/layout/process1"/>
    <dgm:cxn modelId="{984C75D7-C5B1-4CA4-AD90-9E3A3478E944}" srcId="{F82BE828-88CB-4C73-B575-1EE12EA6F484}" destId="{3AD6638B-85CB-4B97-ABAE-FFEAD81EC995}" srcOrd="2" destOrd="0" parTransId="{46D9C4DC-C83D-4756-9250-C08C1BADBCE1}" sibTransId="{3D37795D-C399-4E27-8A99-A2FB8C837BBE}"/>
    <dgm:cxn modelId="{CD8BB7D8-51ED-487F-9A99-D2878332743F}" srcId="{F82BE828-88CB-4C73-B575-1EE12EA6F484}" destId="{AA2DAAE1-F957-47D3-B4AF-A6D14307E0E9}" srcOrd="4" destOrd="0" parTransId="{40874C1B-CE89-4F9F-9AE2-7AAB7CBEF15B}" sibTransId="{E2A99C24-8743-4889-975F-EA7C7EEDAA73}"/>
    <dgm:cxn modelId="{E41D56E1-CCA6-44B9-827F-EBFDDAE93CC9}" type="presOf" srcId="{E2A99C24-8743-4889-975F-EA7C7EEDAA73}" destId="{0EBDB1E4-FC82-493F-8352-D65432357411}" srcOrd="1" destOrd="0" presId="urn:microsoft.com/office/officeart/2005/8/layout/process1"/>
    <dgm:cxn modelId="{B2A373A5-841A-49C0-8963-92697DEA9399}" type="presParOf" srcId="{085E9C78-4DFD-42F6-B0AE-8C32C20B987B}" destId="{8E1F7B7D-E2A4-43CF-8549-69ABCE7D311F}" srcOrd="0" destOrd="0" presId="urn:microsoft.com/office/officeart/2005/8/layout/process1"/>
    <dgm:cxn modelId="{54E469E8-DA56-4A90-8143-24D2784942E7}" type="presParOf" srcId="{085E9C78-4DFD-42F6-B0AE-8C32C20B987B}" destId="{744A3C8A-58D7-4CE4-BE87-BBE7EEF4CE10}" srcOrd="1" destOrd="0" presId="urn:microsoft.com/office/officeart/2005/8/layout/process1"/>
    <dgm:cxn modelId="{C595F73C-A362-4546-B3EE-13ADA50C415E}" type="presParOf" srcId="{744A3C8A-58D7-4CE4-BE87-BBE7EEF4CE10}" destId="{174BD348-8634-4595-AA4D-5F0A1673316F}" srcOrd="0" destOrd="0" presId="urn:microsoft.com/office/officeart/2005/8/layout/process1"/>
    <dgm:cxn modelId="{3D1A3502-745B-48E9-BB2E-6095DE1439C4}" type="presParOf" srcId="{085E9C78-4DFD-42F6-B0AE-8C32C20B987B}" destId="{CCBB0978-A850-44A1-AFAA-16054F4F8006}" srcOrd="2" destOrd="0" presId="urn:microsoft.com/office/officeart/2005/8/layout/process1"/>
    <dgm:cxn modelId="{C16348E9-3FAA-4CE9-B551-DD3866F70E70}" type="presParOf" srcId="{085E9C78-4DFD-42F6-B0AE-8C32C20B987B}" destId="{F7E8C5CD-30BB-4E8C-A182-2CC5C65FDF81}" srcOrd="3" destOrd="0" presId="urn:microsoft.com/office/officeart/2005/8/layout/process1"/>
    <dgm:cxn modelId="{307C569A-5FCA-408C-81F2-CF96B8A08B38}" type="presParOf" srcId="{F7E8C5CD-30BB-4E8C-A182-2CC5C65FDF81}" destId="{C088F85E-F83F-45B8-B387-E0DB9666EADE}" srcOrd="0" destOrd="0" presId="urn:microsoft.com/office/officeart/2005/8/layout/process1"/>
    <dgm:cxn modelId="{31E7DF50-3BD4-490A-AECD-7D2AB9E0CDE7}" type="presParOf" srcId="{085E9C78-4DFD-42F6-B0AE-8C32C20B987B}" destId="{36DABB28-E3CB-49A9-8524-8FC90099A8FC}" srcOrd="4" destOrd="0" presId="urn:microsoft.com/office/officeart/2005/8/layout/process1"/>
    <dgm:cxn modelId="{BBC421C2-0573-4F6C-A858-4CC2BE97B3A4}" type="presParOf" srcId="{085E9C78-4DFD-42F6-B0AE-8C32C20B987B}" destId="{9963E967-0FCD-40F1-84F8-0060EE9081B5}" srcOrd="5" destOrd="0" presId="urn:microsoft.com/office/officeart/2005/8/layout/process1"/>
    <dgm:cxn modelId="{0C5FA0A8-B1BB-43FE-BE1F-452BD1ADA169}" type="presParOf" srcId="{9963E967-0FCD-40F1-84F8-0060EE9081B5}" destId="{0BCEC215-C614-47A9-89CD-62056AB35473}" srcOrd="0" destOrd="0" presId="urn:microsoft.com/office/officeart/2005/8/layout/process1"/>
    <dgm:cxn modelId="{E2A929F8-BF10-4402-BC8C-7236523D3AE9}" type="presParOf" srcId="{085E9C78-4DFD-42F6-B0AE-8C32C20B987B}" destId="{D10553C9-22EC-4CF8-8C1D-E88106434E73}" srcOrd="6" destOrd="0" presId="urn:microsoft.com/office/officeart/2005/8/layout/process1"/>
    <dgm:cxn modelId="{33DC7ACB-5BE8-4F3A-9B68-3E8063E7174A}" type="presParOf" srcId="{085E9C78-4DFD-42F6-B0AE-8C32C20B987B}" destId="{A02D9C0C-68C2-4ED9-B85B-8A81EA4545A0}" srcOrd="7" destOrd="0" presId="urn:microsoft.com/office/officeart/2005/8/layout/process1"/>
    <dgm:cxn modelId="{2DB69719-3105-496C-BBEA-E6F298C9BE08}" type="presParOf" srcId="{A02D9C0C-68C2-4ED9-B85B-8A81EA4545A0}" destId="{E0180E27-90D6-43C8-9C64-6586256A7BEB}" srcOrd="0" destOrd="0" presId="urn:microsoft.com/office/officeart/2005/8/layout/process1"/>
    <dgm:cxn modelId="{31B9B800-2FDD-4D2A-85DA-C7706CC40A15}" type="presParOf" srcId="{085E9C78-4DFD-42F6-B0AE-8C32C20B987B}" destId="{C9E956BE-37C6-4E4B-85FE-109373EC542B}" srcOrd="8" destOrd="0" presId="urn:microsoft.com/office/officeart/2005/8/layout/process1"/>
    <dgm:cxn modelId="{08DF074B-B503-46B4-94E8-E1694A54EDCF}" type="presParOf" srcId="{085E9C78-4DFD-42F6-B0AE-8C32C20B987B}" destId="{CE8350A4-82D7-493A-8138-BACC32C9D0D1}" srcOrd="9" destOrd="0" presId="urn:microsoft.com/office/officeart/2005/8/layout/process1"/>
    <dgm:cxn modelId="{0611A102-F732-4F9E-A5DE-23767474F75C}" type="presParOf" srcId="{CE8350A4-82D7-493A-8138-BACC32C9D0D1}" destId="{0EBDB1E4-FC82-493F-8352-D65432357411}" srcOrd="0" destOrd="0" presId="urn:microsoft.com/office/officeart/2005/8/layout/process1"/>
    <dgm:cxn modelId="{12A1B26E-7A90-4AA6-940F-19A9884CE60A}" type="presParOf" srcId="{085E9C78-4DFD-42F6-B0AE-8C32C20B987B}" destId="{CBBF0373-69E6-4CE6-B5F6-9D319F59B995}" srcOrd="10"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5679FB-2DC2-401E-B335-C6627B25E740}">
      <dsp:nvSpPr>
        <dsp:cNvPr id="0" name=""/>
        <dsp:cNvSpPr/>
      </dsp:nvSpPr>
      <dsp:spPr>
        <a:xfrm rot="5400000">
          <a:off x="500029" y="537543"/>
          <a:ext cx="834481" cy="101021"/>
        </a:xfrm>
        <a:prstGeom prst="rect">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ACE79D9-144B-479B-86C6-1191354C4279}">
      <dsp:nvSpPr>
        <dsp:cNvPr id="0" name=""/>
        <dsp:cNvSpPr/>
      </dsp:nvSpPr>
      <dsp:spPr>
        <a:xfrm>
          <a:off x="689095" y="692"/>
          <a:ext cx="1122461" cy="67347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Food intake</a:t>
          </a:r>
        </a:p>
      </dsp:txBody>
      <dsp:txXfrm>
        <a:off x="708820" y="20417"/>
        <a:ext cx="1083011" cy="634027"/>
      </dsp:txXfrm>
    </dsp:sp>
    <dsp:sp modelId="{BE7E699B-3B5F-40A3-BAEE-3D7C655DAA37}">
      <dsp:nvSpPr>
        <dsp:cNvPr id="0" name=""/>
        <dsp:cNvSpPr/>
      </dsp:nvSpPr>
      <dsp:spPr>
        <a:xfrm rot="5400000">
          <a:off x="500029" y="1379390"/>
          <a:ext cx="834481" cy="101021"/>
        </a:xfrm>
        <a:prstGeom prst="rect">
          <a:avLst/>
        </a:prstGeom>
        <a:solidFill>
          <a:schemeClr val="accent5">
            <a:hueOff val="-750949"/>
            <a:satOff val="-1935"/>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708E45-5FA2-41FE-A57F-88E77A0C8500}">
      <dsp:nvSpPr>
        <dsp:cNvPr id="0" name=""/>
        <dsp:cNvSpPr/>
      </dsp:nvSpPr>
      <dsp:spPr>
        <a:xfrm>
          <a:off x="689095" y="842538"/>
          <a:ext cx="1122461" cy="673477"/>
        </a:xfrm>
        <a:prstGeom prst="roundRect">
          <a:avLst>
            <a:gd name="adj" fmla="val 10000"/>
          </a:avLst>
        </a:prstGeom>
        <a:solidFill>
          <a:schemeClr val="accent5">
            <a:hueOff val="-675854"/>
            <a:satOff val="-1742"/>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Digestion of carbohydrates</a:t>
          </a:r>
        </a:p>
      </dsp:txBody>
      <dsp:txXfrm>
        <a:off x="708820" y="862263"/>
        <a:ext cx="1083011" cy="634027"/>
      </dsp:txXfrm>
    </dsp:sp>
    <dsp:sp modelId="{EB9EAC02-516E-44D4-AB06-E3C030FCE5CD}">
      <dsp:nvSpPr>
        <dsp:cNvPr id="0" name=""/>
        <dsp:cNvSpPr/>
      </dsp:nvSpPr>
      <dsp:spPr>
        <a:xfrm rot="5400000">
          <a:off x="500029" y="2221236"/>
          <a:ext cx="834481" cy="101021"/>
        </a:xfrm>
        <a:prstGeom prst="rect">
          <a:avLst/>
        </a:prstGeom>
        <a:solidFill>
          <a:schemeClr val="accent5">
            <a:hueOff val="-1501898"/>
            <a:satOff val="-3871"/>
            <a:lumOff val="-26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BC3F76-F14F-42CA-9D2B-94D1EEDCD488}">
      <dsp:nvSpPr>
        <dsp:cNvPr id="0" name=""/>
        <dsp:cNvSpPr/>
      </dsp:nvSpPr>
      <dsp:spPr>
        <a:xfrm>
          <a:off x="689095" y="1684384"/>
          <a:ext cx="1122461" cy="673477"/>
        </a:xfrm>
        <a:prstGeom prst="roundRect">
          <a:avLst>
            <a:gd name="adj" fmla="val 10000"/>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Increased blood glucose</a:t>
          </a:r>
        </a:p>
      </dsp:txBody>
      <dsp:txXfrm>
        <a:off x="708820" y="1704109"/>
        <a:ext cx="1083011" cy="634027"/>
      </dsp:txXfrm>
    </dsp:sp>
    <dsp:sp modelId="{E245AD74-04B2-4AC8-84F4-3853698F810A}">
      <dsp:nvSpPr>
        <dsp:cNvPr id="0" name=""/>
        <dsp:cNvSpPr/>
      </dsp:nvSpPr>
      <dsp:spPr>
        <a:xfrm>
          <a:off x="920952" y="2642159"/>
          <a:ext cx="1485508" cy="101021"/>
        </a:xfrm>
        <a:prstGeom prst="rect">
          <a:avLst/>
        </a:prstGeom>
        <a:solidFill>
          <a:schemeClr val="accent5">
            <a:hueOff val="-2252848"/>
            <a:satOff val="-5806"/>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D240195-73A0-46BD-9C2C-D8350F623035}">
      <dsp:nvSpPr>
        <dsp:cNvPr id="0" name=""/>
        <dsp:cNvSpPr/>
      </dsp:nvSpPr>
      <dsp:spPr>
        <a:xfrm>
          <a:off x="689095" y="2526230"/>
          <a:ext cx="1122461" cy="673477"/>
        </a:xfrm>
        <a:prstGeom prst="roundRect">
          <a:avLst>
            <a:gd name="adj" fmla="val 10000"/>
          </a:avLst>
        </a:prstGeom>
        <a:solidFill>
          <a:schemeClr val="accent5">
            <a:hueOff val="-2027563"/>
            <a:satOff val="-5226"/>
            <a:lumOff val="-3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Pancreatic β-cells detect rise</a:t>
          </a:r>
        </a:p>
      </dsp:txBody>
      <dsp:txXfrm>
        <a:off x="708820" y="2545955"/>
        <a:ext cx="1083011" cy="634027"/>
      </dsp:txXfrm>
    </dsp:sp>
    <dsp:sp modelId="{3A2DA15A-F897-4282-8B1A-9A6EF2C8ED8E}">
      <dsp:nvSpPr>
        <dsp:cNvPr id="0" name=""/>
        <dsp:cNvSpPr/>
      </dsp:nvSpPr>
      <dsp:spPr>
        <a:xfrm rot="16200000">
          <a:off x="1992903" y="2221236"/>
          <a:ext cx="834481" cy="101021"/>
        </a:xfrm>
        <a:prstGeom prst="rect">
          <a:avLst/>
        </a:prstGeom>
        <a:solidFill>
          <a:schemeClr val="accent5">
            <a:hueOff val="-3003797"/>
            <a:satOff val="-7742"/>
            <a:lumOff val="-522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7BD6CE-49B7-42E3-9395-D65FFA56D1ED}">
      <dsp:nvSpPr>
        <dsp:cNvPr id="0" name=""/>
        <dsp:cNvSpPr/>
      </dsp:nvSpPr>
      <dsp:spPr>
        <a:xfrm>
          <a:off x="2181969" y="2526230"/>
          <a:ext cx="1122461" cy="673477"/>
        </a:xfrm>
        <a:prstGeom prst="roundRect">
          <a:avLst>
            <a:gd name="adj" fmla="val 10000"/>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Insulin secretion</a:t>
          </a:r>
        </a:p>
      </dsp:txBody>
      <dsp:txXfrm>
        <a:off x="2201694" y="2545955"/>
        <a:ext cx="1083011" cy="634027"/>
      </dsp:txXfrm>
    </dsp:sp>
    <dsp:sp modelId="{73998E7C-C37F-4CFE-BA04-EED17B839CCA}">
      <dsp:nvSpPr>
        <dsp:cNvPr id="0" name=""/>
        <dsp:cNvSpPr/>
      </dsp:nvSpPr>
      <dsp:spPr>
        <a:xfrm rot="16200000">
          <a:off x="1992903" y="1379390"/>
          <a:ext cx="834481" cy="101021"/>
        </a:xfrm>
        <a:prstGeom prst="rect">
          <a:avLst/>
        </a:prstGeom>
        <a:solidFill>
          <a:schemeClr val="accent5">
            <a:hueOff val="-3754746"/>
            <a:satOff val="-9677"/>
            <a:lumOff val="-653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08D39E8-C33E-42F2-AD1B-866A271DF6DC}">
      <dsp:nvSpPr>
        <dsp:cNvPr id="0" name=""/>
        <dsp:cNvSpPr/>
      </dsp:nvSpPr>
      <dsp:spPr>
        <a:xfrm>
          <a:off x="2181969" y="1684384"/>
          <a:ext cx="1122461" cy="673477"/>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Glucose enters muscle and fat cells</a:t>
          </a:r>
        </a:p>
      </dsp:txBody>
      <dsp:txXfrm>
        <a:off x="2201694" y="1704109"/>
        <a:ext cx="1083011" cy="634027"/>
      </dsp:txXfrm>
    </dsp:sp>
    <dsp:sp modelId="{B80B4341-3673-45BC-BC4C-F89C8DF4D556}">
      <dsp:nvSpPr>
        <dsp:cNvPr id="0" name=""/>
        <dsp:cNvSpPr/>
      </dsp:nvSpPr>
      <dsp:spPr>
        <a:xfrm rot="16200000">
          <a:off x="1992903" y="537543"/>
          <a:ext cx="834481" cy="101021"/>
        </a:xfrm>
        <a:prstGeom prst="rect">
          <a:avLst/>
        </a:prstGeom>
        <a:solidFill>
          <a:schemeClr val="accent5">
            <a:hueOff val="-4505695"/>
            <a:satOff val="-11613"/>
            <a:lumOff val="-784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4FADCE2-C96D-47B7-8F30-0708D478B9D8}">
      <dsp:nvSpPr>
        <dsp:cNvPr id="0" name=""/>
        <dsp:cNvSpPr/>
      </dsp:nvSpPr>
      <dsp:spPr>
        <a:xfrm>
          <a:off x="2181969" y="842538"/>
          <a:ext cx="1122461" cy="673477"/>
        </a:xfrm>
        <a:prstGeom prst="roundRect">
          <a:avLst>
            <a:gd name="adj" fmla="val 10000"/>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Blood glucose returns to normal</a:t>
          </a:r>
        </a:p>
      </dsp:txBody>
      <dsp:txXfrm>
        <a:off x="2201694" y="862263"/>
        <a:ext cx="1083011" cy="634027"/>
      </dsp:txXfrm>
    </dsp:sp>
    <dsp:sp modelId="{A7EA29F1-8330-4B43-AC2F-C76A8A865522}">
      <dsp:nvSpPr>
        <dsp:cNvPr id="0" name=""/>
        <dsp:cNvSpPr/>
      </dsp:nvSpPr>
      <dsp:spPr>
        <a:xfrm>
          <a:off x="2413826" y="116620"/>
          <a:ext cx="1485508" cy="101021"/>
        </a:xfrm>
        <a:prstGeom prst="rect">
          <a:avLst/>
        </a:prstGeom>
        <a:solidFill>
          <a:schemeClr val="accent5">
            <a:hueOff val="-5256644"/>
            <a:satOff val="-13548"/>
            <a:lumOff val="-915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8FB38B-1914-44A5-A3F3-20BF2470F180}">
      <dsp:nvSpPr>
        <dsp:cNvPr id="0" name=""/>
        <dsp:cNvSpPr/>
      </dsp:nvSpPr>
      <dsp:spPr>
        <a:xfrm>
          <a:off x="2181969" y="692"/>
          <a:ext cx="1122461" cy="673477"/>
        </a:xfrm>
        <a:prstGeom prst="roundRect">
          <a:avLst>
            <a:gd name="adj" fmla="val 10000"/>
          </a:avLst>
        </a:prstGeom>
        <a:solidFill>
          <a:schemeClr val="accent5">
            <a:hueOff val="-4730980"/>
            <a:satOff val="-12193"/>
            <a:lumOff val="-823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Low blood glucose</a:t>
          </a:r>
        </a:p>
      </dsp:txBody>
      <dsp:txXfrm>
        <a:off x="2201694" y="20417"/>
        <a:ext cx="1083011" cy="634027"/>
      </dsp:txXfrm>
    </dsp:sp>
    <dsp:sp modelId="{9BAE74DE-8894-4434-872B-A65BBCE7F5D2}">
      <dsp:nvSpPr>
        <dsp:cNvPr id="0" name=""/>
        <dsp:cNvSpPr/>
      </dsp:nvSpPr>
      <dsp:spPr>
        <a:xfrm rot="5400000">
          <a:off x="3485777" y="537543"/>
          <a:ext cx="834481" cy="101021"/>
        </a:xfrm>
        <a:prstGeom prst="rect">
          <a:avLst/>
        </a:prstGeom>
        <a:solidFill>
          <a:schemeClr val="accent5">
            <a:hueOff val="-6007594"/>
            <a:satOff val="-15484"/>
            <a:lumOff val="-1045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90D040D-40FE-4B88-91EB-0C1CB36AB27B}">
      <dsp:nvSpPr>
        <dsp:cNvPr id="0" name=""/>
        <dsp:cNvSpPr/>
      </dsp:nvSpPr>
      <dsp:spPr>
        <a:xfrm>
          <a:off x="3674843" y="692"/>
          <a:ext cx="1122461" cy="673477"/>
        </a:xfrm>
        <a:prstGeom prst="roundRect">
          <a:avLst>
            <a:gd name="adj" fmla="val 10000"/>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Pancreatic α-cells release glucagon</a:t>
          </a:r>
        </a:p>
      </dsp:txBody>
      <dsp:txXfrm>
        <a:off x="3694568" y="20417"/>
        <a:ext cx="1083011" cy="634027"/>
      </dsp:txXfrm>
    </dsp:sp>
    <dsp:sp modelId="{77185991-D4E9-43F2-AD71-FBE6B8906A04}">
      <dsp:nvSpPr>
        <dsp:cNvPr id="0" name=""/>
        <dsp:cNvSpPr/>
      </dsp:nvSpPr>
      <dsp:spPr>
        <a:xfrm rot="5400000">
          <a:off x="3485777" y="1379390"/>
          <a:ext cx="834481" cy="101021"/>
        </a:xfrm>
        <a:prstGeom prst="rect">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73C70A-5E4D-4E46-824C-1C55DFA5826F}">
      <dsp:nvSpPr>
        <dsp:cNvPr id="0" name=""/>
        <dsp:cNvSpPr/>
      </dsp:nvSpPr>
      <dsp:spPr>
        <a:xfrm>
          <a:off x="3674843" y="842538"/>
          <a:ext cx="1122461" cy="673477"/>
        </a:xfrm>
        <a:prstGeom prst="roundRect">
          <a:avLst>
            <a:gd name="adj" fmla="val 10000"/>
          </a:avLst>
        </a:prstGeom>
        <a:solidFill>
          <a:schemeClr val="accent5">
            <a:hueOff val="-6082688"/>
            <a:satOff val="-15677"/>
            <a:lumOff val="-10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Liver breaks down glycogen</a:t>
          </a:r>
        </a:p>
      </dsp:txBody>
      <dsp:txXfrm>
        <a:off x="3694568" y="862263"/>
        <a:ext cx="1083011" cy="634027"/>
      </dsp:txXfrm>
    </dsp:sp>
    <dsp:sp modelId="{A878267B-B506-419A-921F-4CC93834C37C}">
      <dsp:nvSpPr>
        <dsp:cNvPr id="0" name=""/>
        <dsp:cNvSpPr/>
      </dsp:nvSpPr>
      <dsp:spPr>
        <a:xfrm>
          <a:off x="3674843" y="1684384"/>
          <a:ext cx="1122461" cy="673477"/>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Glucose released into bloodstream</a:t>
          </a:r>
        </a:p>
      </dsp:txBody>
      <dsp:txXfrm>
        <a:off x="3694568" y="1704109"/>
        <a:ext cx="1083011" cy="6340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0C5BEF-177B-484E-8627-5EB2A7437197}">
      <dsp:nvSpPr>
        <dsp:cNvPr id="0" name=""/>
        <dsp:cNvSpPr/>
      </dsp:nvSpPr>
      <dsp:spPr>
        <a:xfrm>
          <a:off x="406925" y="1696"/>
          <a:ext cx="1229617" cy="73777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Lifestyle/genetic factors</a:t>
          </a:r>
        </a:p>
      </dsp:txBody>
      <dsp:txXfrm>
        <a:off x="428534" y="23305"/>
        <a:ext cx="1186399" cy="694552"/>
      </dsp:txXfrm>
    </dsp:sp>
    <dsp:sp modelId="{2343637D-47E5-4CB0-A44A-B31B0666BCC7}">
      <dsp:nvSpPr>
        <dsp:cNvPr id="0" name=""/>
        <dsp:cNvSpPr/>
      </dsp:nvSpPr>
      <dsp:spPr>
        <a:xfrm>
          <a:off x="1744750" y="218109"/>
          <a:ext cx="260679" cy="30494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1744750" y="279098"/>
        <a:ext cx="182475" cy="182967"/>
      </dsp:txXfrm>
    </dsp:sp>
    <dsp:sp modelId="{A5C7AEB2-5BA7-4139-8865-B8F6D4644731}">
      <dsp:nvSpPr>
        <dsp:cNvPr id="0" name=""/>
        <dsp:cNvSpPr/>
      </dsp:nvSpPr>
      <dsp:spPr>
        <a:xfrm>
          <a:off x="2128391" y="1696"/>
          <a:ext cx="1229617" cy="737770"/>
        </a:xfrm>
        <a:prstGeom prst="roundRect">
          <a:avLst>
            <a:gd name="adj" fmla="val 10000"/>
          </a:avLst>
        </a:prstGeom>
        <a:solidFill>
          <a:schemeClr val="accent5">
            <a:hueOff val="-1126424"/>
            <a:satOff val="-2903"/>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Increased insulin resistance</a:t>
          </a:r>
        </a:p>
      </dsp:txBody>
      <dsp:txXfrm>
        <a:off x="2150000" y="23305"/>
        <a:ext cx="1186399" cy="694552"/>
      </dsp:txXfrm>
    </dsp:sp>
    <dsp:sp modelId="{3715FA7C-34B6-4DAD-8F73-04B178D380C7}">
      <dsp:nvSpPr>
        <dsp:cNvPr id="0" name=""/>
        <dsp:cNvSpPr/>
      </dsp:nvSpPr>
      <dsp:spPr>
        <a:xfrm>
          <a:off x="3466215" y="218109"/>
          <a:ext cx="260679" cy="304945"/>
        </a:xfrm>
        <a:prstGeom prst="rightArrow">
          <a:avLst>
            <a:gd name="adj1" fmla="val 60000"/>
            <a:gd name="adj2" fmla="val 50000"/>
          </a:avLst>
        </a:prstGeom>
        <a:solidFill>
          <a:schemeClr val="accent5">
            <a:hueOff val="-1351709"/>
            <a:satOff val="-3484"/>
            <a:lumOff val="-2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466215" y="279098"/>
        <a:ext cx="182475" cy="182967"/>
      </dsp:txXfrm>
    </dsp:sp>
    <dsp:sp modelId="{A0D2C605-8AC9-4599-A335-AEA1DD29AFB5}">
      <dsp:nvSpPr>
        <dsp:cNvPr id="0" name=""/>
        <dsp:cNvSpPr/>
      </dsp:nvSpPr>
      <dsp:spPr>
        <a:xfrm>
          <a:off x="3849856" y="1696"/>
          <a:ext cx="1229617" cy="737770"/>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Reduced glucose uptake by cells</a:t>
          </a:r>
        </a:p>
      </dsp:txBody>
      <dsp:txXfrm>
        <a:off x="3871465" y="23305"/>
        <a:ext cx="1186399" cy="694552"/>
      </dsp:txXfrm>
    </dsp:sp>
    <dsp:sp modelId="{BEB98E88-0AFE-4C39-BC3C-36D598A62437}">
      <dsp:nvSpPr>
        <dsp:cNvPr id="0" name=""/>
        <dsp:cNvSpPr/>
      </dsp:nvSpPr>
      <dsp:spPr>
        <a:xfrm rot="5400000">
          <a:off x="4334325" y="825540"/>
          <a:ext cx="260679" cy="304945"/>
        </a:xfrm>
        <a:prstGeom prst="rightArrow">
          <a:avLst>
            <a:gd name="adj1" fmla="val 60000"/>
            <a:gd name="adj2" fmla="val 50000"/>
          </a:avLst>
        </a:prstGeom>
        <a:solidFill>
          <a:schemeClr val="accent5">
            <a:hueOff val="-2703417"/>
            <a:satOff val="-6968"/>
            <a:lumOff val="-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4373181" y="847673"/>
        <a:ext cx="182967" cy="182475"/>
      </dsp:txXfrm>
    </dsp:sp>
    <dsp:sp modelId="{2C088469-412A-4474-B394-BEF7732C0315}">
      <dsp:nvSpPr>
        <dsp:cNvPr id="0" name=""/>
        <dsp:cNvSpPr/>
      </dsp:nvSpPr>
      <dsp:spPr>
        <a:xfrm>
          <a:off x="3849856" y="1231314"/>
          <a:ext cx="1229617" cy="737770"/>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Increased blood glucose levels</a:t>
          </a:r>
        </a:p>
      </dsp:txBody>
      <dsp:txXfrm>
        <a:off x="3871465" y="1252923"/>
        <a:ext cx="1186399" cy="694552"/>
      </dsp:txXfrm>
    </dsp:sp>
    <dsp:sp modelId="{ED6E93B1-F6B4-47C6-8EE6-E5859A4927E0}">
      <dsp:nvSpPr>
        <dsp:cNvPr id="0" name=""/>
        <dsp:cNvSpPr/>
      </dsp:nvSpPr>
      <dsp:spPr>
        <a:xfrm rot="10800000">
          <a:off x="3480970" y="1447727"/>
          <a:ext cx="260679" cy="304945"/>
        </a:xfrm>
        <a:prstGeom prst="rightArrow">
          <a:avLst>
            <a:gd name="adj1" fmla="val 60000"/>
            <a:gd name="adj2" fmla="val 50000"/>
          </a:avLst>
        </a:prstGeom>
        <a:solidFill>
          <a:schemeClr val="accent5">
            <a:hueOff val="-4055126"/>
            <a:satOff val="-10451"/>
            <a:lumOff val="-7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3559174" y="1508716"/>
        <a:ext cx="182475" cy="182967"/>
      </dsp:txXfrm>
    </dsp:sp>
    <dsp:sp modelId="{2C104CDB-1894-4E55-951A-70B2AEC43FB2}">
      <dsp:nvSpPr>
        <dsp:cNvPr id="0" name=""/>
        <dsp:cNvSpPr/>
      </dsp:nvSpPr>
      <dsp:spPr>
        <a:xfrm>
          <a:off x="2128391" y="1231314"/>
          <a:ext cx="1229617" cy="737770"/>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Increased pancreatic workload</a:t>
          </a:r>
        </a:p>
      </dsp:txBody>
      <dsp:txXfrm>
        <a:off x="2150000" y="1252923"/>
        <a:ext cx="1186399" cy="694552"/>
      </dsp:txXfrm>
    </dsp:sp>
    <dsp:sp modelId="{795FCEB8-6F1F-4C12-8001-15CAC32FE08D}">
      <dsp:nvSpPr>
        <dsp:cNvPr id="0" name=""/>
        <dsp:cNvSpPr/>
      </dsp:nvSpPr>
      <dsp:spPr>
        <a:xfrm rot="10800000">
          <a:off x="1759505" y="1447727"/>
          <a:ext cx="260679" cy="304945"/>
        </a:xfrm>
        <a:prstGeom prst="rightArrow">
          <a:avLst>
            <a:gd name="adj1" fmla="val 60000"/>
            <a:gd name="adj2" fmla="val 50000"/>
          </a:avLst>
        </a:prstGeom>
        <a:solidFill>
          <a:schemeClr val="accent5">
            <a:hueOff val="-5406834"/>
            <a:satOff val="-13935"/>
            <a:lumOff val="-94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837709" y="1508716"/>
        <a:ext cx="182475" cy="182967"/>
      </dsp:txXfrm>
    </dsp:sp>
    <dsp:sp modelId="{AEA50231-BA20-4C61-A119-E2C1986CF5FC}">
      <dsp:nvSpPr>
        <dsp:cNvPr id="0" name=""/>
        <dsp:cNvSpPr/>
      </dsp:nvSpPr>
      <dsp:spPr>
        <a:xfrm>
          <a:off x="406925" y="1231314"/>
          <a:ext cx="1229617" cy="737770"/>
        </a:xfrm>
        <a:prstGeom prst="roundRect">
          <a:avLst>
            <a:gd name="adj" fmla="val 10000"/>
          </a:avLst>
        </a:prstGeom>
        <a:solidFill>
          <a:schemeClr val="accent5">
            <a:hueOff val="-5632119"/>
            <a:satOff val="-14516"/>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β-cell dysfunction</a:t>
          </a:r>
        </a:p>
      </dsp:txBody>
      <dsp:txXfrm>
        <a:off x="428534" y="1252923"/>
        <a:ext cx="1186399" cy="694552"/>
      </dsp:txXfrm>
    </dsp:sp>
    <dsp:sp modelId="{D25398B3-F54E-41CD-8F5C-04DB01FB2CD6}">
      <dsp:nvSpPr>
        <dsp:cNvPr id="0" name=""/>
        <dsp:cNvSpPr/>
      </dsp:nvSpPr>
      <dsp:spPr>
        <a:xfrm rot="5400000">
          <a:off x="891395" y="2055158"/>
          <a:ext cx="260679" cy="304945"/>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930251" y="2077291"/>
        <a:ext cx="182967" cy="182475"/>
      </dsp:txXfrm>
    </dsp:sp>
    <dsp:sp modelId="{FC714896-2264-4F12-8D4F-08D74E837C06}">
      <dsp:nvSpPr>
        <dsp:cNvPr id="0" name=""/>
        <dsp:cNvSpPr/>
      </dsp:nvSpPr>
      <dsp:spPr>
        <a:xfrm>
          <a:off x="406925" y="2460932"/>
          <a:ext cx="1229617" cy="73777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Type 2 Diabetes Mellitus</a:t>
          </a:r>
        </a:p>
      </dsp:txBody>
      <dsp:txXfrm>
        <a:off x="428534" y="2482541"/>
        <a:ext cx="1186399" cy="6945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1F7B7D-E2A4-43CF-8549-69ABCE7D311F}">
      <dsp:nvSpPr>
        <dsp:cNvPr id="0" name=""/>
        <dsp:cNvSpPr/>
      </dsp:nvSpPr>
      <dsp:spPr>
        <a:xfrm>
          <a:off x="0" y="266858"/>
          <a:ext cx="814387" cy="48863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Glucose</a:t>
          </a:r>
        </a:p>
      </dsp:txBody>
      <dsp:txXfrm>
        <a:off x="14312" y="281170"/>
        <a:ext cx="785763" cy="460008"/>
      </dsp:txXfrm>
    </dsp:sp>
    <dsp:sp modelId="{744A3C8A-58D7-4CE4-BE87-BBE7EEF4CE10}">
      <dsp:nvSpPr>
        <dsp:cNvPr id="0" name=""/>
        <dsp:cNvSpPr/>
      </dsp:nvSpPr>
      <dsp:spPr>
        <a:xfrm>
          <a:off x="895826" y="410190"/>
          <a:ext cx="172650" cy="20196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895826" y="450584"/>
        <a:ext cx="120855" cy="121180"/>
      </dsp:txXfrm>
    </dsp:sp>
    <dsp:sp modelId="{CCBB0978-A850-44A1-AFAA-16054F4F8006}">
      <dsp:nvSpPr>
        <dsp:cNvPr id="0" name=""/>
        <dsp:cNvSpPr/>
      </dsp:nvSpPr>
      <dsp:spPr>
        <a:xfrm>
          <a:off x="1140142" y="266858"/>
          <a:ext cx="814387" cy="488632"/>
        </a:xfrm>
        <a:prstGeom prst="roundRect">
          <a:avLst>
            <a:gd name="adj" fmla="val 10000"/>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Glycolysis (cytoplasm)</a:t>
          </a:r>
        </a:p>
      </dsp:txBody>
      <dsp:txXfrm>
        <a:off x="1154454" y="281170"/>
        <a:ext cx="785763" cy="460008"/>
      </dsp:txXfrm>
    </dsp:sp>
    <dsp:sp modelId="{F7E8C5CD-30BB-4E8C-A182-2CC5C65FDF81}">
      <dsp:nvSpPr>
        <dsp:cNvPr id="0" name=""/>
        <dsp:cNvSpPr/>
      </dsp:nvSpPr>
      <dsp:spPr>
        <a:xfrm>
          <a:off x="2035968" y="410190"/>
          <a:ext cx="172650" cy="201968"/>
        </a:xfrm>
        <a:prstGeom prst="rightArrow">
          <a:avLst>
            <a:gd name="adj1" fmla="val 60000"/>
            <a:gd name="adj2" fmla="val 50000"/>
          </a:avLst>
        </a:prstGeom>
        <a:solidFill>
          <a:schemeClr val="accent5">
            <a:hueOff val="-1689636"/>
            <a:satOff val="-4355"/>
            <a:lumOff val="-294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035968" y="450584"/>
        <a:ext cx="120855" cy="121180"/>
      </dsp:txXfrm>
    </dsp:sp>
    <dsp:sp modelId="{36DABB28-E3CB-49A9-8524-8FC90099A8FC}">
      <dsp:nvSpPr>
        <dsp:cNvPr id="0" name=""/>
        <dsp:cNvSpPr/>
      </dsp:nvSpPr>
      <dsp:spPr>
        <a:xfrm>
          <a:off x="2280285" y="266858"/>
          <a:ext cx="814387" cy="488632"/>
        </a:xfrm>
        <a:prstGeom prst="roundRect">
          <a:avLst>
            <a:gd name="adj" fmla="val 10000"/>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Pyruvate production</a:t>
          </a:r>
        </a:p>
      </dsp:txBody>
      <dsp:txXfrm>
        <a:off x="2294597" y="281170"/>
        <a:ext cx="785763" cy="460008"/>
      </dsp:txXfrm>
    </dsp:sp>
    <dsp:sp modelId="{9963E967-0FCD-40F1-84F8-0060EE9081B5}">
      <dsp:nvSpPr>
        <dsp:cNvPr id="0" name=""/>
        <dsp:cNvSpPr/>
      </dsp:nvSpPr>
      <dsp:spPr>
        <a:xfrm>
          <a:off x="3176111" y="410190"/>
          <a:ext cx="172650" cy="201968"/>
        </a:xfrm>
        <a:prstGeom prst="rightArrow">
          <a:avLst>
            <a:gd name="adj1" fmla="val 60000"/>
            <a:gd name="adj2" fmla="val 5000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176111" y="450584"/>
        <a:ext cx="120855" cy="121180"/>
      </dsp:txXfrm>
    </dsp:sp>
    <dsp:sp modelId="{D10553C9-22EC-4CF8-8C1D-E88106434E73}">
      <dsp:nvSpPr>
        <dsp:cNvPr id="0" name=""/>
        <dsp:cNvSpPr/>
      </dsp:nvSpPr>
      <dsp:spPr>
        <a:xfrm>
          <a:off x="3420427" y="266858"/>
          <a:ext cx="814387" cy="488632"/>
        </a:xfrm>
        <a:prstGeom prst="roundRect">
          <a:avLst>
            <a:gd name="adj" fmla="val 10000"/>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Krebs cycle (mitochondria)</a:t>
          </a:r>
        </a:p>
      </dsp:txBody>
      <dsp:txXfrm>
        <a:off x="3434739" y="281170"/>
        <a:ext cx="785763" cy="460008"/>
      </dsp:txXfrm>
    </dsp:sp>
    <dsp:sp modelId="{A02D9C0C-68C2-4ED9-B85B-8A81EA4545A0}">
      <dsp:nvSpPr>
        <dsp:cNvPr id="0" name=""/>
        <dsp:cNvSpPr/>
      </dsp:nvSpPr>
      <dsp:spPr>
        <a:xfrm>
          <a:off x="4316253" y="410190"/>
          <a:ext cx="172650" cy="201968"/>
        </a:xfrm>
        <a:prstGeom prst="rightArrow">
          <a:avLst>
            <a:gd name="adj1" fmla="val 60000"/>
            <a:gd name="adj2" fmla="val 50000"/>
          </a:avLst>
        </a:prstGeom>
        <a:solidFill>
          <a:schemeClr val="accent5">
            <a:hueOff val="-5068907"/>
            <a:satOff val="-13064"/>
            <a:lumOff val="-882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316253" y="450584"/>
        <a:ext cx="120855" cy="121180"/>
      </dsp:txXfrm>
    </dsp:sp>
    <dsp:sp modelId="{C9E956BE-37C6-4E4B-85FE-109373EC542B}">
      <dsp:nvSpPr>
        <dsp:cNvPr id="0" name=""/>
        <dsp:cNvSpPr/>
      </dsp:nvSpPr>
      <dsp:spPr>
        <a:xfrm>
          <a:off x="4560570" y="266858"/>
          <a:ext cx="814387" cy="488632"/>
        </a:xfrm>
        <a:prstGeom prst="roundRect">
          <a:avLst>
            <a:gd name="adj" fmla="val 10000"/>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Electron transport chain</a:t>
          </a:r>
        </a:p>
      </dsp:txBody>
      <dsp:txXfrm>
        <a:off x="4574882" y="281170"/>
        <a:ext cx="785763" cy="460008"/>
      </dsp:txXfrm>
    </dsp:sp>
    <dsp:sp modelId="{CE8350A4-82D7-493A-8138-BACC32C9D0D1}">
      <dsp:nvSpPr>
        <dsp:cNvPr id="0" name=""/>
        <dsp:cNvSpPr/>
      </dsp:nvSpPr>
      <dsp:spPr>
        <a:xfrm>
          <a:off x="5456396" y="410190"/>
          <a:ext cx="172650" cy="201968"/>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456396" y="450584"/>
        <a:ext cx="120855" cy="121180"/>
      </dsp:txXfrm>
    </dsp:sp>
    <dsp:sp modelId="{CBBF0373-69E6-4CE6-B5F6-9D319F59B995}">
      <dsp:nvSpPr>
        <dsp:cNvPr id="0" name=""/>
        <dsp:cNvSpPr/>
      </dsp:nvSpPr>
      <dsp:spPr>
        <a:xfrm>
          <a:off x="5700712" y="266858"/>
          <a:ext cx="814387" cy="488632"/>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ATP production</a:t>
          </a:r>
        </a:p>
      </dsp:txBody>
      <dsp:txXfrm>
        <a:off x="5715024" y="281170"/>
        <a:ext cx="785763" cy="460008"/>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08124-45C2-4121-8763-73ADCE0111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2026-08-02T11:01:00Z</dcterms:created>
  <dcterms:modified xsi:type="dcterms:W3CDTF">2026-08-02T11:01:00Z</dcterms:modified>
</cp:coreProperties>
</file>