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Arial" w:hAnsi="Arial" w:cs="Arial"/>
          <w:sz w:val="32"/>
          <w:szCs w:val="32"/>
        </w:rPr>
      </w:pPr>
    </w:p>
    <w:p>
      <w:pPr>
        <w:rPr>
          <w:rFonts w:ascii="Arial" w:hAnsi="Arial" w:cs="Arial"/>
          <w:sz w:val="32"/>
          <w:szCs w:val="32"/>
        </w:rPr>
      </w:pPr>
    </w:p>
    <w:p>
      <w:pPr>
        <w:rPr>
          <w:rFonts w:ascii="Arial" w:hAnsi="Arial" w:cs="Arial"/>
          <w:sz w:val="32"/>
          <w:szCs w:val="32"/>
        </w:rPr>
      </w:pPr>
    </w:p>
    <w:p>
      <w:pPr>
        <w:rPr>
          <w:rFonts w:ascii="Arial" w:hAnsi="Arial" w:cs="Arial"/>
          <w:sz w:val="32"/>
          <w:szCs w:val="32"/>
        </w:rPr>
      </w:pPr>
    </w:p>
    <w:p>
      <w:pPr>
        <w:rPr>
          <w:rFonts w:ascii="Arial" w:hAnsi="Arial" w:cs="Arial"/>
          <w:sz w:val="32"/>
          <w:szCs w:val="32"/>
        </w:rPr>
      </w:pPr>
    </w:p>
    <w:p>
      <w:pPr>
        <w:rPr>
          <w:rFonts w:ascii="Arial" w:hAnsi="Arial" w:cs="Arial"/>
          <w:sz w:val="32"/>
          <w:szCs w:val="32"/>
        </w:rPr>
      </w:pPr>
    </w:p>
    <w:p>
      <w:pPr>
        <w:rPr>
          <w:rFonts w:ascii="Arial" w:hAnsi="Arial" w:cs="Arial"/>
          <w:sz w:val="32"/>
          <w:szCs w:val="32"/>
        </w:rPr>
      </w:pPr>
    </w:p>
    <w:p>
      <w:pPr>
        <w:rPr>
          <w:rFonts w:ascii="Arial" w:hAnsi="Arial" w:cs="Arial"/>
          <w:sz w:val="32"/>
          <w:szCs w:val="32"/>
        </w:rPr>
      </w:pPr>
    </w:p>
    <w:p>
      <w:pPr>
        <w:jc w:val="center"/>
        <w:rPr>
          <w:rFonts w:ascii="Arial" w:hAnsi="Arial" w:cs="Arial"/>
          <w:b/>
          <w:bCs/>
          <w:sz w:val="32"/>
          <w:szCs w:val="32"/>
        </w:rPr>
      </w:pPr>
    </w:p>
    <w:p>
      <w:pPr>
        <w:jc w:val="center"/>
        <w:rPr>
          <w:rFonts w:ascii="Arial" w:hAnsi="Arial" w:cs="Arial"/>
          <w:b/>
          <w:bCs/>
          <w:sz w:val="32"/>
          <w:szCs w:val="32"/>
        </w:rPr>
      </w:pPr>
      <w:r>
        <w:rPr>
          <w:rFonts w:ascii="Arial" w:hAnsi="Arial" w:cs="Arial"/>
          <w:b/>
          <w:bCs/>
          <w:sz w:val="32"/>
          <w:szCs w:val="32"/>
        </w:rPr>
        <w:t>Hotel Administration &amp; Front Office Operations</w:t>
      </w:r>
    </w:p>
    <w:p>
      <w:pPr>
        <w:jc w:val="center"/>
        <w:rPr>
          <w:rFonts w:hint="default" w:ascii="Arial" w:hAnsi="Arial"/>
          <w:sz w:val="32"/>
          <w:szCs w:val="32"/>
        </w:rPr>
      </w:pPr>
      <w:bookmarkStart w:id="4" w:name="_GoBack"/>
      <w:r>
        <w:rPr>
          <w:rFonts w:hint="default" w:ascii="Arial" w:hAnsi="Arial"/>
          <w:sz w:val="32"/>
          <w:szCs w:val="32"/>
        </w:rPr>
        <w:t>Student Name- Mircea Catalin Leva</w:t>
      </w:r>
    </w:p>
    <w:p>
      <w:pPr>
        <w:jc w:val="center"/>
        <w:rPr>
          <w:rFonts w:hint="default" w:ascii="Arial" w:hAnsi="Arial"/>
          <w:sz w:val="32"/>
          <w:szCs w:val="32"/>
        </w:rPr>
      </w:pPr>
      <w:r>
        <w:rPr>
          <w:rFonts w:hint="default" w:ascii="Arial" w:hAnsi="Arial"/>
          <w:sz w:val="32"/>
          <w:szCs w:val="32"/>
        </w:rPr>
        <w:t>Student ID- 2244690</w:t>
      </w:r>
    </w:p>
    <w:p>
      <w:pPr>
        <w:jc w:val="center"/>
        <w:rPr>
          <w:rFonts w:hint="default" w:ascii="Arial" w:hAnsi="Arial"/>
          <w:sz w:val="32"/>
          <w:szCs w:val="32"/>
        </w:rPr>
      </w:pPr>
      <w:r>
        <w:rPr>
          <w:rFonts w:hint="default" w:ascii="Arial" w:hAnsi="Arial"/>
          <w:sz w:val="32"/>
          <w:szCs w:val="32"/>
        </w:rPr>
        <w:t>Module leader : Natalie Brailsford</w:t>
      </w:r>
    </w:p>
    <w:bookmarkEnd w:id="4"/>
    <w:p>
      <w:pPr>
        <w:rPr>
          <w:rFonts w:hint="default" w:ascii="Arial" w:hAnsi="Arial"/>
          <w:sz w:val="32"/>
          <w:szCs w:val="32"/>
        </w:rPr>
      </w:pPr>
    </w:p>
    <w:p>
      <w:pPr>
        <w:rPr>
          <w:rFonts w:hint="default" w:ascii="Arial" w:hAnsi="Arial"/>
          <w:sz w:val="32"/>
          <w:szCs w:val="32"/>
        </w:rPr>
      </w:pPr>
    </w:p>
    <w:p>
      <w:pPr>
        <w:rPr>
          <w:rFonts w:hint="default" w:ascii="Arial" w:hAnsi="Arial"/>
          <w:sz w:val="32"/>
          <w:szCs w:val="32"/>
        </w:rPr>
      </w:pPr>
    </w:p>
    <w:p>
      <w:pPr>
        <w:rPr>
          <w:rFonts w:hint="default" w:ascii="Arial" w:hAnsi="Arial"/>
          <w:sz w:val="32"/>
          <w:szCs w:val="32"/>
        </w:rPr>
      </w:pPr>
    </w:p>
    <w:p>
      <w:pPr>
        <w:rPr>
          <w:rFonts w:hint="default" w:ascii="Arial" w:hAnsi="Arial"/>
          <w:sz w:val="32"/>
          <w:szCs w:val="32"/>
        </w:rPr>
      </w:pPr>
    </w:p>
    <w:p>
      <w:pPr>
        <w:rPr>
          <w:rFonts w:hint="default" w:ascii="Arial" w:hAnsi="Arial"/>
          <w:sz w:val="32"/>
          <w:szCs w:val="32"/>
        </w:rPr>
      </w:pPr>
    </w:p>
    <w:p>
      <w:pPr>
        <w:rPr>
          <w:rFonts w:hint="default" w:ascii="Arial" w:hAnsi="Arial"/>
          <w:sz w:val="32"/>
          <w:szCs w:val="32"/>
        </w:rPr>
      </w:pPr>
    </w:p>
    <w:p>
      <w:pPr>
        <w:rPr>
          <w:rFonts w:hint="default" w:ascii="Arial" w:hAnsi="Arial"/>
          <w:sz w:val="32"/>
          <w:szCs w:val="32"/>
        </w:rPr>
      </w:pPr>
    </w:p>
    <w:p>
      <w:pPr>
        <w:rPr>
          <w:rFonts w:hint="default" w:ascii="Arial" w:hAnsi="Arial"/>
          <w:sz w:val="32"/>
          <w:szCs w:val="32"/>
        </w:rPr>
      </w:pPr>
    </w:p>
    <w:p>
      <w:pPr>
        <w:rPr>
          <w:rFonts w:hint="default" w:ascii="Arial" w:hAnsi="Arial"/>
          <w:sz w:val="32"/>
          <w:szCs w:val="32"/>
        </w:rPr>
      </w:pPr>
    </w:p>
    <w:sdt>
      <w:sdtPr>
        <w:rPr>
          <w:rFonts w:asciiTheme="minorHAnsi" w:hAnsiTheme="minorHAnsi" w:eastAsiaTheme="minorHAnsi" w:cstheme="minorBidi"/>
          <w:color w:val="auto"/>
          <w:sz w:val="22"/>
          <w:szCs w:val="22"/>
          <w:lang w:val="en-IN"/>
        </w:rPr>
        <w:id w:val="1976865060"/>
        <w:docPartObj>
          <w:docPartGallery w:val="Table of Contents"/>
          <w:docPartUnique/>
        </w:docPartObj>
      </w:sdtPr>
      <w:sdtEndPr>
        <w:rPr>
          <w:rFonts w:asciiTheme="minorHAnsi" w:hAnsiTheme="minorHAnsi" w:eastAsiaTheme="minorHAnsi" w:cstheme="minorBidi"/>
          <w:b/>
          <w:bCs/>
          <w:color w:val="auto"/>
          <w:sz w:val="22"/>
          <w:szCs w:val="22"/>
          <w:lang w:val="en-IN"/>
        </w:rPr>
      </w:sdtEndPr>
      <w:sdtContent>
        <w:p>
          <w:pPr>
            <w:pStyle w:val="12"/>
            <w:jc w:val="center"/>
            <w:rPr>
              <w:rFonts w:ascii="Arial" w:hAnsi="Arial" w:cs="Arial"/>
              <w:b/>
              <w:bCs/>
              <w:color w:val="auto"/>
              <w:sz w:val="28"/>
              <w:szCs w:val="28"/>
            </w:rPr>
          </w:pPr>
          <w:r>
            <w:rPr>
              <w:rFonts w:ascii="Arial" w:hAnsi="Arial" w:cs="Arial"/>
              <w:b/>
              <w:bCs/>
              <w:color w:val="auto"/>
              <w:sz w:val="28"/>
              <w:szCs w:val="28"/>
            </w:rPr>
            <w:t>Table of Contents</w:t>
          </w:r>
        </w:p>
        <w:p>
          <w:pPr>
            <w:pStyle w:val="8"/>
            <w:tabs>
              <w:tab w:val="right" w:leader="dot" w:pos="9016"/>
            </w:tabs>
            <w:rPr>
              <w:rFonts w:eastAsiaTheme="minorEastAsia"/>
              <w:kern w:val="2"/>
              <w:lang w:eastAsia="en-IN"/>
              <w14:ligatures w14:val="standardContextual"/>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r>
            <w:fldChar w:fldCharType="begin"/>
          </w:r>
          <w:r>
            <w:instrText xml:space="preserve"> HYPERLINK \l "_Toc157016945" </w:instrText>
          </w:r>
          <w:r>
            <w:fldChar w:fldCharType="separate"/>
          </w:r>
          <w:r>
            <w:rPr>
              <w:rStyle w:val="7"/>
              <w:rFonts w:ascii="Arial" w:hAnsi="Arial" w:cs="Arial"/>
            </w:rPr>
            <w:t>Assessment 1:</w:t>
          </w:r>
          <w:r>
            <w:tab/>
          </w:r>
          <w:r>
            <w:fldChar w:fldCharType="begin"/>
          </w:r>
          <w:r>
            <w:instrText xml:space="preserve"> PAGEREF _Toc157016945 \h </w:instrText>
          </w:r>
          <w:r>
            <w:fldChar w:fldCharType="separate"/>
          </w:r>
          <w:r>
            <w:t>3</w:t>
          </w:r>
          <w:r>
            <w:fldChar w:fldCharType="end"/>
          </w:r>
          <w:r>
            <w:fldChar w:fldCharType="end"/>
          </w:r>
        </w:p>
        <w:p>
          <w:pPr>
            <w:pStyle w:val="8"/>
            <w:tabs>
              <w:tab w:val="right" w:leader="dot" w:pos="9016"/>
            </w:tabs>
            <w:rPr>
              <w:rFonts w:eastAsiaTheme="minorEastAsia"/>
              <w:kern w:val="2"/>
              <w:lang w:eastAsia="en-IN"/>
              <w14:ligatures w14:val="standardContextual"/>
            </w:rPr>
          </w:pPr>
          <w:r>
            <w:fldChar w:fldCharType="begin"/>
          </w:r>
          <w:r>
            <w:instrText xml:space="preserve"> HYPERLINK \l "_Toc157016946" </w:instrText>
          </w:r>
          <w:r>
            <w:fldChar w:fldCharType="separate"/>
          </w:r>
          <w:r>
            <w:rPr>
              <w:rStyle w:val="7"/>
              <w:rFonts w:ascii="Arial" w:hAnsi="Arial" w:cs="Arial"/>
            </w:rPr>
            <w:t>Assessment 2:</w:t>
          </w:r>
          <w:r>
            <w:tab/>
          </w:r>
          <w:r>
            <w:fldChar w:fldCharType="begin"/>
          </w:r>
          <w:r>
            <w:instrText xml:space="preserve"> PAGEREF _Toc157016946 \h </w:instrText>
          </w:r>
          <w:r>
            <w:fldChar w:fldCharType="separate"/>
          </w:r>
          <w:r>
            <w:t>6</w:t>
          </w:r>
          <w:r>
            <w:fldChar w:fldCharType="end"/>
          </w:r>
          <w:r>
            <w:fldChar w:fldCharType="end"/>
          </w:r>
        </w:p>
        <w:p>
          <w:pPr>
            <w:pStyle w:val="8"/>
            <w:tabs>
              <w:tab w:val="right" w:leader="dot" w:pos="9016"/>
            </w:tabs>
            <w:rPr>
              <w:rFonts w:eastAsiaTheme="minorEastAsia"/>
              <w:kern w:val="2"/>
              <w:lang w:eastAsia="en-IN"/>
              <w14:ligatures w14:val="standardContextual"/>
            </w:rPr>
          </w:pPr>
          <w:r>
            <w:fldChar w:fldCharType="begin"/>
          </w:r>
          <w:r>
            <w:instrText xml:space="preserve"> HYPERLINK \l "_Toc157016947" </w:instrText>
          </w:r>
          <w:r>
            <w:fldChar w:fldCharType="separate"/>
          </w:r>
          <w:r>
            <w:rPr>
              <w:rStyle w:val="7"/>
              <w:rFonts w:ascii="Arial" w:hAnsi="Arial" w:cs="Arial"/>
            </w:rPr>
            <w:t>Assessment 3:</w:t>
          </w:r>
          <w:r>
            <w:tab/>
          </w:r>
          <w:r>
            <w:fldChar w:fldCharType="begin"/>
          </w:r>
          <w:r>
            <w:instrText xml:space="preserve"> PAGEREF _Toc157016947 \h </w:instrText>
          </w:r>
          <w:r>
            <w:fldChar w:fldCharType="separate"/>
          </w:r>
          <w:r>
            <w:t>9</w:t>
          </w:r>
          <w:r>
            <w:fldChar w:fldCharType="end"/>
          </w:r>
          <w:r>
            <w:fldChar w:fldCharType="end"/>
          </w:r>
        </w:p>
        <w:p>
          <w:pPr>
            <w:pStyle w:val="8"/>
            <w:tabs>
              <w:tab w:val="right" w:leader="dot" w:pos="9016"/>
            </w:tabs>
            <w:rPr>
              <w:rFonts w:eastAsiaTheme="minorEastAsia"/>
              <w:kern w:val="2"/>
              <w:lang w:eastAsia="en-IN"/>
              <w14:ligatures w14:val="standardContextual"/>
            </w:rPr>
          </w:pPr>
          <w:r>
            <w:fldChar w:fldCharType="begin"/>
          </w:r>
          <w:r>
            <w:instrText xml:space="preserve"> HYPERLINK \l "_Toc157016948" </w:instrText>
          </w:r>
          <w:r>
            <w:fldChar w:fldCharType="separate"/>
          </w:r>
          <w:r>
            <w:rPr>
              <w:rStyle w:val="7"/>
              <w:rFonts w:ascii="Arial" w:hAnsi="Arial" w:cs="Arial"/>
            </w:rPr>
            <w:t>References:</w:t>
          </w:r>
          <w:r>
            <w:tab/>
          </w:r>
          <w:r>
            <w:fldChar w:fldCharType="begin"/>
          </w:r>
          <w:r>
            <w:instrText xml:space="preserve"> PAGEREF _Toc157016948 \h </w:instrText>
          </w:r>
          <w:r>
            <w:fldChar w:fldCharType="separate"/>
          </w:r>
          <w:r>
            <w:t>13</w:t>
          </w:r>
          <w:r>
            <w:fldChar w:fldCharType="end"/>
          </w:r>
          <w:r>
            <w:fldChar w:fldCharType="end"/>
          </w:r>
        </w:p>
        <w:p>
          <w:r>
            <w:rPr>
              <w:rFonts w:ascii="Arial" w:hAnsi="Arial" w:cs="Arial"/>
              <w:b/>
              <w:bCs/>
              <w:sz w:val="24"/>
              <w:szCs w:val="24"/>
            </w:rPr>
            <w:fldChar w:fldCharType="end"/>
          </w:r>
        </w:p>
      </w:sdtContent>
    </w:sdt>
    <w:p>
      <w:pPr>
        <w:rPr>
          <w:rFonts w:ascii="Arial" w:hAnsi="Arial" w:cs="Arial"/>
          <w:sz w:val="32"/>
          <w:szCs w:val="32"/>
        </w:rPr>
      </w:pPr>
    </w:p>
    <w:p>
      <w:pPr>
        <w:rPr>
          <w:rFonts w:ascii="Arial" w:hAnsi="Arial" w:cs="Arial"/>
        </w:rPr>
      </w:pPr>
      <w:r>
        <w:rPr>
          <w:rFonts w:ascii="Arial" w:hAnsi="Arial" w:cs="Arial"/>
        </w:rPr>
        <w:br w:type="page"/>
      </w:r>
    </w:p>
    <w:p>
      <w:pPr>
        <w:pStyle w:val="2"/>
        <w:rPr>
          <w:rFonts w:ascii="Arial" w:hAnsi="Arial" w:cs="Arial"/>
        </w:rPr>
      </w:pPr>
      <w:bookmarkStart w:id="0" w:name="_Toc157016945"/>
      <w:r>
        <w:rPr>
          <w:rFonts w:ascii="Arial" w:hAnsi="Arial" w:cs="Arial"/>
        </w:rPr>
        <w:t>Assessment 1:</w:t>
      </w:r>
      <w:bookmarkEnd w:id="0"/>
      <w:r>
        <w:rPr>
          <w:rFonts w:ascii="Arial" w:hAnsi="Arial" w:cs="Arial"/>
        </w:rPr>
        <w:t xml:space="preserve"> </w:t>
      </w:r>
    </w:p>
    <w:p>
      <w:pPr>
        <w:spacing w:line="360" w:lineRule="auto"/>
        <w:jc w:val="both"/>
        <w:rPr>
          <w:rFonts w:ascii="Arial" w:hAnsi="Arial" w:cs="Arial"/>
          <w:sz w:val="24"/>
          <w:szCs w:val="24"/>
        </w:rPr>
      </w:pPr>
      <w:r>
        <w:rPr>
          <w:rFonts w:ascii="Arial" w:hAnsi="Arial" w:cs="Arial"/>
          <w:sz w:val="24"/>
          <w:szCs w:val="24"/>
        </w:rPr>
        <w:t>Reflective Journal: Applying the Gibbs Model of Reflection</w:t>
      </w:r>
    </w:p>
    <w:p>
      <w:pPr>
        <w:spacing w:line="360" w:lineRule="auto"/>
        <w:jc w:val="both"/>
        <w:rPr>
          <w:rFonts w:ascii="Arial" w:hAnsi="Arial" w:cs="Arial"/>
          <w:sz w:val="24"/>
          <w:szCs w:val="24"/>
        </w:rPr>
      </w:pPr>
      <w:r>
        <w:rPr>
          <w:rFonts w:ascii="Arial" w:hAnsi="Arial" w:cs="Arial"/>
          <w:sz w:val="24"/>
          <w:szCs w:val="24"/>
        </w:rPr>
        <w:t>While doing housekeeping on the Colchester A(12) Hostel, I used the Gibbs Model of Reflection to research my exprience more closely. This thoughtful journal gives me precise insights into pressing projects, challenges, and treasured instructions in my front workplace area. Using this dependable method, I aimed to advantage of a deeper understanding of the challenges of challenging a hotel and benefit from my expertise in my position. This review gives a real definition of my career and demonstrates my willpower to continuously gain knowledge of and professional development within the hospitality enterprise. I played a key role within the Colchester A(12) Hotel overseeing duties in the housekeeping branch. This consists of successfully handling visitor inquiries, organizing seamless room check-ins and check-outs, and smoothly maintaining guest rooms. This duty played an essential role in improving overall guest satisfaction. This experience highlights the paramount significance of effective communication and professionalism in ensuring excessive tiers of guest satisfaction and contributes to a broader understanding of resort operations (</w:t>
      </w:r>
      <w:r>
        <w:rPr>
          <w:rFonts w:ascii="Arial" w:hAnsi="Arial" w:cs="Arial"/>
          <w:color w:val="222222"/>
          <w:sz w:val="24"/>
          <w:szCs w:val="24"/>
          <w:shd w:val="clear" w:color="auto" w:fill="FFFFFF"/>
        </w:rPr>
        <w:t>Williams et al. 2020</w:t>
      </w:r>
      <w:r>
        <w:rPr>
          <w:rFonts w:ascii="Arial" w:hAnsi="Arial" w:cs="Arial"/>
          <w:sz w:val="24"/>
          <w:szCs w:val="24"/>
        </w:rPr>
        <w:t>). Balancing multiple duties in dynamic surroundings created a mixture of excitement and strain. Interacting with strangers required consistent interest and versatility. The delight of solving visitor queries combines with the challenge of cleverly managing concurrent tasks. This experience highlighted the requirement for agility and powerful multi-tasking abilities to offer awesome providers in quick-paced hospitality surroundings (</w:t>
      </w:r>
      <w:r>
        <w:rPr>
          <w:rFonts w:ascii="Arial" w:hAnsi="Arial" w:cs="Arial"/>
          <w:color w:val="222222"/>
          <w:sz w:val="24"/>
          <w:szCs w:val="24"/>
          <w:shd w:val="clear" w:color="auto" w:fill="FFFFFF"/>
        </w:rPr>
        <w:t>Koukpaki and Adams 2020</w:t>
      </w:r>
      <w:r>
        <w:rPr>
          <w:rFonts w:ascii="Arial" w:hAnsi="Arial" w:cs="Arial"/>
          <w:sz w:val="24"/>
          <w:szCs w:val="24"/>
        </w:rPr>
        <w:t>). Positive aspects protected honing conversation abilities, publicity to special business tasks, and a progressed understanding of the significance of teamwork. However, challenges arose in taking on unexpected situations, which emphasized the significance of quick thinking and skillful problem-solving. These experiences highlight the dynamic nature of the housekeeping department and emphasise the non-stop development of technical and interpersonal talents in the lodge. </w:t>
      </w:r>
    </w:p>
    <w:p>
      <w:pPr>
        <w:spacing w:line="360" w:lineRule="auto"/>
        <w:jc w:val="both"/>
        <w:rPr>
          <w:rFonts w:ascii="Arial" w:hAnsi="Arial" w:cs="Arial"/>
          <w:sz w:val="24"/>
          <w:szCs w:val="24"/>
        </w:rPr>
      </w:pPr>
      <w:r>
        <w:rPr>
          <w:rFonts w:ascii="Arial" w:hAnsi="Arial" w:cs="Arial"/>
          <w:sz w:val="24"/>
          <w:szCs w:val="24"/>
        </w:rPr>
        <w:t>This Reflection taught me the vital position of anticipating the visitors’ needs and promptly addressing concerns. Time management abilities and prioritization emerged as crucial talents, increasing basic productivity. This analysis sheds mild on the dynamic nature of the front office branch with the aid of highlighting the regular need for adaptability. The experience highlighted the significance of agility and strategic making plans to ensure clean operations in dynamic hotel surroundings. Considering the challenges, it would be profitable to improve development planning during peak periods. Seeking guidance from skilled colleagues can provide valuable insight on a way to manage precise guest questions (</w:t>
      </w:r>
      <w:r>
        <w:rPr>
          <w:rFonts w:ascii="Arial" w:hAnsi="Arial" w:cs="Arial"/>
          <w:color w:val="222222"/>
          <w:sz w:val="24"/>
          <w:szCs w:val="24"/>
          <w:shd w:val="clear" w:color="auto" w:fill="FFFFFF"/>
        </w:rPr>
        <w:t>Nyaki et al. 2023</w:t>
      </w:r>
      <w:r>
        <w:rPr>
          <w:rFonts w:ascii="Arial" w:hAnsi="Arial" w:cs="Arial"/>
          <w:sz w:val="24"/>
          <w:szCs w:val="24"/>
        </w:rPr>
        <w:t>). This self-assessment highlights the significance of prioritization and collaborative learning in the domestic care zone. The identity of areas for improvement guarantees an extra prepared and informed method to future challenges in a dynamic hospitality environment. To decorate my talents, I intend to receive further training in conflict resolution and time management. Educating experienced team contributors to expand their dealing capabilities with tough conditions inside the housekeeping department is the most significant thing. This strategy pursues to reinforce my abilities, making sure that I become extra in a position and capable of resolving the demanding situations of the hospitality surroundings. </w:t>
      </w:r>
    </w:p>
    <w:p>
      <w:pPr>
        <w:spacing w:line="360" w:lineRule="auto"/>
        <w:jc w:val="both"/>
        <w:rPr>
          <w:rFonts w:ascii="Arial" w:hAnsi="Arial" w:cs="Arial"/>
          <w:sz w:val="24"/>
          <w:szCs w:val="24"/>
        </w:rPr>
      </w:pPr>
      <w:r>
        <w:rPr>
          <w:rFonts w:ascii="Arial" w:hAnsi="Arial" w:cs="Arial"/>
          <w:sz w:val="24"/>
          <w:szCs w:val="24"/>
        </w:rPr>
        <w:t>This preference has deepened my understanding of the vital position the front office plays in influencing the guest's experience. Direct interaction with visitors and associates highlighted the essential significance of making a welcoming and efficient environment. The experience has given me an extra focus on the complications of optimizing guest satisfaction in a dynamic hospitality area (</w:t>
      </w:r>
      <w:r>
        <w:rPr>
          <w:rFonts w:ascii="Arial" w:hAnsi="Arial" w:cs="Arial"/>
          <w:color w:val="222222"/>
          <w:sz w:val="24"/>
          <w:szCs w:val="24"/>
          <w:shd w:val="clear" w:color="auto" w:fill="FFFFFF"/>
        </w:rPr>
        <w:t>Hawley and Tuckett</w:t>
      </w:r>
      <w:r>
        <w:rPr>
          <w:rFonts w:ascii="Arial" w:hAnsi="Arial" w:cs="Arial"/>
          <w:sz w:val="24"/>
          <w:szCs w:val="24"/>
        </w:rPr>
        <w:t>). Interviews with visitors from numerous backgrounds emphasized the importance of cultural sensitivity. Respecting and embracing diversity has emerged as key to ensuring an inclusive and effective visitor experience. This appointment has dramatically modified my attitude in the hospitality industry and also highlighted the multifaceted nature of the front office roles. Important lessons consist of the crucial importance of flexibility, effective communication, and a commitment to non-stop mastering for private and professional growth. This transformative experience has led to a deeper appreciation of the micro-dynamics of hospitality in a dynamic kingdom. My commitment to personal and professional improvement in the hospitality industry will include attending occasions on cultural competency and awesome customer support. Embracing a proactive approach, I plan to interact in self-reflection and actively seek positive comments. This dedication to continuous development is key to honing my skills, making sure I have advanced in cultural competency, and presenting exceptional customer support. With an attitude of continuous monitoring, I need to contribute to the ever-changing needs of the hospitality enterprise even fostering a superb and inclusive environment for visitors and co-workers alike.</w:t>
      </w:r>
      <w:r>
        <w:rPr>
          <w:rFonts w:ascii="Arial" w:hAnsi="Arial" w:cs="Arial"/>
          <w:sz w:val="24"/>
          <w:szCs w:val="24"/>
        </w:rPr>
        <w:br w:type="textWrapping"/>
      </w:r>
      <w:r>
        <w:rPr>
          <w:rFonts w:ascii="Arial" w:hAnsi="Arial" w:cs="Arial"/>
          <w:sz w:val="24"/>
          <w:szCs w:val="24"/>
        </w:rPr>
        <w:br w:type="textWrapping"/>
      </w:r>
      <w:r>
        <w:rPr>
          <w:rFonts w:ascii="Arial" w:hAnsi="Arial" w:cs="Arial"/>
          <w:sz w:val="24"/>
          <w:szCs w:val="24"/>
        </w:rPr>
        <w:br w:type="textWrapping"/>
      </w:r>
    </w:p>
    <w:p>
      <w:pPr>
        <w:rPr>
          <w:rFonts w:ascii="Arial" w:hAnsi="Arial" w:cs="Arial"/>
          <w:sz w:val="24"/>
          <w:szCs w:val="24"/>
        </w:rPr>
      </w:pPr>
      <w:r>
        <w:rPr>
          <w:rFonts w:ascii="Arial" w:hAnsi="Arial" w:cs="Arial"/>
          <w:sz w:val="24"/>
          <w:szCs w:val="24"/>
        </w:rPr>
        <w:br w:type="page"/>
      </w:r>
    </w:p>
    <w:p>
      <w:pPr>
        <w:spacing w:line="360" w:lineRule="auto"/>
        <w:rPr>
          <w:rFonts w:ascii="Arial" w:hAnsi="Arial" w:cs="Arial"/>
          <w:sz w:val="24"/>
          <w:szCs w:val="24"/>
        </w:rPr>
      </w:pPr>
    </w:p>
    <w:p>
      <w:pPr>
        <w:pStyle w:val="2"/>
        <w:rPr>
          <w:rFonts w:ascii="Arial" w:hAnsi="Arial" w:cs="Arial"/>
        </w:rPr>
      </w:pPr>
      <w:bookmarkStart w:id="1" w:name="_Toc157016946"/>
      <w:r>
        <w:rPr>
          <w:rFonts w:ascii="Arial" w:hAnsi="Arial" w:cs="Arial"/>
        </w:rPr>
        <w:t>Assessment 2:</w:t>
      </w:r>
      <w:bookmarkEnd w:id="1"/>
      <w:r>
        <w:rPr>
          <w:rFonts w:ascii="Arial" w:hAnsi="Arial" w:cs="Arial"/>
        </w:rPr>
        <w:t xml:space="preserve"> </w:t>
      </w:r>
    </w:p>
    <w:p>
      <w:pPr>
        <w:spacing w:line="360" w:lineRule="auto"/>
        <w:jc w:val="both"/>
        <w:rPr>
          <w:rFonts w:ascii="Arial" w:hAnsi="Arial" w:cs="Arial"/>
          <w:sz w:val="24"/>
          <w:szCs w:val="24"/>
        </w:rPr>
      </w:pPr>
      <w:r>
        <w:rPr>
          <w:rFonts w:ascii="Arial" w:hAnsi="Arial" w:cs="Arial"/>
          <w:b/>
          <w:bCs/>
          <w:sz w:val="24"/>
          <w:szCs w:val="24"/>
        </w:rPr>
        <w:t>Positive Trip Advisor Review Response: </w:t>
      </w:r>
    </w:p>
    <w:p>
      <w:pPr>
        <w:spacing w:line="360" w:lineRule="auto"/>
        <w:jc w:val="both"/>
        <w:rPr>
          <w:rFonts w:ascii="Arial" w:hAnsi="Arial" w:cs="Arial"/>
          <w:sz w:val="24"/>
          <w:szCs w:val="24"/>
        </w:rPr>
      </w:pPr>
      <w:r>
        <w:rPr>
          <w:rFonts w:ascii="Arial" w:hAnsi="Arial" w:cs="Arial"/>
          <w:sz w:val="24"/>
          <w:szCs w:val="24"/>
        </w:rPr>
        <w:t>Your advantageous Trip Advisor review of Colchester A(12) Hotel is more in line with our commitment to imparting top-notch guest experiences. We would like to explicit our sincere thank you for taking the time to proportion your interesting memories. Your kind phrases, especially about cleanliness, amenities, and typical hospitality, sincerely stimulated our crew. It could be very worthwhile to recognise that our efforts contributed to a memorable stay. This positive inspiration motivates us to keep striving for excellence and supports the high standards that are emphasized. At Colchester A(12) Hotel, we remember guest satisfaction to be our highest precedence, and your reception is proof of the determination and tough work of our staff. Your comments are encouraging and also priceless as we use them to refine and improve our services. We eagerly anticipate the pleasure of welcoming you back to another outstanding stay to again exceed your expectations one more time.  </w:t>
      </w:r>
    </w:p>
    <w:p>
      <w:pPr>
        <w:spacing w:line="360" w:lineRule="auto"/>
        <w:jc w:val="both"/>
        <w:rPr>
          <w:rFonts w:ascii="Arial" w:hAnsi="Arial" w:cs="Arial"/>
          <w:sz w:val="24"/>
          <w:szCs w:val="24"/>
        </w:rPr>
      </w:pPr>
      <w:r>
        <w:rPr>
          <w:rFonts w:ascii="Arial" w:hAnsi="Arial" w:cs="Arial"/>
          <w:sz w:val="24"/>
          <w:szCs w:val="24"/>
        </w:rPr>
        <w:t>Reference: Cenni, I. and Goethals, P., 2021. Business responses to positive reviews online: Face-work on TripAdvisor. </w:t>
      </w:r>
      <w:r>
        <w:rPr>
          <w:rFonts w:ascii="Arial" w:hAnsi="Arial" w:cs="Arial"/>
          <w:i/>
          <w:iCs/>
          <w:sz w:val="24"/>
          <w:szCs w:val="24"/>
        </w:rPr>
        <w:t>Journal of Pragmatics</w:t>
      </w:r>
      <w:r>
        <w:rPr>
          <w:rFonts w:ascii="Arial" w:hAnsi="Arial" w:cs="Arial"/>
          <w:sz w:val="24"/>
          <w:szCs w:val="24"/>
        </w:rPr>
        <w:t>, </w:t>
      </w:r>
      <w:r>
        <w:rPr>
          <w:rFonts w:ascii="Arial" w:hAnsi="Arial" w:cs="Arial"/>
          <w:i/>
          <w:iCs/>
          <w:sz w:val="24"/>
          <w:szCs w:val="24"/>
        </w:rPr>
        <w:t>180</w:t>
      </w:r>
      <w:r>
        <w:rPr>
          <w:rFonts w:ascii="Arial" w:hAnsi="Arial" w:cs="Arial"/>
          <w:sz w:val="24"/>
          <w:szCs w:val="24"/>
        </w:rPr>
        <w:t>, pp.38-50.</w:t>
      </w:r>
    </w:p>
    <w:p>
      <w:pPr>
        <w:spacing w:line="360" w:lineRule="auto"/>
        <w:jc w:val="both"/>
        <w:rPr>
          <w:rFonts w:ascii="Arial" w:hAnsi="Arial" w:cs="Arial"/>
          <w:b/>
          <w:bCs/>
          <w:sz w:val="24"/>
          <w:szCs w:val="24"/>
        </w:rPr>
      </w:pPr>
      <w:r>
        <w:rPr>
          <w:rFonts w:ascii="Arial" w:hAnsi="Arial" w:cs="Arial"/>
          <w:b/>
          <w:bCs/>
          <w:sz w:val="24"/>
          <w:szCs w:val="24"/>
        </w:rPr>
        <w:br w:type="page"/>
      </w:r>
    </w:p>
    <w:p>
      <w:pPr>
        <w:spacing w:line="360" w:lineRule="auto"/>
        <w:jc w:val="both"/>
        <w:rPr>
          <w:rFonts w:ascii="Arial" w:hAnsi="Arial" w:cs="Arial"/>
          <w:sz w:val="24"/>
          <w:szCs w:val="24"/>
        </w:rPr>
      </w:pPr>
      <w:r>
        <w:rPr>
          <w:rFonts w:ascii="Arial" w:hAnsi="Arial" w:cs="Arial"/>
          <w:b/>
          <w:bCs/>
          <w:sz w:val="24"/>
          <w:szCs w:val="24"/>
        </w:rPr>
        <w:t>Letter of Complaint Response:</w:t>
      </w:r>
    </w:p>
    <w:p>
      <w:pPr>
        <w:spacing w:line="360" w:lineRule="auto"/>
        <w:jc w:val="both"/>
        <w:rPr>
          <w:rFonts w:ascii="Arial" w:hAnsi="Arial" w:cs="Arial"/>
          <w:sz w:val="24"/>
          <w:szCs w:val="24"/>
        </w:rPr>
      </w:pPr>
    </w:p>
    <w:p>
      <w:pPr>
        <w:spacing w:line="360" w:lineRule="auto"/>
        <w:jc w:val="both"/>
        <w:rPr>
          <w:rFonts w:ascii="Arial" w:hAnsi="Arial" w:cs="Arial"/>
          <w:sz w:val="24"/>
          <w:szCs w:val="24"/>
        </w:rPr>
      </w:pPr>
      <w:r>
        <w:rPr>
          <w:rFonts w:ascii="Arial" w:hAnsi="Arial" w:cs="Arial"/>
          <w:sz w:val="24"/>
          <w:szCs w:val="24"/>
        </w:rPr>
        <w:t>January 15th, 2024</w:t>
      </w:r>
    </w:p>
    <w:p>
      <w:pPr>
        <w:spacing w:line="360" w:lineRule="auto"/>
        <w:jc w:val="both"/>
        <w:rPr>
          <w:rFonts w:ascii="Arial" w:hAnsi="Arial" w:cs="Arial"/>
          <w:sz w:val="24"/>
          <w:szCs w:val="24"/>
        </w:rPr>
      </w:pPr>
    </w:p>
    <w:p>
      <w:pPr>
        <w:spacing w:line="360" w:lineRule="auto"/>
        <w:jc w:val="both"/>
        <w:rPr>
          <w:rFonts w:ascii="Arial" w:hAnsi="Arial" w:cs="Arial"/>
          <w:sz w:val="24"/>
          <w:szCs w:val="24"/>
        </w:rPr>
      </w:pPr>
      <w:r>
        <w:rPr>
          <w:rFonts w:ascii="Arial" w:hAnsi="Arial" w:cs="Arial"/>
          <w:sz w:val="24"/>
          <w:szCs w:val="24"/>
        </w:rPr>
        <w:t>Mrs Joanna Blake,</w:t>
      </w:r>
    </w:p>
    <w:p>
      <w:pPr>
        <w:spacing w:line="360" w:lineRule="auto"/>
        <w:jc w:val="both"/>
        <w:rPr>
          <w:rFonts w:ascii="Arial" w:hAnsi="Arial" w:cs="Arial"/>
          <w:sz w:val="24"/>
          <w:szCs w:val="24"/>
        </w:rPr>
      </w:pPr>
      <w:r>
        <w:rPr>
          <w:rFonts w:ascii="Arial" w:hAnsi="Arial" w:cs="Arial"/>
          <w:sz w:val="24"/>
          <w:szCs w:val="24"/>
        </w:rPr>
        <w:t>558 Longford Road,</w:t>
      </w:r>
    </w:p>
    <w:p>
      <w:pPr>
        <w:spacing w:line="360" w:lineRule="auto"/>
        <w:jc w:val="both"/>
        <w:rPr>
          <w:rFonts w:ascii="Arial" w:hAnsi="Arial" w:cs="Arial"/>
          <w:sz w:val="24"/>
          <w:szCs w:val="24"/>
        </w:rPr>
      </w:pPr>
      <w:r>
        <w:rPr>
          <w:rFonts w:ascii="Arial" w:hAnsi="Arial" w:cs="Arial"/>
          <w:sz w:val="24"/>
          <w:szCs w:val="24"/>
        </w:rPr>
        <w:t>Swansea SA1 2AR</w:t>
      </w:r>
    </w:p>
    <w:p>
      <w:pPr>
        <w:spacing w:line="360" w:lineRule="auto"/>
        <w:rPr>
          <w:rFonts w:ascii="Arial" w:hAnsi="Arial" w:cs="Arial"/>
          <w:sz w:val="24"/>
          <w:szCs w:val="24"/>
        </w:rPr>
      </w:pPr>
      <w:r>
        <w:rPr>
          <w:rFonts w:ascii="Arial" w:hAnsi="Arial" w:cs="Arial"/>
          <w:sz w:val="24"/>
          <w:szCs w:val="24"/>
        </w:rPr>
        <w:t xml:space="preserve">Dear Mrs Blake, </w:t>
      </w:r>
      <w:r>
        <w:rPr>
          <w:rFonts w:ascii="Arial" w:hAnsi="Arial" w:cs="Arial"/>
          <w:sz w:val="24"/>
          <w:szCs w:val="24"/>
        </w:rPr>
        <w:br w:type="textWrapping"/>
      </w:r>
      <w:r>
        <w:rPr>
          <w:rFonts w:ascii="Arial" w:hAnsi="Arial" w:cs="Arial"/>
          <w:sz w:val="24"/>
          <w:szCs w:val="24"/>
        </w:rPr>
        <w:t>Subject: Resolution of Complaint</w:t>
      </w:r>
    </w:p>
    <w:p>
      <w:pPr>
        <w:spacing w:line="360" w:lineRule="auto"/>
        <w:jc w:val="both"/>
        <w:rPr>
          <w:rFonts w:ascii="Arial" w:hAnsi="Arial" w:cs="Arial"/>
          <w:sz w:val="24"/>
          <w:szCs w:val="24"/>
        </w:rPr>
      </w:pPr>
      <w:r>
        <w:rPr>
          <w:rFonts w:ascii="Arial" w:hAnsi="Arial" w:cs="Arial"/>
          <w:sz w:val="24"/>
          <w:szCs w:val="24"/>
        </w:rPr>
        <w:t xml:space="preserve">I simply express regret for the disappointing experience that you had at the Colchester A(12) Hotel. Your feedback is precious and we honestly appreciate your clarity. I have dedicated myself to elevating any issues and implementing preventative measures. Your satisfaction is our top priority, and we are devoted to ensuring that you have a nice and clean experience during your future stay. Thank you for letting us know about those issues. </w:t>
      </w:r>
    </w:p>
    <w:p>
      <w:pPr>
        <w:spacing w:line="360" w:lineRule="auto"/>
        <w:jc w:val="both"/>
        <w:rPr>
          <w:rFonts w:ascii="Arial" w:hAnsi="Arial" w:cs="Arial"/>
          <w:sz w:val="24"/>
          <w:szCs w:val="24"/>
        </w:rPr>
      </w:pPr>
      <w:r>
        <w:rPr>
          <w:rFonts w:ascii="Arial" w:hAnsi="Arial" w:cs="Arial"/>
          <w:sz w:val="24"/>
          <w:szCs w:val="24"/>
        </w:rPr>
        <w:t xml:space="preserve">We're very sorry if there were any issues with the upkeep of your room while you were at the Colchester A(12) Hotel. We sincerely apologize for the trouble you had to face. We know how important it is to follow strict rules. As soon as you told us what you said, we gave our cleaning staff more training. Our goal is to fix these mistakes and find your records so that guests have a smooth and error-free experience. </w:t>
      </w:r>
    </w:p>
    <w:p>
      <w:pPr>
        <w:spacing w:line="360" w:lineRule="auto"/>
        <w:jc w:val="both"/>
        <w:rPr>
          <w:rFonts w:ascii="Arial" w:hAnsi="Arial" w:cs="Arial"/>
          <w:sz w:val="24"/>
          <w:szCs w:val="24"/>
        </w:rPr>
      </w:pPr>
      <w:r>
        <w:rPr>
          <w:rFonts w:ascii="Arial" w:hAnsi="Arial" w:cs="Arial"/>
          <w:sz w:val="24"/>
          <w:szCs w:val="24"/>
        </w:rPr>
        <w:t xml:space="preserve">I'm sorry that the loose Wi-Fi at the Colchester A(12) Hotel gave you any trouble. Thank you for your time, and we're sorry if you're having trouble. Because of this, we are acting. </w:t>
      </w:r>
    </w:p>
    <w:p>
      <w:pPr>
        <w:spacing w:line="360" w:lineRule="auto"/>
        <w:jc w:val="both"/>
        <w:rPr>
          <w:rFonts w:ascii="Arial" w:hAnsi="Arial" w:cs="Arial"/>
          <w:sz w:val="24"/>
          <w:szCs w:val="24"/>
        </w:rPr>
      </w:pPr>
      <w:r>
        <w:rPr>
          <w:rFonts w:ascii="Arial" w:hAnsi="Arial" w:cs="Arial"/>
          <w:sz w:val="24"/>
          <w:szCs w:val="24"/>
        </w:rPr>
        <w:t xml:space="preserve">We need to make our processes better so that our people can have a good time online. As soon as you told us something, we fixed it. We ask that you please be patient with us as we work to make it easier to get in touch and plan future trips. </w:t>
      </w:r>
    </w:p>
    <w:p>
      <w:pPr>
        <w:spacing w:line="360" w:lineRule="auto"/>
        <w:jc w:val="both"/>
        <w:rPr>
          <w:rFonts w:ascii="Arial" w:hAnsi="Arial" w:cs="Arial"/>
          <w:sz w:val="24"/>
          <w:szCs w:val="24"/>
        </w:rPr>
      </w:pPr>
      <w:r>
        <w:rPr>
          <w:rFonts w:ascii="Arial" w:hAnsi="Arial" w:cs="Arial"/>
          <w:sz w:val="24"/>
          <w:szCs w:val="24"/>
        </w:rPr>
        <w:t>I'm sorry if the noise at the Colchester A(12) Hotel made you unhappy while you were there. I'm sorry for any trouble I may have caused. Your happiness is the most important thing to me. To conquer the problems, we thoroughly revise our structures and introduced more effective noise suppression techniques. Our purpose is to create nonviolent surroundings and improve the general experience for all guests.</w:t>
      </w:r>
    </w:p>
    <w:p>
      <w:pPr>
        <w:spacing w:line="360" w:lineRule="auto"/>
        <w:jc w:val="both"/>
        <w:rPr>
          <w:rFonts w:ascii="Arial" w:hAnsi="Arial" w:cs="Arial"/>
          <w:sz w:val="24"/>
          <w:szCs w:val="24"/>
        </w:rPr>
      </w:pPr>
      <w:r>
        <w:rPr>
          <w:rFonts w:ascii="Arial" w:hAnsi="Arial" w:cs="Arial"/>
          <w:sz w:val="24"/>
          <w:szCs w:val="24"/>
        </w:rPr>
        <w:t>Your comments are beneficial to our commitment to a quiet and fine environment, and we respect your understanding as we work diligently to improve our noise management. I understand the frustrating impact of our staff no longer being knowledgeable while staying at the Colchester A(12) Hotel. Please accept my sincere apologies for this oversight. We are using disciplinary measures to deal with this problem, inclusive of introducing a corrective measure that makes a speciality of gentle customer service. We intend to ensure that every visitor feels heard and acquires the right attitude. Your treasured comments triggered us to take on-the-spot action, and we admire your understanding as we work to enhance our worker responsiveness and service excellence.</w:t>
      </w:r>
    </w:p>
    <w:p>
      <w:pPr>
        <w:spacing w:line="360" w:lineRule="auto"/>
        <w:jc w:val="both"/>
        <w:rPr>
          <w:rFonts w:ascii="Arial" w:hAnsi="Arial" w:cs="Arial"/>
          <w:sz w:val="24"/>
          <w:szCs w:val="24"/>
        </w:rPr>
      </w:pPr>
      <w:r>
        <w:rPr>
          <w:rFonts w:ascii="Arial" w:hAnsi="Arial" w:cs="Arial"/>
          <w:sz w:val="24"/>
          <w:szCs w:val="24"/>
        </w:rPr>
        <w:t>I would like to provide you with a complimentary two-night live with us. Additionally, your detailed remarks will help us continue to enhance.</w:t>
      </w:r>
    </w:p>
    <w:p>
      <w:pPr>
        <w:spacing w:line="360" w:lineRule="auto"/>
        <w:jc w:val="both"/>
        <w:rPr>
          <w:rFonts w:ascii="Arial" w:hAnsi="Arial" w:cs="Arial"/>
          <w:sz w:val="24"/>
          <w:szCs w:val="24"/>
        </w:rPr>
      </w:pPr>
      <w:r>
        <w:rPr>
          <w:rFonts w:ascii="Arial" w:hAnsi="Arial" w:cs="Arial"/>
          <w:sz w:val="24"/>
          <w:szCs w:val="24"/>
        </w:rPr>
        <w:t>Please contact me directly to set up information about your stay and address any other concerns. We are committed to restoring your acceptance of our offerings and appreciate your patience and understanding.</w:t>
      </w:r>
    </w:p>
    <w:p>
      <w:pPr>
        <w:spacing w:line="360" w:lineRule="auto"/>
        <w:jc w:val="both"/>
        <w:rPr>
          <w:rFonts w:ascii="Arial" w:hAnsi="Arial" w:cs="Arial"/>
          <w:sz w:val="24"/>
          <w:szCs w:val="24"/>
        </w:rPr>
      </w:pPr>
      <w:r>
        <w:rPr>
          <w:rFonts w:ascii="Arial" w:hAnsi="Arial" w:cs="Arial"/>
          <w:sz w:val="24"/>
          <w:szCs w:val="24"/>
        </w:rPr>
        <w:t>Thank you for bringing these troubles to our attention. Your satisfaction is our pinnacle precedence, and we sit up for the opportunity to regain your trust in the future.</w:t>
      </w:r>
      <w:r>
        <w:rPr>
          <w:rFonts w:ascii="Arial" w:hAnsi="Arial" w:cs="Arial"/>
          <w:sz w:val="24"/>
          <w:szCs w:val="24"/>
        </w:rPr>
        <w:br w:type="textWrapping"/>
      </w:r>
      <w:r>
        <w:rPr>
          <w:rFonts w:ascii="Arial" w:hAnsi="Arial" w:cs="Arial"/>
          <w:sz w:val="24"/>
          <w:szCs w:val="24"/>
        </w:rPr>
        <w:br w:type="textWrapping"/>
      </w:r>
    </w:p>
    <w:p>
      <w:pPr>
        <w:spacing w:line="360" w:lineRule="auto"/>
        <w:jc w:val="both"/>
        <w:rPr>
          <w:rFonts w:ascii="Arial" w:hAnsi="Arial" w:cs="Arial"/>
          <w:sz w:val="24"/>
          <w:szCs w:val="24"/>
        </w:rPr>
      </w:pPr>
      <w:r>
        <w:rPr>
          <w:rFonts w:ascii="Arial" w:hAnsi="Arial" w:cs="Arial"/>
          <w:sz w:val="24"/>
          <w:szCs w:val="24"/>
        </w:rPr>
        <w:t>Sincerely, </w:t>
      </w:r>
    </w:p>
    <w:p>
      <w:pPr>
        <w:spacing w:line="360" w:lineRule="auto"/>
        <w:rPr>
          <w:rFonts w:ascii="Arial" w:hAnsi="Arial" w:cs="Arial"/>
          <w:sz w:val="24"/>
          <w:szCs w:val="24"/>
        </w:rPr>
      </w:pPr>
      <w:r>
        <w:rPr>
          <w:rFonts w:ascii="Arial" w:hAnsi="Arial" w:cs="Arial"/>
          <w:sz w:val="24"/>
          <w:szCs w:val="24"/>
        </w:rPr>
        <w:t>John Wick</w:t>
      </w:r>
      <w:r>
        <w:rPr>
          <w:rFonts w:ascii="Arial" w:hAnsi="Arial" w:cs="Arial"/>
          <w:sz w:val="24"/>
          <w:szCs w:val="24"/>
        </w:rPr>
        <w:br w:type="textWrapping"/>
      </w:r>
      <w:r>
        <w:rPr>
          <w:rFonts w:ascii="Arial" w:hAnsi="Arial" w:cs="Arial"/>
          <w:sz w:val="24"/>
          <w:szCs w:val="24"/>
        </w:rPr>
        <w:t>Relationship Manager </w:t>
      </w:r>
    </w:p>
    <w:p>
      <w:pPr>
        <w:spacing w:line="360" w:lineRule="auto"/>
        <w:jc w:val="both"/>
        <w:rPr>
          <w:rFonts w:ascii="Arial" w:hAnsi="Arial" w:cs="Arial"/>
          <w:sz w:val="24"/>
          <w:szCs w:val="24"/>
        </w:rPr>
      </w:pPr>
      <w:r>
        <w:rPr>
          <w:rFonts w:ascii="Arial" w:hAnsi="Arial" w:cs="Arial"/>
          <w:sz w:val="24"/>
          <w:szCs w:val="24"/>
        </w:rPr>
        <w:t>Colchester A(12) Hotel</w:t>
      </w:r>
    </w:p>
    <w:p>
      <w:pPr>
        <w:spacing w:line="360" w:lineRule="auto"/>
        <w:jc w:val="both"/>
        <w:rPr>
          <w:rFonts w:ascii="Arial" w:hAnsi="Arial" w:cs="Arial"/>
          <w:sz w:val="24"/>
          <w:szCs w:val="24"/>
        </w:rPr>
      </w:pPr>
    </w:p>
    <w:p>
      <w:pPr>
        <w:spacing w:line="360" w:lineRule="auto"/>
        <w:jc w:val="both"/>
        <w:rPr>
          <w:rFonts w:ascii="Arial" w:hAnsi="Arial" w:cs="Arial"/>
          <w:sz w:val="24"/>
          <w:szCs w:val="24"/>
        </w:rPr>
      </w:pPr>
      <w:r>
        <w:rPr>
          <w:rFonts w:ascii="Arial" w:hAnsi="Arial" w:cs="Arial"/>
          <w:sz w:val="24"/>
          <w:szCs w:val="24"/>
        </w:rPr>
        <w:br w:type="page"/>
      </w:r>
    </w:p>
    <w:p>
      <w:pPr>
        <w:pStyle w:val="2"/>
        <w:rPr>
          <w:rFonts w:ascii="Arial" w:hAnsi="Arial" w:cs="Arial"/>
        </w:rPr>
      </w:pPr>
      <w:bookmarkStart w:id="2" w:name="_Toc157016947"/>
      <w:r>
        <w:rPr>
          <w:rFonts w:ascii="Arial" w:hAnsi="Arial" w:cs="Arial"/>
        </w:rPr>
        <w:t>Assessment 3:</w:t>
      </w:r>
      <w:bookmarkEnd w:id="2"/>
      <w:r>
        <w:rPr>
          <w:rFonts w:ascii="Arial" w:hAnsi="Arial" w:cs="Arial"/>
        </w:rPr>
        <w:t> </w:t>
      </w:r>
    </w:p>
    <w:p>
      <w:pPr>
        <w:spacing w:line="360" w:lineRule="auto"/>
        <w:jc w:val="both"/>
        <w:rPr>
          <w:rFonts w:ascii="Arial" w:hAnsi="Arial" w:cs="Arial"/>
          <w:i/>
          <w:iCs/>
          <w:sz w:val="24"/>
          <w:szCs w:val="24"/>
        </w:rPr>
      </w:pPr>
      <w:r>
        <w:rPr>
          <w:rFonts w:ascii="Arial" w:hAnsi="Arial" w:cs="Arial"/>
          <w:i/>
          <w:iCs/>
          <w:sz w:val="24"/>
          <w:szCs w:val="24"/>
        </w:rPr>
        <w:t>Key Skill 1: Customer Service Skills</w:t>
      </w:r>
    </w:p>
    <w:p>
      <w:pPr>
        <w:spacing w:line="360" w:lineRule="auto"/>
        <w:jc w:val="both"/>
        <w:rPr>
          <w:rFonts w:ascii="Arial" w:hAnsi="Arial" w:cs="Arial"/>
          <w:sz w:val="24"/>
          <w:szCs w:val="24"/>
        </w:rPr>
      </w:pPr>
      <w:r>
        <w:rPr>
          <w:rFonts w:ascii="Arial" w:hAnsi="Arial" w:cs="Arial"/>
          <w:sz w:val="24"/>
          <w:szCs w:val="24"/>
        </w:rPr>
        <w:t>Customer service abilities are a cornerstone of excellence in the hospitality industry, playing a vital position in forming visitor pleasure and accomplishing loyalty. Outstanding customer support goes beyond expectations. For the front office, this includes a thorough understanding of prospective clients’ wishes, empathy, and active response to concerns (</w:t>
      </w:r>
      <w:r>
        <w:rPr>
          <w:rFonts w:ascii="Arial" w:hAnsi="Arial" w:cs="Arial"/>
          <w:color w:val="222222"/>
          <w:sz w:val="24"/>
          <w:szCs w:val="24"/>
          <w:shd w:val="clear" w:color="auto" w:fill="FFFFFF"/>
        </w:rPr>
        <w:t>Ng 2020</w:t>
      </w:r>
      <w:r>
        <w:rPr>
          <w:rFonts w:ascii="Arial" w:hAnsi="Arial" w:cs="Arial"/>
          <w:sz w:val="24"/>
          <w:szCs w:val="24"/>
        </w:rPr>
        <w:t>). A prime example of its commitment to exemplary customer support may be seen in the Ritz-Carlton. The resort is known for its remarkable service, placing a strong emphasis on personnel training. Employees take part in intensive packages designed to increase deeper expertise of the significance of customer pleasure. The "Credo-Card" at the Ritz-Carlton is a powerful tool through this it empowers personnel to make on-spot decisions in line with the lodge's dedication to prioritizing guest satisfaction. </w:t>
      </w:r>
    </w:p>
    <w:p>
      <w:pPr>
        <w:spacing w:line="360" w:lineRule="auto"/>
        <w:jc w:val="both"/>
        <w:rPr>
          <w:rFonts w:ascii="Arial" w:hAnsi="Arial" w:cs="Arial"/>
          <w:sz w:val="24"/>
          <w:szCs w:val="24"/>
        </w:rPr>
      </w:pPr>
      <w:r>
        <w:rPr>
          <w:rFonts w:ascii="Arial" w:hAnsi="Arial" w:cs="Arial"/>
          <w:sz w:val="24"/>
          <w:szCs w:val="24"/>
        </w:rPr>
        <w:t>These real-life industry examples spotlight the importance of ongoing training and the ability to construct customer service capabilities in front workplace roles (</w:t>
      </w:r>
      <w:r>
        <w:rPr>
          <w:rFonts w:ascii="Arial" w:hAnsi="Arial" w:cs="Arial"/>
          <w:color w:val="222222"/>
          <w:sz w:val="24"/>
          <w:szCs w:val="24"/>
          <w:shd w:val="clear" w:color="auto" w:fill="FFFFFF"/>
        </w:rPr>
        <w:t>Mendieta 2021</w:t>
      </w:r>
      <w:r>
        <w:rPr>
          <w:rFonts w:ascii="Arial" w:hAnsi="Arial" w:cs="Arial"/>
          <w:sz w:val="24"/>
          <w:szCs w:val="24"/>
        </w:rPr>
        <w:t>). By investing in such initiatives, hotels can ensure that their personnel is best equipped to fulfill visitors’ expectations, and also are empowered to exceed them, and using doing so decorates the overall guest experience. </w:t>
      </w:r>
    </w:p>
    <w:p>
      <w:pPr>
        <w:spacing w:line="360" w:lineRule="auto"/>
        <w:jc w:val="both"/>
        <w:rPr>
          <w:rFonts w:ascii="Arial" w:hAnsi="Arial" w:cs="Arial"/>
          <w:i/>
          <w:iCs/>
          <w:sz w:val="24"/>
          <w:szCs w:val="24"/>
        </w:rPr>
      </w:pPr>
      <w:r>
        <w:rPr>
          <w:rFonts w:ascii="Arial" w:hAnsi="Arial" w:cs="Arial"/>
          <w:i/>
          <w:iCs/>
          <w:sz w:val="24"/>
          <w:szCs w:val="24"/>
        </w:rPr>
        <w:t>Key Skill 2: Communications Skills</w:t>
      </w:r>
    </w:p>
    <w:p>
      <w:pPr>
        <w:spacing w:line="360" w:lineRule="auto"/>
        <w:jc w:val="both"/>
        <w:rPr>
          <w:rFonts w:ascii="Arial" w:hAnsi="Arial" w:cs="Arial"/>
          <w:sz w:val="24"/>
          <w:szCs w:val="24"/>
        </w:rPr>
      </w:pPr>
      <w:r>
        <w:rPr>
          <w:rFonts w:ascii="Arial" w:hAnsi="Arial" w:cs="Arial"/>
          <w:sz w:val="24"/>
          <w:szCs w:val="24"/>
        </w:rPr>
        <w:t>Communication skills are key to achievement in the front office function inside the hotel industry. It helps to facilitate easy communication with guests, colleagues, and other departments. Multi-faceted communication consists of sources verbal and nonverbal, lively listening, and correct remarks. Hilton Hotels and Resorts is proof of the vital role that effective communication plays in the hospitality industry (</w:t>
      </w:r>
      <w:r>
        <w:rPr>
          <w:rFonts w:ascii="Arial" w:hAnsi="Arial" w:cs="Arial"/>
          <w:color w:val="222222"/>
          <w:sz w:val="24"/>
          <w:szCs w:val="24"/>
          <w:shd w:val="clear" w:color="auto" w:fill="FFFFFF"/>
        </w:rPr>
        <w:t>Drossman et al. 2021</w:t>
      </w:r>
      <w:r>
        <w:rPr>
          <w:rFonts w:ascii="Arial" w:hAnsi="Arial" w:cs="Arial"/>
          <w:sz w:val="24"/>
          <w:szCs w:val="24"/>
        </w:rPr>
        <w:t>). A cornerstone of Hilton's dedication to excellence, the "Take Your Heart to Communication" program is designed to foster a way of life of open verbal exchange. This program goes past traditional communication training and emphasizes the significance of good conversation. It strives to create an environment wherein group members can have meaningful interactions most effectively with each other and also with the guests. As such, the program equips the hotel’s body of workers with the capabilities to talk effectively, making sure that visitors’ needs and preferences are absolutely understood (</w:t>
      </w:r>
      <w:r>
        <w:rPr>
          <w:rFonts w:ascii="Arial" w:hAnsi="Arial" w:cs="Arial"/>
          <w:color w:val="222222"/>
          <w:sz w:val="24"/>
          <w:szCs w:val="24"/>
          <w:shd w:val="clear" w:color="auto" w:fill="FFFFFF"/>
        </w:rPr>
        <w:t>Cuic Tankovic et al. 2023</w:t>
      </w:r>
      <w:r>
        <w:rPr>
          <w:rFonts w:ascii="Arial" w:hAnsi="Arial" w:cs="Arial"/>
          <w:sz w:val="24"/>
          <w:szCs w:val="24"/>
        </w:rPr>
        <w:t>). This emphasis on communication extends to nonverbal cues, permitting frame language and inspiring gestures that improve guest satisfaction. Hilton fosters teamwork among employees, developing a collaborative environment that undoubtedly influences guest interplay By fostering a tradition of open communication (</w:t>
      </w:r>
      <w:r>
        <w:rPr>
          <w:rFonts w:ascii="Arial" w:hAnsi="Arial" w:cs="Arial"/>
          <w:color w:val="222222"/>
          <w:sz w:val="24"/>
          <w:szCs w:val="24"/>
          <w:shd w:val="clear" w:color="auto" w:fill="FFFFFF"/>
        </w:rPr>
        <w:t>Dewi et al. 2022</w:t>
      </w:r>
      <w:r>
        <w:rPr>
          <w:rFonts w:ascii="Arial" w:hAnsi="Arial" w:cs="Arial"/>
          <w:sz w:val="24"/>
          <w:szCs w:val="24"/>
        </w:rPr>
        <w:t>). These actual global examples show that powerful conversation is not only a behavioral skill but a dynamic functionality that contributes to the fulfillment of all front-office features in a hotel. Hilton's commitment to "Take Your Heart to Communication" exemplifies how having strong verbal exchange abilities can elevate the guest's experience and give a good work environment in the hotel enterprise. </w:t>
      </w:r>
    </w:p>
    <w:p>
      <w:pPr>
        <w:spacing w:line="360" w:lineRule="auto"/>
        <w:jc w:val="both"/>
        <w:rPr>
          <w:rFonts w:ascii="Arial" w:hAnsi="Arial" w:cs="Arial"/>
          <w:i/>
          <w:iCs/>
          <w:sz w:val="24"/>
          <w:szCs w:val="24"/>
        </w:rPr>
      </w:pPr>
      <w:r>
        <w:rPr>
          <w:rFonts w:ascii="Arial" w:hAnsi="Arial" w:cs="Arial"/>
          <w:i/>
          <w:iCs/>
          <w:sz w:val="24"/>
          <w:szCs w:val="24"/>
        </w:rPr>
        <w:t>Key Skill 3: Organisational Skills </w:t>
      </w:r>
    </w:p>
    <w:p>
      <w:pPr>
        <w:spacing w:line="360" w:lineRule="auto"/>
        <w:jc w:val="both"/>
        <w:rPr>
          <w:rFonts w:ascii="Arial" w:hAnsi="Arial" w:cs="Arial"/>
          <w:sz w:val="24"/>
          <w:szCs w:val="24"/>
        </w:rPr>
      </w:pPr>
      <w:r>
        <w:rPr>
          <w:rFonts w:ascii="Arial" w:hAnsi="Arial" w:cs="Arial"/>
          <w:sz w:val="24"/>
          <w:szCs w:val="24"/>
        </w:rPr>
        <w:t>Organizational abilities remain a cornerstone in managing front-office capabilities in the hotel industry. The dynamic nature of the hospitality enterprise, especially within the front workplace, calls for personnel to have robust organizational skills to efficaciously manipulate their complicated roles. From monitoring popular places to monitoring arrivals and destinations, front office employees can take care of multiple responsibilities appropriately and in a timely manner. Marriott International is a global leader in the hospitality industry and is an instance of integrating superior organizational equipment to increase front-office productivity (</w:t>
      </w:r>
      <w:r>
        <w:rPr>
          <w:rFonts w:ascii="Arial" w:hAnsi="Arial" w:cs="Arial"/>
          <w:color w:val="222222"/>
          <w:sz w:val="24"/>
          <w:szCs w:val="24"/>
          <w:shd w:val="clear" w:color="auto" w:fill="FFFFFF"/>
        </w:rPr>
        <w:t>Barreto and Mayya 2022</w:t>
      </w:r>
      <w:r>
        <w:rPr>
          <w:rFonts w:ascii="Arial" w:hAnsi="Arial" w:cs="Arial"/>
          <w:sz w:val="24"/>
          <w:szCs w:val="24"/>
        </w:rPr>
        <w:t>). The use of Opera and different asset control structures reflects Marriott’s dedication to streamlining front-office operations. Opera acts as a comprehensive solution, making it easy to arrange visitor profiles, reservations and green billing process. On a sensible note, Opera permits the front workplace workforce to access and manage guest records. The system centralizes reservation information to be updated and modified centrally in real-time. This superior scheduling tool allows for streamlined operations and makes sure that guest information is nicely documented and accessible in any respect stages of their stay (</w:t>
      </w:r>
      <w:r>
        <w:rPr>
          <w:rFonts w:ascii="Arial" w:hAnsi="Arial" w:cs="Arial"/>
          <w:color w:val="222222"/>
          <w:sz w:val="24"/>
          <w:szCs w:val="24"/>
          <w:shd w:val="clear" w:color="auto" w:fill="FFFFFF"/>
        </w:rPr>
        <w:t>Catana and Toma 2021</w:t>
      </w:r>
      <w:r>
        <w:rPr>
          <w:rFonts w:ascii="Arial" w:hAnsi="Arial" w:cs="Arial"/>
          <w:sz w:val="24"/>
          <w:szCs w:val="24"/>
        </w:rPr>
        <w:t>). Additionally, Marriott's adoption of such tech solutions reflects the industry-wide popularity of the requirement for organizational expertise to supply continuing guest satisfaction. It also demonstrates a strategic performance for Marriott International, introducing superior packages like Opera to grow productivity within the front workplace. These real-international enterprise examples spotlight the significance of organizational efficiency in maintaining high stages of service and operational performance in the hotel enterprise.</w:t>
      </w:r>
    </w:p>
    <w:p>
      <w:pPr>
        <w:spacing w:line="360" w:lineRule="auto"/>
        <w:jc w:val="both"/>
        <w:rPr>
          <w:rFonts w:ascii="Arial" w:hAnsi="Arial" w:cs="Arial"/>
          <w:sz w:val="24"/>
          <w:szCs w:val="24"/>
        </w:rPr>
      </w:pPr>
      <w:r>
        <w:rPr>
          <w:rFonts w:ascii="Arial" w:hAnsi="Arial" w:cs="Arial"/>
          <w:i/>
          <w:iCs/>
          <w:sz w:val="24"/>
          <w:szCs w:val="24"/>
        </w:rPr>
        <w:br w:type="textWrapping"/>
      </w:r>
      <w:r>
        <w:rPr>
          <w:rFonts w:ascii="Arial" w:hAnsi="Arial" w:cs="Arial"/>
          <w:i/>
          <w:iCs/>
          <w:sz w:val="24"/>
          <w:szCs w:val="24"/>
        </w:rPr>
        <w:t>Key Skill 4: Problem-Solving Skills</w:t>
      </w:r>
    </w:p>
    <w:p>
      <w:pPr>
        <w:spacing w:line="360" w:lineRule="auto"/>
        <w:jc w:val="both"/>
        <w:rPr>
          <w:rFonts w:ascii="Arial" w:hAnsi="Arial" w:cs="Arial"/>
          <w:sz w:val="24"/>
          <w:szCs w:val="24"/>
        </w:rPr>
      </w:pPr>
      <w:r>
        <w:rPr>
          <w:rFonts w:ascii="Arial" w:hAnsi="Arial" w:cs="Arial"/>
          <w:sz w:val="24"/>
          <w:szCs w:val="24"/>
        </w:rPr>
        <w:t>Problem-solving competencies play a vital function in the achievement of front-office operations within the resort industry. Given the unpredictable nature of the hospitality enterprise, the front office should be equipped with the ability to identify quickly and creatively to sudden challenges (</w:t>
      </w:r>
      <w:r>
        <w:rPr>
          <w:rFonts w:ascii="Arial" w:hAnsi="Arial" w:cs="Arial"/>
          <w:color w:val="222222"/>
          <w:sz w:val="24"/>
          <w:szCs w:val="24"/>
          <w:shd w:val="clear" w:color="auto" w:fill="FFFFFF"/>
        </w:rPr>
        <w:t>Araiza-Alba et al. 2021</w:t>
      </w:r>
      <w:r>
        <w:rPr>
          <w:rFonts w:ascii="Arial" w:hAnsi="Arial" w:cs="Arial"/>
          <w:sz w:val="24"/>
          <w:szCs w:val="24"/>
        </w:rPr>
        <w:t>). This includes dealing with visitor proceedings, resolving disputes, and making quick decisions to ensure all guests are satisfied. InterContinental Hotels Group (IHG) stands proudly as a prime example of a professional company that places robust emphasis on problem-solving talent through its modern "Guest Love" program (</w:t>
      </w:r>
      <w:r>
        <w:rPr>
          <w:rFonts w:ascii="Arial" w:hAnsi="Arial" w:cs="Arial"/>
          <w:color w:val="222222"/>
          <w:sz w:val="24"/>
          <w:szCs w:val="24"/>
          <w:shd w:val="clear" w:color="auto" w:fill="FFFFFF"/>
        </w:rPr>
        <w:t>Voegeli 2021</w:t>
      </w:r>
      <w:r>
        <w:rPr>
          <w:rFonts w:ascii="Arial" w:hAnsi="Arial" w:cs="Arial"/>
          <w:sz w:val="24"/>
          <w:szCs w:val="24"/>
        </w:rPr>
        <w:t>). This software is designed to empower employees, especially those in front office roles, to proactively address tourism problems and find flexible answers to maximize their overall interest (</w:t>
      </w:r>
      <w:r>
        <w:rPr>
          <w:rFonts w:ascii="Arial" w:hAnsi="Arial" w:cs="Arial"/>
          <w:color w:val="222222"/>
          <w:sz w:val="24"/>
          <w:szCs w:val="24"/>
          <w:shd w:val="clear" w:color="auto" w:fill="FFFFFF"/>
        </w:rPr>
        <w:t>Sari et al. 2021</w:t>
      </w:r>
      <w:r>
        <w:rPr>
          <w:rFonts w:ascii="Arial" w:hAnsi="Arial" w:cs="Arial"/>
          <w:sz w:val="24"/>
          <w:szCs w:val="24"/>
        </w:rPr>
        <w:t>). The "Guest Love" program at IHG goes beyond the traditional technique to problem-solving. It encourages a team of workers to view challenges as opportunities to exceed tourist expectations. Through targeted training, personnel are ready with the capabilities and attitudes to resolve problems through the use of a solution-oriented approach. This method is the ultimate concept through a culture that encourages innovative trouble fixing from which visitors not only resolve their troubles but also leave with a high level of dedication on top of the hotel’s delight, IHG exemplifies the importance of these skills in front workplace work. The software’s achievement lies in its capability to broaden solutions that help personnel assume significantly, make instantaneous decisions, and deliver effective and remarkable visitor reports. IHG's "Guest Love" initiative is a testimony to the corporation's reputation for problem-solving skills.</w:t>
      </w: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r>
        <w:rPr>
          <w:rFonts w:ascii="Arial" w:hAnsi="Arial" w:cs="Arial"/>
          <w:sz w:val="24"/>
          <w:szCs w:val="24"/>
        </w:rPr>
        <w:br w:type="textWrapping"/>
      </w:r>
      <w:bookmarkStart w:id="3" w:name="_Toc157016948"/>
    </w:p>
    <w:p>
      <w:pPr>
        <w:pStyle w:val="2"/>
        <w:rPr>
          <w:szCs w:val="24"/>
        </w:rPr>
      </w:pPr>
      <w:r>
        <w:t>References:</w:t>
      </w:r>
      <w:bookmarkEnd w:id="3"/>
      <w:r>
        <w:t xml:space="preserve"> </w:t>
      </w:r>
    </w:p>
    <w:p>
      <w:pPr>
        <w:spacing w:line="360" w:lineRule="auto"/>
        <w:jc w:val="both"/>
        <w:rPr>
          <w:rFonts w:ascii="Arial" w:hAnsi="Arial" w:cs="Arial"/>
          <w:sz w:val="24"/>
          <w:szCs w:val="24"/>
        </w:rPr>
      </w:pPr>
      <w:r>
        <w:rPr>
          <w:rFonts w:ascii="Arial" w:hAnsi="Arial" w:cs="Arial"/>
          <w:sz w:val="24"/>
          <w:szCs w:val="24"/>
        </w:rPr>
        <w:t>Williams, K., Woolliams, M. and Spiro, J., 2020. Reflective writing. Bloomsbury Publishing.</w:t>
      </w:r>
    </w:p>
    <w:p>
      <w:pPr>
        <w:spacing w:line="360" w:lineRule="auto"/>
        <w:jc w:val="both"/>
        <w:rPr>
          <w:rFonts w:ascii="Arial" w:hAnsi="Arial" w:cs="Arial"/>
          <w:sz w:val="24"/>
          <w:szCs w:val="24"/>
        </w:rPr>
      </w:pPr>
      <w:r>
        <w:rPr>
          <w:rFonts w:ascii="Arial" w:hAnsi="Arial" w:cs="Arial"/>
          <w:sz w:val="24"/>
          <w:szCs w:val="24"/>
        </w:rPr>
        <w:t>Nyaki, F., Millanzi, W. and Kibusi, S., 2023. Effectiveness of combined reflective learning strategy on perceived clinical reasoning among nursing students Tanzania: A quasi-experimental study.</w:t>
      </w:r>
    </w:p>
    <w:p>
      <w:pPr>
        <w:spacing w:line="360" w:lineRule="auto"/>
        <w:jc w:val="both"/>
        <w:rPr>
          <w:rFonts w:ascii="Arial" w:hAnsi="Arial" w:cs="Arial"/>
          <w:sz w:val="24"/>
          <w:szCs w:val="24"/>
        </w:rPr>
      </w:pPr>
      <w:r>
        <w:rPr>
          <w:rFonts w:ascii="Arial" w:hAnsi="Arial" w:cs="Arial"/>
          <w:sz w:val="24"/>
          <w:szCs w:val="24"/>
        </w:rPr>
        <w:t>Hawley, G. and Tuckett, A.G., 2020. Using reflection: Mentoring midwifery students in India. Health Education in Practice: Journal of Research for Professional Learning, 3(2), pp.70-82.</w:t>
      </w:r>
    </w:p>
    <w:p>
      <w:pPr>
        <w:spacing w:line="360" w:lineRule="auto"/>
        <w:jc w:val="both"/>
        <w:rPr>
          <w:rFonts w:ascii="Arial" w:hAnsi="Arial" w:cs="Arial"/>
          <w:sz w:val="24"/>
          <w:szCs w:val="24"/>
        </w:rPr>
      </w:pPr>
      <w:r>
        <w:rPr>
          <w:rFonts w:ascii="Arial" w:hAnsi="Arial" w:cs="Arial"/>
          <w:sz w:val="24"/>
          <w:szCs w:val="24"/>
        </w:rPr>
        <w:t>Ng, L.K., 2020. The perceived importance of soft (service) skills in nursing care: A research study. Nurse education today, 85, p.104302.</w:t>
      </w:r>
    </w:p>
    <w:p>
      <w:pPr>
        <w:spacing w:line="360" w:lineRule="auto"/>
        <w:jc w:val="both"/>
        <w:rPr>
          <w:rFonts w:ascii="Arial" w:hAnsi="Arial" w:cs="Arial"/>
          <w:sz w:val="24"/>
          <w:szCs w:val="24"/>
        </w:rPr>
      </w:pPr>
      <w:r>
        <w:rPr>
          <w:rFonts w:ascii="Arial" w:hAnsi="Arial" w:cs="Arial"/>
          <w:sz w:val="24"/>
          <w:szCs w:val="24"/>
        </w:rPr>
        <w:t>Mendieta, J.J., 2021. Wi-Fi Customer Service Support of Faculty: A Qualitative Descriptive Design Study (Doctoral dissertation, Grand Canyon University).</w:t>
      </w:r>
    </w:p>
    <w:p>
      <w:pPr>
        <w:spacing w:line="360" w:lineRule="auto"/>
        <w:jc w:val="both"/>
        <w:rPr>
          <w:rFonts w:ascii="Arial" w:hAnsi="Arial" w:cs="Arial"/>
          <w:sz w:val="24"/>
          <w:szCs w:val="24"/>
        </w:rPr>
      </w:pPr>
      <w:r>
        <w:rPr>
          <w:rFonts w:ascii="Arial" w:hAnsi="Arial" w:cs="Arial"/>
          <w:sz w:val="24"/>
          <w:szCs w:val="24"/>
        </w:rPr>
        <w:t>Dewi, K.I.E., Bagiastuti, N.K., Sutama, I.K. and Sarja, N.L.A.K.Y., 2022. Implementation of eco-friendly behavior by front office employees to support green hotel at The Ritz-Carlton Bali. International Journal of Green Tourism Research and Applications, 4(2), pp.68-85.</w:t>
      </w:r>
    </w:p>
    <w:p>
      <w:pPr>
        <w:spacing w:line="360" w:lineRule="auto"/>
        <w:jc w:val="both"/>
        <w:rPr>
          <w:rFonts w:ascii="Arial" w:hAnsi="Arial" w:cs="Arial"/>
          <w:sz w:val="24"/>
          <w:szCs w:val="24"/>
        </w:rPr>
      </w:pPr>
      <w:r>
        <w:rPr>
          <w:rFonts w:ascii="Arial" w:hAnsi="Arial" w:cs="Arial"/>
          <w:sz w:val="24"/>
          <w:szCs w:val="24"/>
        </w:rPr>
        <w:t>Drossman, D.A., Chang, L., Deutsch, J.K., Ford, A.C., Halpert, A., Kroenke, K., Nurko, S., Ruddy, J., Snyder, J. and Sperber, A., 2021. A review of the evidence and recommendations on communication skills and the patient–provider relationship: a Rome foundation working team report. Gastroenterology, 161(5), pp.1670-1688.</w:t>
      </w:r>
    </w:p>
    <w:p>
      <w:pPr>
        <w:spacing w:line="360" w:lineRule="auto"/>
        <w:jc w:val="both"/>
        <w:rPr>
          <w:rFonts w:ascii="Arial" w:hAnsi="Arial" w:cs="Arial"/>
          <w:sz w:val="24"/>
          <w:szCs w:val="24"/>
        </w:rPr>
      </w:pPr>
      <w:r>
        <w:rPr>
          <w:rFonts w:ascii="Arial" w:hAnsi="Arial" w:cs="Arial"/>
          <w:sz w:val="24"/>
          <w:szCs w:val="24"/>
        </w:rPr>
        <w:t>Cuic Tankovic, A., Kapeš, J. and Benazić, D., 2023. Measuring the importance of communication skills in tourism. Economic research-Ekonomska istraživanja, 36(1), pp.460-479.</w:t>
      </w:r>
    </w:p>
    <w:p>
      <w:pPr>
        <w:spacing w:line="360" w:lineRule="auto"/>
        <w:jc w:val="both"/>
        <w:rPr>
          <w:rFonts w:ascii="Arial" w:hAnsi="Arial" w:cs="Arial"/>
          <w:sz w:val="24"/>
          <w:szCs w:val="24"/>
        </w:rPr>
      </w:pPr>
      <w:r>
        <w:rPr>
          <w:rFonts w:ascii="Arial" w:hAnsi="Arial" w:cs="Arial"/>
          <w:sz w:val="24"/>
          <w:szCs w:val="24"/>
        </w:rPr>
        <w:t>Barreto, N. and Mayya, S., 2022. SWOC Analysis of Marriott International-A Case Study. International Journal of Case Studies in Business, IT and Education (IJCSBE), 6(2), pp.877-889.</w:t>
      </w:r>
    </w:p>
    <w:p>
      <w:pPr>
        <w:spacing w:line="360" w:lineRule="auto"/>
        <w:jc w:val="both"/>
        <w:rPr>
          <w:rFonts w:ascii="Arial" w:hAnsi="Arial" w:cs="Arial"/>
          <w:sz w:val="24"/>
          <w:szCs w:val="24"/>
        </w:rPr>
      </w:pPr>
      <w:r>
        <w:rPr>
          <w:rFonts w:ascii="Arial" w:hAnsi="Arial" w:cs="Arial"/>
          <w:sz w:val="24"/>
          <w:szCs w:val="24"/>
        </w:rPr>
        <w:t>Catana, Ş.A. and Toma, S.G., 2021. Entrepreneurship in the hospitality industry. Case study: Marriott International. SEA-Practical Application of Science, (27), pp.221-225.</w:t>
      </w:r>
    </w:p>
    <w:p>
      <w:pPr>
        <w:spacing w:line="360" w:lineRule="auto"/>
        <w:jc w:val="both"/>
        <w:rPr>
          <w:rFonts w:ascii="Arial" w:hAnsi="Arial" w:cs="Arial"/>
          <w:sz w:val="24"/>
          <w:szCs w:val="24"/>
        </w:rPr>
      </w:pPr>
      <w:r>
        <w:rPr>
          <w:rFonts w:ascii="Arial" w:hAnsi="Arial" w:cs="Arial"/>
          <w:sz w:val="24"/>
          <w:szCs w:val="24"/>
        </w:rPr>
        <w:t>Araiza-Alba, P., Keane, T., Chen, W.S. and Kaufman, J., 2021. Immersive virtual reality as a tool to learn problem-solving skills. Computers &amp; Education, 164, p.104121.</w:t>
      </w:r>
    </w:p>
    <w:p>
      <w:pPr>
        <w:spacing w:line="360" w:lineRule="auto"/>
        <w:jc w:val="both"/>
        <w:rPr>
          <w:rFonts w:ascii="Arial" w:hAnsi="Arial" w:cs="Arial"/>
          <w:sz w:val="24"/>
          <w:szCs w:val="24"/>
        </w:rPr>
      </w:pPr>
      <w:r>
        <w:rPr>
          <w:rFonts w:ascii="Arial" w:hAnsi="Arial" w:cs="Arial"/>
          <w:sz w:val="24"/>
          <w:szCs w:val="24"/>
        </w:rPr>
        <w:t>Sari, Y.I., Utomo, D.H. and Astina, I.K., 2021. The Effect of Problem Based Learning on Problem Solving and Scientific Writing Skills. International Journal of Instruction, 14(2), pp.11-26.</w:t>
      </w:r>
    </w:p>
    <w:p>
      <w:pPr>
        <w:spacing w:line="360" w:lineRule="auto"/>
        <w:jc w:val="both"/>
        <w:rPr>
          <w:rFonts w:ascii="Arial" w:hAnsi="Arial" w:cs="Arial"/>
          <w:sz w:val="24"/>
          <w:szCs w:val="24"/>
        </w:rPr>
      </w:pPr>
      <w:r>
        <w:rPr>
          <w:rFonts w:ascii="Arial" w:hAnsi="Arial" w:cs="Arial"/>
          <w:sz w:val="24"/>
          <w:szCs w:val="24"/>
        </w:rPr>
        <w:t>Voegeli, C., 2021. A Case Study of Knowledge Management Practices at the Intercontinental Hotels’ Group. Available at SSRN 3819409.</w:t>
      </w:r>
    </w:p>
    <w:p>
      <w:pPr>
        <w:spacing w:line="360" w:lineRule="auto"/>
        <w:jc w:val="both"/>
        <w:rPr>
          <w:rFonts w:ascii="Arial" w:hAnsi="Arial" w:cs="Arial"/>
          <w:sz w:val="24"/>
          <w:szCs w:val="24"/>
        </w:rPr>
      </w:pPr>
      <w:r>
        <w:rPr>
          <w:rFonts w:ascii="Arial" w:hAnsi="Arial" w:cs="Arial"/>
          <w:sz w:val="24"/>
          <w:szCs w:val="24"/>
        </w:rPr>
        <w:t>Cenni, I. and Goethals, P., 2021. Business responses to positive reviews online: Face-work on TripAdvisor. Journal of Pragmatics, 180, pp.38-50.</w:t>
      </w:r>
      <w:r>
        <w:rPr>
          <w:rFonts w:ascii="Arial" w:hAnsi="Arial" w:cs="Arial"/>
          <w:sz w:val="24"/>
          <w:szCs w:val="24"/>
        </w:rPr>
        <w:br w:type="textWrapping"/>
      </w:r>
      <w:r>
        <w:rPr>
          <w:rFonts w:ascii="Arial" w:hAnsi="Arial" w:cs="Arial"/>
          <w:sz w:val="24"/>
          <w:szCs w:val="24"/>
        </w:rPr>
        <w:t>Koukpaki, S. and Adams, K., ORCID: https://orcid. org/0000-0002-3737-954X (2020) Enhancing professional growth and the learning and development function through reflective practices: an autoethnographic narrative approach. European Journal of Training and Development.</w:t>
      </w:r>
    </w:p>
    <w:sectPr>
      <w:footerReference r:id="rId5" w:type="default"/>
      <w:pgSz w:w="11906" w:h="1683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64254643"/>
      <w:docPartObj>
        <w:docPartGallery w:val="AutoText"/>
      </w:docPartObj>
    </w:sdtPr>
    <w:sdtContent>
      <w:p>
        <w:pPr>
          <w:pStyle w:val="5"/>
          <w:jc w:val="center"/>
        </w:pPr>
        <w:r>
          <w:fldChar w:fldCharType="begin"/>
        </w:r>
        <w:r>
          <w:instrText xml:space="preserve"> PAGE   \* MERGEFORMAT </w:instrText>
        </w:r>
        <w:r>
          <w:fldChar w:fldCharType="separate"/>
        </w:r>
        <w:r>
          <w:t>2</w:t>
        </w:r>
        <w:r>
          <w:fldChar w:fldCharType="end"/>
        </w:r>
      </w:p>
    </w:sdtContent>
  </w:sdt>
  <w:p>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3034"/>
    <w:rsid w:val="002E6AE9"/>
    <w:rsid w:val="0031345A"/>
    <w:rsid w:val="003168C1"/>
    <w:rsid w:val="005302E3"/>
    <w:rsid w:val="00596741"/>
    <w:rsid w:val="005D475C"/>
    <w:rsid w:val="00747175"/>
    <w:rsid w:val="00794832"/>
    <w:rsid w:val="0081136C"/>
    <w:rsid w:val="009C3034"/>
    <w:rsid w:val="00AA2740"/>
    <w:rsid w:val="00B10D80"/>
    <w:rsid w:val="00B449B8"/>
    <w:rsid w:val="00BE3E2C"/>
    <w:rsid w:val="00C12245"/>
    <w:rsid w:val="00D25C43"/>
    <w:rsid w:val="00E36304"/>
    <w:rsid w:val="216164E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IN" w:eastAsia="en-US" w:bidi="ar-SA"/>
    </w:rPr>
  </w:style>
  <w:style w:type="paragraph" w:styleId="2">
    <w:name w:val="heading 1"/>
    <w:basedOn w:val="1"/>
    <w:next w:val="1"/>
    <w:link w:val="11"/>
    <w:qFormat/>
    <w:uiPriority w:val="9"/>
    <w:pPr>
      <w:keepNext/>
      <w:keepLines/>
      <w:spacing w:before="240" w:after="0"/>
      <w:jc w:val="both"/>
      <w:outlineLvl w:val="0"/>
    </w:pPr>
    <w:rPr>
      <w:rFonts w:ascii="Times New Roman" w:hAnsi="Times New Roman" w:eastAsiaTheme="majorEastAsia" w:cstheme="majorBidi"/>
      <w:b/>
      <w:color w:val="000000" w:themeColor="text1"/>
      <w:sz w:val="24"/>
      <w:szCs w:val="32"/>
      <w14:textFill>
        <w14:solidFill>
          <w14:schemeClr w14:val="tx1"/>
        </w14:solidFill>
      </w14:textFill>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footer"/>
    <w:basedOn w:val="1"/>
    <w:link w:val="10"/>
    <w:unhideWhenUsed/>
    <w:uiPriority w:val="99"/>
    <w:pPr>
      <w:tabs>
        <w:tab w:val="center" w:pos="4513"/>
        <w:tab w:val="right" w:pos="9026"/>
      </w:tabs>
      <w:spacing w:after="0" w:line="240" w:lineRule="auto"/>
    </w:pPr>
  </w:style>
  <w:style w:type="paragraph" w:styleId="6">
    <w:name w:val="header"/>
    <w:basedOn w:val="1"/>
    <w:link w:val="9"/>
    <w:unhideWhenUsed/>
    <w:uiPriority w:val="99"/>
    <w:pPr>
      <w:tabs>
        <w:tab w:val="center" w:pos="4513"/>
        <w:tab w:val="right" w:pos="9026"/>
      </w:tabs>
      <w:spacing w:after="0" w:line="240" w:lineRule="auto"/>
    </w:pPr>
  </w:style>
  <w:style w:type="character" w:styleId="7">
    <w:name w:val="Hyperlink"/>
    <w:basedOn w:val="3"/>
    <w:unhideWhenUsed/>
    <w:uiPriority w:val="99"/>
    <w:rPr>
      <w:color w:val="0563C1" w:themeColor="hyperlink"/>
      <w:u w:val="single"/>
      <w14:textFill>
        <w14:solidFill>
          <w14:schemeClr w14:val="hlink"/>
        </w14:solidFill>
      </w14:textFill>
    </w:rPr>
  </w:style>
  <w:style w:type="paragraph" w:styleId="8">
    <w:name w:val="toc 1"/>
    <w:basedOn w:val="1"/>
    <w:next w:val="1"/>
    <w:unhideWhenUsed/>
    <w:uiPriority w:val="39"/>
    <w:pPr>
      <w:spacing w:after="100"/>
    </w:pPr>
  </w:style>
  <w:style w:type="character" w:customStyle="1" w:styleId="9">
    <w:name w:val="Header Char"/>
    <w:basedOn w:val="3"/>
    <w:link w:val="6"/>
    <w:uiPriority w:val="99"/>
  </w:style>
  <w:style w:type="character" w:customStyle="1" w:styleId="10">
    <w:name w:val="Footer Char"/>
    <w:basedOn w:val="3"/>
    <w:link w:val="5"/>
    <w:uiPriority w:val="99"/>
  </w:style>
  <w:style w:type="character" w:customStyle="1" w:styleId="11">
    <w:name w:val="Heading 1 Char"/>
    <w:basedOn w:val="3"/>
    <w:link w:val="2"/>
    <w:uiPriority w:val="9"/>
    <w:rPr>
      <w:rFonts w:ascii="Times New Roman" w:hAnsi="Times New Roman" w:eastAsiaTheme="majorEastAsia" w:cstheme="majorBidi"/>
      <w:b/>
      <w:color w:val="000000" w:themeColor="text1"/>
      <w:sz w:val="24"/>
      <w:szCs w:val="32"/>
      <w14:textFill>
        <w14:solidFill>
          <w14:schemeClr w14:val="tx1"/>
        </w14:solidFill>
      </w14:textFill>
    </w:rPr>
  </w:style>
  <w:style w:type="paragraph" w:customStyle="1" w:styleId="12">
    <w:name w:val="TOC Heading"/>
    <w:basedOn w:val="2"/>
    <w:next w:val="1"/>
    <w:unhideWhenUsed/>
    <w:qFormat/>
    <w:uiPriority w:val="39"/>
    <w:pPr>
      <w:jc w:val="left"/>
      <w:outlineLvl w:val="9"/>
    </w:pPr>
    <w:rPr>
      <w:rFonts w:asciiTheme="majorHAnsi" w:hAnsiTheme="majorHAnsi"/>
      <w:b w:val="0"/>
      <w:color w:val="2E75B6" w:themeColor="accent1" w:themeShade="BF"/>
      <w:sz w:val="32"/>
      <w:lang w:val="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9C348F-63C0-4323-9944-E150DDF3A356}">
  <ds:schemaRefs/>
</ds:datastoreItem>
</file>

<file path=docProps/app.xml><?xml version="1.0" encoding="utf-8"?>
<Properties xmlns="http://schemas.openxmlformats.org/officeDocument/2006/extended-properties" xmlns:vt="http://schemas.openxmlformats.org/officeDocument/2006/docPropsVTypes">
  <Template>Normal</Template>
  <Pages>13</Pages>
  <Words>2973</Words>
  <Characters>16949</Characters>
  <Lines>141</Lines>
  <Paragraphs>39</Paragraphs>
  <TotalTime>5</TotalTime>
  <ScaleCrop>false</ScaleCrop>
  <LinksUpToDate>false</LinksUpToDate>
  <CharactersWithSpaces>19883</CharactersWithSpaces>
  <Application>WPS Office_12.2.0.13431_F1E327BC-269C-435d-A152-05C5408002CA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2024-01-24T14:57:00Z</dcterms:created>
  <dc:creator>Panna Mukherjee</dc:creator>
  <cp:lastModifiedBy>i study</cp:lastModifiedBy>
  <dcterms:modified xsi:type="dcterms:W3CDTF">2024-01-29T14:39:41Z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f148a6a2-60df-4451-940f-252957755af9</vt:lpwstr>
  </property>
  <property fmtid="{D5CDD505-2E9C-101B-9397-08002B2CF9AE}" pid="3" name="KSOProductBuildVer">
    <vt:lpwstr>2057-12.2.0.13431</vt:lpwstr>
  </property>
  <property fmtid="{D5CDD505-2E9C-101B-9397-08002B2CF9AE}" pid="4" name="ICV">
    <vt:lpwstr>FA5496D6DF94413C825A43E99EEF7D58_12</vt:lpwstr>
  </property>
</Properties>
</file>