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i w:val="0"/>
          <w:smallCaps w:val="0"/>
          <w:strike w:val="0"/>
          <w:color w:val="000000"/>
          <w:sz w:val="96"/>
          <w:szCs w:val="96"/>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0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i w:val="0"/>
          <w:smallCaps w:val="0"/>
          <w:strike w:val="0"/>
          <w:color w:val="000000"/>
          <w:sz w:val="96"/>
          <w:szCs w:val="96"/>
          <w:u w:val="none"/>
          <w:shd w:fill="auto" w:val="clear"/>
          <w:vertAlign w:val="baseline"/>
        </w:rPr>
      </w:pPr>
      <w:r w:rsidDel="00000000" w:rsidR="00000000" w:rsidRPr="00000000">
        <w:rPr>
          <w:rtl w:val="0"/>
        </w:rPr>
      </w:r>
    </w:p>
    <w:p w:rsidR="00000000" w:rsidDel="00000000" w:rsidP="00000000" w:rsidRDefault="00000000" w:rsidRPr="00000000" w14:paraId="0000000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i w:val="0"/>
          <w:smallCaps w:val="0"/>
          <w:strike w:val="0"/>
          <w:color w:val="000000"/>
          <w:sz w:val="96"/>
          <w:szCs w:val="96"/>
          <w:u w:val="none"/>
          <w:shd w:fill="auto" w:val="clear"/>
          <w:vertAlign w:val="baseline"/>
        </w:rPr>
      </w:pPr>
      <w:r w:rsidDel="00000000" w:rsidR="00000000" w:rsidRPr="00000000">
        <w:rPr>
          <w:rtl w:val="0"/>
        </w:rPr>
      </w:r>
    </w:p>
    <w:p w:rsidR="00000000" w:rsidDel="00000000" w:rsidP="00000000" w:rsidRDefault="00000000" w:rsidRPr="00000000" w14:paraId="0000000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i w:val="1"/>
          <w:smallCaps w:val="0"/>
          <w:strike w:val="0"/>
          <w:color w:val="000000"/>
          <w:sz w:val="96"/>
          <w:szCs w:val="96"/>
          <w:highlight w:val="white"/>
          <w:u w:val="none"/>
          <w:vertAlign w:val="baseline"/>
        </w:rPr>
      </w:pPr>
      <w:r w:rsidDel="00000000" w:rsidR="00000000" w:rsidRPr="00000000">
        <w:rPr>
          <w:rFonts w:ascii="Times New Roman" w:cs="Times New Roman" w:eastAsia="Times New Roman" w:hAnsi="Times New Roman"/>
          <w:b w:val="1"/>
          <w:i w:val="1"/>
          <w:smallCaps w:val="0"/>
          <w:strike w:val="0"/>
          <w:color w:val="000000"/>
          <w:sz w:val="96"/>
          <w:szCs w:val="96"/>
          <w:highlight w:val="white"/>
          <w:u w:val="none"/>
          <w:vertAlign w:val="baseline"/>
          <w:rtl w:val="0"/>
        </w:rPr>
        <w:t xml:space="preserve">Principle in health and social care practice</w:t>
      </w:r>
    </w:p>
    <w:p w:rsidR="00000000" w:rsidDel="00000000" w:rsidP="00000000" w:rsidRDefault="00000000" w:rsidRPr="00000000" w14:paraId="0000000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i w:val="1"/>
          <w:sz w:val="96"/>
          <w:szCs w:val="96"/>
          <w:highlight w:val="white"/>
        </w:rPr>
      </w:pPr>
      <w:r w:rsidDel="00000000" w:rsidR="00000000" w:rsidRPr="00000000">
        <w:rPr>
          <w:b w:val="1"/>
          <w:i w:val="1"/>
          <w:sz w:val="96"/>
          <w:szCs w:val="96"/>
          <w:highlight w:val="white"/>
          <w:rtl w:val="0"/>
        </w:rPr>
        <w:t xml:space="preserve">BMHP5002_LON</w:t>
      </w:r>
    </w:p>
    <w:p w:rsidR="00000000" w:rsidDel="00000000" w:rsidP="00000000" w:rsidRDefault="00000000" w:rsidRPr="00000000" w14:paraId="0000000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i w:val="1"/>
          <w:sz w:val="96"/>
          <w:szCs w:val="96"/>
          <w:highlight w:val="white"/>
        </w:rPr>
      </w:pPr>
      <w:r w:rsidDel="00000000" w:rsidR="00000000" w:rsidRPr="00000000">
        <w:rPr>
          <w:b w:val="1"/>
          <w:i w:val="1"/>
          <w:sz w:val="96"/>
          <w:szCs w:val="96"/>
          <w:highlight w:val="white"/>
          <w:rtl w:val="0"/>
        </w:rPr>
        <w:t xml:space="preserve">Lecturer;Barbara Chinyani</w:t>
      </w:r>
    </w:p>
    <w:p w:rsidR="00000000" w:rsidDel="00000000" w:rsidP="00000000" w:rsidRDefault="00000000" w:rsidRPr="00000000" w14:paraId="0000000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i w:val="1"/>
          <w:sz w:val="96"/>
          <w:szCs w:val="96"/>
          <w:highlight w:val="white"/>
        </w:rPr>
      </w:pPr>
      <w:r w:rsidDel="00000000" w:rsidR="00000000" w:rsidRPr="00000000">
        <w:rPr>
          <w:b w:val="1"/>
          <w:i w:val="1"/>
          <w:sz w:val="96"/>
          <w:szCs w:val="96"/>
          <w:highlight w:val="white"/>
          <w:rtl w:val="0"/>
        </w:rPr>
        <w:t xml:space="preserve">Teacher;Adesewa Ajayi</w:t>
      </w:r>
    </w:p>
    <w:p w:rsidR="00000000" w:rsidDel="00000000" w:rsidP="00000000" w:rsidRDefault="00000000" w:rsidRPr="00000000" w14:paraId="0000000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i w:val="1"/>
          <w:sz w:val="96"/>
          <w:szCs w:val="96"/>
          <w:highlight w:val="white"/>
        </w:rPr>
      </w:pPr>
      <w:r w:rsidDel="00000000" w:rsidR="00000000" w:rsidRPr="00000000">
        <w:rPr>
          <w:b w:val="1"/>
          <w:i w:val="1"/>
          <w:sz w:val="96"/>
          <w:szCs w:val="96"/>
          <w:highlight w:val="white"/>
          <w:rtl w:val="0"/>
        </w:rPr>
        <w:t xml:space="preserve">Ionela Alexandrina Stan(1905365)</w:t>
      </w:r>
    </w:p>
    <w:p w:rsidR="00000000" w:rsidDel="00000000" w:rsidP="00000000" w:rsidRDefault="00000000" w:rsidRPr="00000000" w14:paraId="0000000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i w:val="1"/>
          <w:sz w:val="96"/>
          <w:szCs w:val="96"/>
          <w:highlight w:val="white"/>
        </w:rPr>
      </w:pPr>
      <w:r w:rsidDel="00000000" w:rsidR="00000000" w:rsidRPr="00000000">
        <w:rPr>
          <w:rtl w:val="0"/>
        </w:rPr>
      </w:r>
    </w:p>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0B">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432" w:right="0" w:hanging="432"/>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Fonts w:ascii="Calibri" w:cs="Calibri" w:eastAsia="Calibri" w:hAnsi="Calibri"/>
          <w:b w:val="0"/>
          <w:i w:val="0"/>
          <w:smallCaps w:val="0"/>
          <w:strike w:val="0"/>
          <w:color w:val="2e74b5"/>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DISCUSSION AND ANALYSIS</w:t>
              <w:tab/>
              <w:t xml:space="preserve">2</w:t>
            </w:r>
          </w:hyperlink>
          <w:r w:rsidDel="00000000" w:rsidR="00000000" w:rsidRPr="00000000">
            <w:rPr>
              <w:rtl w:val="0"/>
            </w:rPr>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tabs>
              <w:tab w:val="right" w:pos="9077"/>
            </w:tabs>
            <w:spacing w:after="0" w:before="0" w:line="360" w:lineRule="auto"/>
            <w:ind w:left="283"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Describe and analyse the underlying concept of person-centred care</w:t>
              <w:tab/>
              <w:t xml:space="preserve">2</w:t>
            </w:r>
          </w:hyperlink>
          <w:r w:rsidDel="00000000" w:rsidR="00000000" w:rsidRPr="00000000">
            <w:rPr>
              <w:rtl w:val="0"/>
            </w:rPr>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tabs>
              <w:tab w:val="right" w:pos="9077"/>
            </w:tabs>
            <w:spacing w:after="0" w:before="0" w:line="360" w:lineRule="auto"/>
            <w:ind w:left="283"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Discuss and analyse the theoretical underpinning of person-centred care</w:t>
              <w:tab/>
              <w:t xml:space="preserve">3</w:t>
            </w:r>
          </w:hyperlink>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tabs>
              <w:tab w:val="right" w:pos="9077"/>
            </w:tabs>
            <w:spacing w:after="0" w:before="0" w:line="360" w:lineRule="auto"/>
            <w:ind w:left="283"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Discuss and analyse the ethical underpinning of person-centred care including ethical principles, practices and policies in health and social care</w:t>
              <w:tab/>
              <w:t xml:space="preserve">5</w:t>
            </w:r>
          </w:hyperlink>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tabs>
              <w:tab w:val="right" w:pos="9077"/>
            </w:tabs>
            <w:spacing w:after="0" w:before="0" w:line="360" w:lineRule="auto"/>
            <w:ind w:left="283"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Discuss and analyse the main benefits and limitation of person-centred care using examples of dementia or cancer</w:t>
              <w:tab/>
              <w:t xml:space="preserve">6</w:t>
            </w:r>
          </w:hyperlink>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077"/>
            </w:tabs>
            <w:spacing w:after="0" w:before="0" w:line="360" w:lineRule="auto"/>
            <w:ind w:left="283"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Apply theoretical principles of person-centred care</w:t>
              <w:tab/>
              <w:t xml:space="preserve">6</w:t>
            </w:r>
          </w:hyperlink>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RECOMMENDATIONS</w:t>
              <w:tab/>
              <w:t xml:space="preserve">7</w:t>
            </w:r>
          </w:hyperlink>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8</w:t>
            </w:r>
          </w:hyperlink>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9</w:t>
            </w:r>
          </w:hyperlink>
          <w:r w:rsidDel="00000000" w:rsidR="00000000" w:rsidRPr="00000000">
            <w:rPr>
              <w:rtl w:val="0"/>
            </w:rPr>
          </w:r>
        </w:p>
        <w:p w:rsidR="00000000" w:rsidDel="00000000" w:rsidP="00000000" w:rsidRDefault="00000000" w:rsidRPr="00000000" w14:paraId="00000016">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7">
      <w:pPr>
        <w:jc w:val="center"/>
        <w:rPr>
          <w:b w:val="1"/>
          <w:sz w:val="72"/>
          <w:szCs w:val="72"/>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pStyle w:val="Heading1"/>
        <w:numPr>
          <w:ilvl w:val="0"/>
          <w:numId w:val="5"/>
        </w:numPr>
        <w:ind w:left="432" w:hanging="432"/>
        <w:rPr/>
      </w:pPr>
      <w:bookmarkStart w:colFirst="0" w:colLast="0" w:name="_heading=h.gjdgxs" w:id="0"/>
      <w:bookmarkEnd w:id="0"/>
      <w:r w:rsidDel="00000000" w:rsidR="00000000" w:rsidRPr="00000000">
        <w:br w:type="page"/>
      </w:r>
      <w:r w:rsidDel="00000000" w:rsidR="00000000" w:rsidRPr="00000000">
        <w:rPr>
          <w:rtl w:val="0"/>
        </w:rPr>
        <w:t xml:space="preserve">INTRODUCTION</w:t>
      </w:r>
    </w:p>
    <w:p w:rsidR="00000000" w:rsidDel="00000000" w:rsidP="00000000" w:rsidRDefault="00000000" w:rsidRPr="00000000" w14:paraId="0000001A">
      <w:pPr>
        <w:ind w:firstLine="432"/>
        <w:rPr>
          <w:highlight w:val="white"/>
        </w:rPr>
      </w:pPr>
      <w:r w:rsidDel="00000000" w:rsidR="00000000" w:rsidRPr="00000000">
        <w:rPr>
          <w:rtl w:val="0"/>
        </w:rPr>
        <w:t xml:space="preserve">The principles of care depend on the suitable idea of human rights as these principles depict the suitable care in a way by representing the health and social care that should be effective towards the suitable care. In this context, a care worker should treat an individual in an effective way which would like to be treated and also work with the best interest of individuals. Along with this, care workers also get to know that their customers must have empathy with them and their aim is to enhance the overall quality of their client </w:t>
      </w:r>
      <w:r w:rsidDel="00000000" w:rsidR="00000000" w:rsidRPr="00000000">
        <w:rPr>
          <w:highlight w:val="white"/>
          <w:rtl w:val="0"/>
        </w:rPr>
        <w:t xml:space="preserve">(Scanlan and et. al., 2019)</w:t>
      </w:r>
      <w:r w:rsidDel="00000000" w:rsidR="00000000" w:rsidRPr="00000000">
        <w:rPr>
          <w:rtl w:val="0"/>
        </w:rPr>
        <w:t xml:space="preserve">. In this context, the common core principles tend to effectively support better mental health and prosperity for the adult and social care which is based on work and suitable skills which are being published by skills for care. For this, the services which are being used by the user to follow the opinion of the patient to eliminate the risk and other social problems and also leads to promote awareness of suitable disease by providing proper care and treatment in order to maintain confidentiality of service users in health and social care</w:t>
      </w:r>
      <w:r w:rsidDel="00000000" w:rsidR="00000000" w:rsidRPr="00000000">
        <w:rPr>
          <w:highlight w:val="white"/>
          <w:rtl w:val="0"/>
        </w:rPr>
        <w:t xml:space="preserve"> (Wiggins and Wilbanks, 2019)</w:t>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1B">
      <w:pPr>
        <w:pStyle w:val="Heading1"/>
        <w:numPr>
          <w:ilvl w:val="0"/>
          <w:numId w:val="5"/>
        </w:numPr>
        <w:ind w:left="432" w:hanging="432"/>
        <w:rPr/>
      </w:pPr>
      <w:bookmarkStart w:colFirst="0" w:colLast="0" w:name="_heading=h.30j0zll" w:id="1"/>
      <w:bookmarkEnd w:id="1"/>
      <w:r w:rsidDel="00000000" w:rsidR="00000000" w:rsidRPr="00000000">
        <w:rPr>
          <w:rtl w:val="0"/>
        </w:rPr>
        <w:t xml:space="preserve">DISCUSSION AND ANALYSIS</w:t>
      </w:r>
    </w:p>
    <w:p w:rsidR="00000000" w:rsidDel="00000000" w:rsidP="00000000" w:rsidRDefault="00000000" w:rsidRPr="00000000" w14:paraId="0000001C">
      <w:pPr>
        <w:pStyle w:val="Heading2"/>
        <w:numPr>
          <w:ilvl w:val="1"/>
          <w:numId w:val="5"/>
        </w:numPr>
        <w:ind w:left="576" w:hanging="576"/>
        <w:rPr/>
      </w:pPr>
      <w:bookmarkStart w:colFirst="0" w:colLast="0" w:name="_heading=h.1fob9te" w:id="2"/>
      <w:bookmarkEnd w:id="2"/>
      <w:r w:rsidDel="00000000" w:rsidR="00000000" w:rsidRPr="00000000">
        <w:rPr>
          <w:rtl w:val="0"/>
        </w:rPr>
        <w:t xml:space="preserve">Describe and analyse the underlying concept of person-centred care</w:t>
      </w:r>
    </w:p>
    <w:p w:rsidR="00000000" w:rsidDel="00000000" w:rsidP="00000000" w:rsidRDefault="00000000" w:rsidRPr="00000000" w14:paraId="0000001D">
      <w:pPr>
        <w:ind w:firstLine="360"/>
        <w:rPr/>
      </w:pPr>
      <w:r w:rsidDel="00000000" w:rsidR="00000000" w:rsidRPr="00000000">
        <w:rPr>
          <w:rtl w:val="0"/>
        </w:rPr>
        <w:t xml:space="preserve">Person centred care is an effective way of thinking and doing things effectively in order to see people that they are using health and social services in an equal manner undertaking the suitable planning, monitoring and developing care to make sure that it effectively meets with the needs. It depicts putting people and their families at the centre for taking decisions and also seeing them as working alongside professionals in order to get the best outcome</w:t>
      </w:r>
      <w:r w:rsidDel="00000000" w:rsidR="00000000" w:rsidRPr="00000000">
        <w:rPr>
          <w:highlight w:val="white"/>
          <w:rtl w:val="0"/>
        </w:rPr>
        <w:t xml:space="preserve"> (Li and Palanisamy, 2018)</w:t>
      </w:r>
      <w:r w:rsidDel="00000000" w:rsidR="00000000" w:rsidRPr="00000000">
        <w:rPr>
          <w:rtl w:val="0"/>
        </w:rPr>
        <w:t xml:space="preserve">. Person-centred care is not about giving people which they want or offering information to them. It is about considering the needs, values, desires, family situations, social circumstances and lifestyle of people. They also need to be compassionate regarding the thinking and prominent things from the viewpoint of a person as it tends to undertake the effective involvement of working with people in order to find the best way to offer them best care. There are various aspects of person-centred care that include: </w:t>
      </w:r>
    </w:p>
    <w:p w:rsidR="00000000" w:rsidDel="00000000" w:rsidP="00000000" w:rsidRDefault="00000000" w:rsidRPr="00000000" w14:paraId="0000001E">
      <w:pPr>
        <w:numPr>
          <w:ilvl w:val="0"/>
          <w:numId w:val="1"/>
        </w:numPr>
        <w:ind w:left="720" w:hanging="360"/>
        <w:rPr/>
      </w:pPr>
      <w:r w:rsidDel="00000000" w:rsidR="00000000" w:rsidRPr="00000000">
        <w:rPr>
          <w:rtl w:val="0"/>
        </w:rPr>
        <w:t xml:space="preserve">Respecting the values of people and putting them at the centre of care. </w:t>
      </w:r>
    </w:p>
    <w:p w:rsidR="00000000" w:rsidDel="00000000" w:rsidP="00000000" w:rsidRDefault="00000000" w:rsidRPr="00000000" w14:paraId="0000001F">
      <w:pPr>
        <w:numPr>
          <w:ilvl w:val="0"/>
          <w:numId w:val="1"/>
        </w:numPr>
        <w:ind w:left="720" w:hanging="360"/>
        <w:rPr/>
      </w:pPr>
      <w:r w:rsidDel="00000000" w:rsidR="00000000" w:rsidRPr="00000000">
        <w:rPr>
          <w:rtl w:val="0"/>
        </w:rPr>
        <w:t xml:space="preserve">Taking things into account regarding the preferences and needs that should be expressed. </w:t>
      </w:r>
    </w:p>
    <w:p w:rsidR="00000000" w:rsidDel="00000000" w:rsidP="00000000" w:rsidRDefault="00000000" w:rsidRPr="00000000" w14:paraId="00000020">
      <w:pPr>
        <w:numPr>
          <w:ilvl w:val="0"/>
          <w:numId w:val="1"/>
        </w:numPr>
        <w:ind w:left="720" w:hanging="360"/>
        <w:rPr/>
      </w:pPr>
      <w:r w:rsidDel="00000000" w:rsidR="00000000" w:rsidRPr="00000000">
        <w:rPr>
          <w:rtl w:val="0"/>
        </w:rPr>
        <w:t xml:space="preserve">Working together in order to make sure that there is good communication, education and information. </w:t>
      </w:r>
    </w:p>
    <w:p w:rsidR="00000000" w:rsidDel="00000000" w:rsidP="00000000" w:rsidRDefault="00000000" w:rsidRPr="00000000" w14:paraId="00000021">
      <w:pPr>
        <w:numPr>
          <w:ilvl w:val="0"/>
          <w:numId w:val="1"/>
        </w:numPr>
        <w:ind w:left="720" w:hanging="360"/>
        <w:rPr/>
      </w:pPr>
      <w:r w:rsidDel="00000000" w:rsidR="00000000" w:rsidRPr="00000000">
        <w:rPr>
          <w:rtl w:val="0"/>
        </w:rPr>
        <w:t xml:space="preserve">Ensure that people are physically safe and comfortable. </w:t>
      </w:r>
    </w:p>
    <w:p w:rsidR="00000000" w:rsidDel="00000000" w:rsidP="00000000" w:rsidRDefault="00000000" w:rsidRPr="00000000" w14:paraId="00000022">
      <w:pPr>
        <w:numPr>
          <w:ilvl w:val="0"/>
          <w:numId w:val="1"/>
        </w:numPr>
        <w:ind w:left="720" w:hanging="360"/>
        <w:rPr/>
      </w:pPr>
      <w:r w:rsidDel="00000000" w:rsidR="00000000" w:rsidRPr="00000000">
        <w:rPr>
          <w:rtl w:val="0"/>
        </w:rPr>
        <w:t xml:space="preserve">Make sure that there is continuity among the services and also have access to suitable care when it is needed. </w:t>
      </w:r>
    </w:p>
    <w:p w:rsidR="00000000" w:rsidDel="00000000" w:rsidP="00000000" w:rsidRDefault="00000000" w:rsidRPr="00000000" w14:paraId="00000023">
      <w:pPr>
        <w:ind w:firstLine="360"/>
        <w:rPr/>
      </w:pPr>
      <w:r w:rsidDel="00000000" w:rsidR="00000000" w:rsidRPr="00000000">
        <w:rPr>
          <w:rtl w:val="0"/>
        </w:rPr>
        <w:t xml:space="preserve">Person centred care is important and also at the high priority as by this people are effectively involved in order to have effective care and also being recognised as the key component of developing high quality healthcare. For this, there is much work that needs to be done in order to help people and offer more person centred health and social services which become the more priority over the past decade. </w:t>
      </w:r>
    </w:p>
    <w:p w:rsidR="00000000" w:rsidDel="00000000" w:rsidP="00000000" w:rsidRDefault="00000000" w:rsidRPr="00000000" w14:paraId="00000024">
      <w:pPr>
        <w:ind w:firstLine="360"/>
        <w:rPr/>
      </w:pPr>
      <w:r w:rsidDel="00000000" w:rsidR="00000000" w:rsidRPr="00000000">
        <w:rPr>
          <w:rtl w:val="0"/>
        </w:rPr>
        <w:t xml:space="preserve">It happens when it is hoped that putting people at the centre of care tends to enhance their overall quality of availability, help people in order to get suitable care when they need it and also be more active in order to look after themselves. Person centred care tends to enhance quality that leads to a big impact on the quality of care by enhancing the overall experience which people have for the care and also help them in order to feel more satisfied</w:t>
      </w:r>
      <w:r w:rsidDel="00000000" w:rsidR="00000000" w:rsidRPr="00000000">
        <w:rPr>
          <w:highlight w:val="white"/>
          <w:rtl w:val="0"/>
        </w:rPr>
        <w:t xml:space="preserve"> (Brodowska, Nowak and Śmigielski, 2018)</w:t>
      </w:r>
      <w:r w:rsidDel="00000000" w:rsidR="00000000" w:rsidRPr="00000000">
        <w:rPr>
          <w:rtl w:val="0"/>
        </w:rPr>
        <w:t xml:space="preserve">. They also tend to make people more encouraged in order to lead healthier lifestyles like eating healthy and exercising. Offering proper care in the more person centred way tends to improve the outcomes for professionals by reviewing for the suitable studies about professionals in order to deliver person-centred care in the nursing homes with the approach of improving job satisfaction. For this, the prominent principles of person-centred care can be more important for affecting outcomes like: </w:t>
      </w:r>
    </w:p>
    <w:p w:rsidR="00000000" w:rsidDel="00000000" w:rsidP="00000000" w:rsidRDefault="00000000" w:rsidRPr="00000000" w14:paraId="00000025">
      <w:pPr>
        <w:numPr>
          <w:ilvl w:val="0"/>
          <w:numId w:val="2"/>
        </w:numPr>
        <w:ind w:left="720" w:hanging="360"/>
        <w:rPr/>
      </w:pPr>
      <w:r w:rsidDel="00000000" w:rsidR="00000000" w:rsidRPr="00000000">
        <w:rPr>
          <w:rtl w:val="0"/>
        </w:rPr>
        <w:t xml:space="preserve">Getting things known that their patients effectively recognise their individuality. </w:t>
      </w:r>
    </w:p>
    <w:p w:rsidR="00000000" w:rsidDel="00000000" w:rsidP="00000000" w:rsidRDefault="00000000" w:rsidRPr="00000000" w14:paraId="00000026">
      <w:pPr>
        <w:numPr>
          <w:ilvl w:val="0"/>
          <w:numId w:val="2"/>
        </w:numPr>
        <w:ind w:left="720" w:hanging="360"/>
        <w:rPr/>
      </w:pPr>
      <w:r w:rsidDel="00000000" w:rsidR="00000000" w:rsidRPr="00000000">
        <w:rPr>
          <w:rtl w:val="0"/>
        </w:rPr>
        <w:t xml:space="preserve">Seeing their patients as an expert regarding their own health and care. </w:t>
      </w:r>
    </w:p>
    <w:p w:rsidR="00000000" w:rsidDel="00000000" w:rsidP="00000000" w:rsidRDefault="00000000" w:rsidRPr="00000000" w14:paraId="00000027">
      <w:pPr>
        <w:numPr>
          <w:ilvl w:val="0"/>
          <w:numId w:val="2"/>
        </w:numPr>
        <w:ind w:left="720" w:hanging="360"/>
        <w:rPr/>
      </w:pPr>
      <w:r w:rsidDel="00000000" w:rsidR="00000000" w:rsidRPr="00000000">
        <w:rPr>
          <w:rtl w:val="0"/>
        </w:rPr>
        <w:t xml:space="preserve">Sharing power and responsibility and taking a holistic approach to assess the prominent needs of people and offering suitable care. </w:t>
      </w:r>
    </w:p>
    <w:p w:rsidR="00000000" w:rsidDel="00000000" w:rsidP="00000000" w:rsidRDefault="00000000" w:rsidRPr="00000000" w14:paraId="00000028">
      <w:pPr>
        <w:numPr>
          <w:ilvl w:val="0"/>
          <w:numId w:val="2"/>
        </w:numPr>
        <w:ind w:left="720" w:hanging="360"/>
        <w:rPr/>
      </w:pPr>
      <w:r w:rsidDel="00000000" w:rsidR="00000000" w:rsidRPr="00000000">
        <w:rPr>
          <w:rtl w:val="0"/>
        </w:rPr>
        <w:t xml:space="preserve">Make sure that their services are accessible, flexible and easy to navigate. </w:t>
      </w:r>
    </w:p>
    <w:p w:rsidR="00000000" w:rsidDel="00000000" w:rsidP="00000000" w:rsidRDefault="00000000" w:rsidRPr="00000000" w14:paraId="00000029">
      <w:pPr>
        <w:numPr>
          <w:ilvl w:val="0"/>
          <w:numId w:val="2"/>
        </w:numPr>
        <w:ind w:left="720" w:hanging="360"/>
        <w:rPr/>
      </w:pPr>
      <w:r w:rsidDel="00000000" w:rsidR="00000000" w:rsidRPr="00000000">
        <w:rPr>
          <w:rtl w:val="0"/>
        </w:rPr>
        <w:t xml:space="preserve">Ensure that the cultural, physical and psychosocial environment of health services effectively support person-centred care. </w:t>
      </w:r>
    </w:p>
    <w:p w:rsidR="00000000" w:rsidDel="00000000" w:rsidP="00000000" w:rsidRDefault="00000000" w:rsidRPr="00000000" w14:paraId="0000002A">
      <w:pPr>
        <w:numPr>
          <w:ilvl w:val="0"/>
          <w:numId w:val="2"/>
        </w:numPr>
        <w:ind w:left="720" w:hanging="360"/>
        <w:rPr/>
      </w:pPr>
      <w:r w:rsidDel="00000000" w:rsidR="00000000" w:rsidRPr="00000000">
        <w:rPr>
          <w:rtl w:val="0"/>
        </w:rPr>
        <w:t xml:space="preserve">Make sure that staff are more supportive, well trained in communication and also strive to put people at the centre of care. </w:t>
      </w:r>
    </w:p>
    <w:p w:rsidR="00000000" w:rsidDel="00000000" w:rsidP="00000000" w:rsidRDefault="00000000" w:rsidRPr="00000000" w14:paraId="0000002B">
      <w:pPr>
        <w:pStyle w:val="Heading2"/>
        <w:numPr>
          <w:ilvl w:val="1"/>
          <w:numId w:val="5"/>
        </w:numPr>
        <w:ind w:left="576" w:hanging="576"/>
        <w:rPr/>
      </w:pPr>
      <w:bookmarkStart w:colFirst="0" w:colLast="0" w:name="_heading=h.3znysh7" w:id="3"/>
      <w:bookmarkEnd w:id="3"/>
      <w:r w:rsidDel="00000000" w:rsidR="00000000" w:rsidRPr="00000000">
        <w:rPr>
          <w:rtl w:val="0"/>
        </w:rPr>
        <w:t xml:space="preserve">Discuss and analyse the theoretical underpinning of person-centred care</w:t>
      </w:r>
    </w:p>
    <w:p w:rsidR="00000000" w:rsidDel="00000000" w:rsidP="00000000" w:rsidRDefault="00000000" w:rsidRPr="00000000" w14:paraId="0000002C">
      <w:pPr>
        <w:ind w:firstLine="576"/>
        <w:rPr/>
      </w:pPr>
      <w:r w:rsidDel="00000000" w:rsidR="00000000" w:rsidRPr="00000000">
        <w:rPr>
          <w:rtl w:val="0"/>
        </w:rPr>
        <w:t xml:space="preserve">Person-centred care tends to undertake the suitable knowledge of an individual who tends to involve them with effective care and suitability of family and friends in order to help regarding the assessment of their own needs and plan of their care. It is just opposite to the task focused approach where they effectively use Maslow’s hierarchy of needs in order to prioritise their physical tasks over social care. The person-centred care is in humanistic psychotherapy in order to develop the view of childhood which is based on the prominent interactions with important aspects. It depicts that if we are loved, respected and valued then it depicts the unconditional positive regard</w:t>
      </w:r>
      <w:r w:rsidDel="00000000" w:rsidR="00000000" w:rsidRPr="00000000">
        <w:rPr>
          <w:highlight w:val="white"/>
          <w:rtl w:val="0"/>
        </w:rPr>
        <w:t xml:space="preserve"> (D’Agata and et. al., 2018)</w:t>
      </w:r>
      <w:r w:rsidDel="00000000" w:rsidR="00000000" w:rsidRPr="00000000">
        <w:rPr>
          <w:rtl w:val="0"/>
        </w:rPr>
        <w:t xml:space="preserve">. In Nursing, the person-centred care is the central to the nursing practice and also tends to develop healthy relationships with nurses with the suitable service user which are fundamental to the overall experience of the care of individuals. </w:t>
      </w:r>
    </w:p>
    <w:p w:rsidR="00000000" w:rsidDel="00000000" w:rsidP="00000000" w:rsidRDefault="00000000" w:rsidRPr="00000000" w14:paraId="0000002D">
      <w:pPr>
        <w:ind w:firstLine="576"/>
        <w:rPr/>
      </w:pPr>
      <w:r w:rsidDel="00000000" w:rsidR="00000000" w:rsidRPr="00000000">
        <w:rPr>
          <w:rtl w:val="0"/>
        </w:rPr>
        <w:t xml:space="preserve">Moreover, the role of service use is with the effective partnership instead of passive receiver of care. For this, the person-centred relationship tends to promote self-esteem and self-efficacy in order to achieve prominent goals of an individual. For this, the suitable framework depicts the way of operationalizing a person centred in practice and also recognises the suitable level of principle. It also depicts the idea of person centred which is well understood and also translating the effective understanding into everyday practice which remain as the challenge. For this, the concerning framework enhances the recognition of suitable challenges which are being associated with implementation of person centred care and practice for team who are working with complex organisational systems</w:t>
      </w:r>
      <w:r w:rsidDel="00000000" w:rsidR="00000000" w:rsidRPr="00000000">
        <w:rPr>
          <w:highlight w:val="white"/>
          <w:rtl w:val="0"/>
        </w:rPr>
        <w:t xml:space="preserve"> (Sittig, McGowan and Iyengar, 2020)</w:t>
      </w:r>
      <w:r w:rsidDel="00000000" w:rsidR="00000000" w:rsidRPr="00000000">
        <w:rPr>
          <w:rtl w:val="0"/>
        </w:rPr>
        <w:t xml:space="preserve">. </w:t>
      </w:r>
    </w:p>
    <w:p w:rsidR="00000000" w:rsidDel="00000000" w:rsidP="00000000" w:rsidRDefault="00000000" w:rsidRPr="00000000" w14:paraId="0000002E">
      <w:pPr>
        <w:ind w:firstLine="576"/>
        <w:rPr/>
      </w:pPr>
      <w:r w:rsidDel="00000000" w:rsidR="00000000" w:rsidRPr="00000000">
        <w:rPr>
          <w:rtl w:val="0"/>
        </w:rPr>
        <w:t xml:space="preserve">Undertaking the person centred care is quite different as it is useful in order to confirm the suitable findings that focus over the suitable value of developing connections with suitable care and relationships. It undertakes the effective fundamentals of human needs that have been recognised as an approach to care for people who live with dementia. Moreover, the suitable objective of this concept leads to clarity from the inductive viewpoint of various stakeholders’ like patients, informal carers and assistant nurses. For this, the overall study aimed to underpin the person centred care and suitable concepts for seeking the prominent categories that lead to fit the theoretical description. Hence, the ultimate goal is to give concrete and practice driven instances to give nurses suitable input into person-centred behaviour</w:t>
      </w:r>
      <w:r w:rsidDel="00000000" w:rsidR="00000000" w:rsidRPr="00000000">
        <w:rPr>
          <w:highlight w:val="white"/>
          <w:rtl w:val="0"/>
        </w:rPr>
        <w:t xml:space="preserve"> (Young, Zubrzycki and Plath, 2020)</w:t>
      </w:r>
      <w:r w:rsidDel="00000000" w:rsidR="00000000" w:rsidRPr="00000000">
        <w:rPr>
          <w:rtl w:val="0"/>
        </w:rPr>
        <w:t xml:space="preserve">. In this context, nurses and care organisations tend to gain interest for the person centred care and also leads to recognise the person-centeredness into their daily practice and also leads to informed concrete professional behaviour. It leads to depict the suitable concept and conversations in order to compare with prominent evidence and also specifics for the concepts which could be described inductively. </w:t>
      </w:r>
    </w:p>
    <w:p w:rsidR="00000000" w:rsidDel="00000000" w:rsidP="00000000" w:rsidRDefault="00000000" w:rsidRPr="00000000" w14:paraId="0000002F">
      <w:pPr>
        <w:pStyle w:val="Heading2"/>
        <w:numPr>
          <w:ilvl w:val="1"/>
          <w:numId w:val="5"/>
        </w:numPr>
        <w:ind w:left="576" w:hanging="576"/>
        <w:rPr/>
      </w:pPr>
      <w:bookmarkStart w:colFirst="0" w:colLast="0" w:name="_heading=h.2et92p0" w:id="4"/>
      <w:bookmarkEnd w:id="4"/>
      <w:r w:rsidDel="00000000" w:rsidR="00000000" w:rsidRPr="00000000">
        <w:rPr>
          <w:rtl w:val="0"/>
        </w:rPr>
        <w:t xml:space="preserve">Discuss and analyse the ethical underpinning of person-centred care including ethical principles, practices and policies in health and social care</w:t>
      </w:r>
    </w:p>
    <w:p w:rsidR="00000000" w:rsidDel="00000000" w:rsidP="00000000" w:rsidRDefault="00000000" w:rsidRPr="00000000" w14:paraId="00000030">
      <w:pPr>
        <w:ind w:firstLine="576"/>
        <w:rPr/>
      </w:pPr>
      <w:r w:rsidDel="00000000" w:rsidR="00000000" w:rsidRPr="00000000">
        <w:rPr>
          <w:rtl w:val="0"/>
        </w:rPr>
        <w:t xml:space="preserve">The person-centred care is the place where the patients are treated with love, care, patience, dignity and respect and also involved in their health related decision so that person is well aware about its treatment and their consequences. It is very important in today's era to include the participation of the person who is treated into their medical decision and treatment in the guidance of the medical nurses and doctors. This person centred care is underpinned with the human and ethical rights to safeguard the treatment of the patients. </w:t>
      </w:r>
    </w:p>
    <w:p w:rsidR="00000000" w:rsidDel="00000000" w:rsidP="00000000" w:rsidRDefault="00000000" w:rsidRPr="00000000" w14:paraId="00000031">
      <w:pPr>
        <w:rPr>
          <w:b w:val="1"/>
          <w:i w:val="1"/>
        </w:rPr>
      </w:pPr>
      <w:r w:rsidDel="00000000" w:rsidR="00000000" w:rsidRPr="00000000">
        <w:rPr>
          <w:rtl w:val="0"/>
        </w:rPr>
        <w:t xml:space="preserve">Ethical principles of the person-centred care are:</w:t>
      </w:r>
      <w:r w:rsidDel="00000000" w:rsidR="00000000" w:rsidRPr="00000000">
        <w:rPr>
          <w:rtl w:val="0"/>
        </w:rPr>
      </w:r>
    </w:p>
    <w:p w:rsidR="00000000" w:rsidDel="00000000" w:rsidP="00000000" w:rsidRDefault="00000000" w:rsidRPr="00000000" w14:paraId="00000032">
      <w:pPr>
        <w:numPr>
          <w:ilvl w:val="0"/>
          <w:numId w:val="6"/>
        </w:numPr>
        <w:ind w:left="720" w:hanging="360"/>
        <w:rPr>
          <w:b w:val="1"/>
          <w:i w:val="1"/>
        </w:rPr>
      </w:pPr>
      <w:r w:rsidDel="00000000" w:rsidR="00000000" w:rsidRPr="00000000">
        <w:rPr>
          <w:b w:val="1"/>
          <w:i w:val="1"/>
          <w:rtl w:val="0"/>
        </w:rPr>
        <w:t xml:space="preserve">Treat patients with respect, dignity and care:</w:t>
      </w:r>
      <w:r w:rsidDel="00000000" w:rsidR="00000000" w:rsidRPr="00000000">
        <w:rPr>
          <w:rtl w:val="0"/>
        </w:rPr>
        <w:t xml:space="preserve"> In this principal ensures that in the person care centre the patients are always treated with utmost dignity without any disrespect or misbehaviour. The medical professionals are always required to follow the ethical principles in the person centred care so that they do not freak out the patients or make them nervous.</w:t>
      </w:r>
      <w:r w:rsidDel="00000000" w:rsidR="00000000" w:rsidRPr="00000000">
        <w:rPr>
          <w:rtl w:val="0"/>
        </w:rPr>
      </w:r>
    </w:p>
    <w:p w:rsidR="00000000" w:rsidDel="00000000" w:rsidP="00000000" w:rsidRDefault="00000000" w:rsidRPr="00000000" w14:paraId="00000033">
      <w:pPr>
        <w:numPr>
          <w:ilvl w:val="0"/>
          <w:numId w:val="6"/>
        </w:numPr>
        <w:ind w:left="720" w:hanging="360"/>
        <w:rPr>
          <w:b w:val="1"/>
          <w:i w:val="1"/>
        </w:rPr>
      </w:pPr>
      <w:r w:rsidDel="00000000" w:rsidR="00000000" w:rsidRPr="00000000">
        <w:rPr>
          <w:b w:val="1"/>
          <w:i w:val="1"/>
          <w:rtl w:val="0"/>
        </w:rPr>
        <w:t xml:space="preserve">Provide personalized care, support and treatment: </w:t>
      </w:r>
      <w:r w:rsidDel="00000000" w:rsidR="00000000" w:rsidRPr="00000000">
        <w:rPr>
          <w:rtl w:val="0"/>
        </w:rPr>
        <w:t xml:space="preserve">It is a right of a patient that he/ she must have personalized treatment according to their diseases and problems with personalized nurses for support</w:t>
      </w:r>
      <w:r w:rsidDel="00000000" w:rsidR="00000000" w:rsidRPr="00000000">
        <w:rPr>
          <w:highlight w:val="white"/>
          <w:rtl w:val="0"/>
        </w:rPr>
        <w:t xml:space="preserve"> (Munro, 2018)</w:t>
      </w:r>
      <w:r w:rsidDel="00000000" w:rsidR="00000000" w:rsidRPr="00000000">
        <w:rPr>
          <w:rtl w:val="0"/>
        </w:rPr>
        <w:t xml:space="preserve">. It is a duty of the medical professional working in the health care centre to provide their patients with love and safe and secure treatment. As the personalized treatment will only make the patients recover effectively with standard procedure of treatment. </w:t>
      </w:r>
      <w:r w:rsidDel="00000000" w:rsidR="00000000" w:rsidRPr="00000000">
        <w:rPr>
          <w:rtl w:val="0"/>
        </w:rPr>
      </w:r>
    </w:p>
    <w:p w:rsidR="00000000" w:rsidDel="00000000" w:rsidP="00000000" w:rsidRDefault="00000000" w:rsidRPr="00000000" w14:paraId="00000034">
      <w:pPr>
        <w:rPr/>
      </w:pPr>
      <w:r w:rsidDel="00000000" w:rsidR="00000000" w:rsidRPr="00000000">
        <w:rPr>
          <w:b w:val="1"/>
          <w:i w:val="1"/>
          <w:rtl w:val="0"/>
        </w:rPr>
        <w:t xml:space="preserve">Ethical policies and practices in health and social care </w:t>
      </w:r>
      <w:r w:rsidDel="00000000" w:rsidR="00000000" w:rsidRPr="00000000">
        <w:rPr>
          <w:rtl w:val="0"/>
        </w:rPr>
      </w:r>
    </w:p>
    <w:p w:rsidR="00000000" w:rsidDel="00000000" w:rsidP="00000000" w:rsidRDefault="00000000" w:rsidRPr="00000000" w14:paraId="00000035">
      <w:pPr>
        <w:rPr/>
      </w:pPr>
      <w:r w:rsidDel="00000000" w:rsidR="00000000" w:rsidRPr="00000000">
        <w:rPr>
          <w:rtl w:val="0"/>
        </w:rPr>
        <w:tab/>
        <w:t xml:space="preserve">The health care practitioners and professionals adhere with the ethical policy and practices regarding the health and social care that are required to be underpinned in the person centred care for their wellbeing and safety. </w:t>
      </w:r>
    </w:p>
    <w:p w:rsidR="00000000" w:rsidDel="00000000" w:rsidP="00000000" w:rsidRDefault="00000000" w:rsidRPr="00000000" w14:paraId="00000036">
      <w:pPr>
        <w:rPr>
          <w:b w:val="1"/>
          <w:i w:val="1"/>
        </w:rPr>
      </w:pPr>
      <w:r w:rsidDel="00000000" w:rsidR="00000000" w:rsidRPr="00000000">
        <w:rPr>
          <w:rtl w:val="0"/>
        </w:rPr>
        <w:t xml:space="preserve">The various ethical practices and policies of health and social care are discussed below: </w:t>
      </w:r>
      <w:r w:rsidDel="00000000" w:rsidR="00000000" w:rsidRPr="00000000">
        <w:rPr>
          <w:rtl w:val="0"/>
        </w:rPr>
      </w:r>
    </w:p>
    <w:p w:rsidR="00000000" w:rsidDel="00000000" w:rsidP="00000000" w:rsidRDefault="00000000" w:rsidRPr="00000000" w14:paraId="00000037">
      <w:pPr>
        <w:numPr>
          <w:ilvl w:val="0"/>
          <w:numId w:val="3"/>
        </w:numPr>
        <w:ind w:left="720" w:hanging="360"/>
        <w:rPr>
          <w:b w:val="1"/>
          <w:i w:val="1"/>
        </w:rPr>
      </w:pPr>
      <w:r w:rsidDel="00000000" w:rsidR="00000000" w:rsidRPr="00000000">
        <w:rPr>
          <w:b w:val="1"/>
          <w:i w:val="1"/>
          <w:rtl w:val="0"/>
        </w:rPr>
        <w:t xml:space="preserve">Equality legal policy: </w:t>
      </w:r>
      <w:r w:rsidDel="00000000" w:rsidR="00000000" w:rsidRPr="00000000">
        <w:rPr>
          <w:rtl w:val="0"/>
        </w:rPr>
        <w:t xml:space="preserve"> The practitioners must follow the legal framework of the equality policy in which there must be fair treatment given to each and every patient without any bias nature related to the patient’s religion, gender, class etc. The patients must be provided with adequate and trustful treatment with due respect to humanity within the person centred care by the health care practitioners. </w:t>
      </w:r>
      <w:r w:rsidDel="00000000" w:rsidR="00000000" w:rsidRPr="00000000">
        <w:rPr>
          <w:rtl w:val="0"/>
        </w:rPr>
      </w:r>
    </w:p>
    <w:p w:rsidR="00000000" w:rsidDel="00000000" w:rsidP="00000000" w:rsidRDefault="00000000" w:rsidRPr="00000000" w14:paraId="00000038">
      <w:pPr>
        <w:numPr>
          <w:ilvl w:val="0"/>
          <w:numId w:val="3"/>
        </w:numPr>
        <w:ind w:left="720" w:hanging="360"/>
        <w:rPr/>
      </w:pPr>
      <w:r w:rsidDel="00000000" w:rsidR="00000000" w:rsidRPr="00000000">
        <w:rPr>
          <w:b w:val="1"/>
          <w:i w:val="1"/>
          <w:rtl w:val="0"/>
        </w:rPr>
        <w:t xml:space="preserve">Legal law of non-maleficence - Do No Harm: </w:t>
      </w:r>
      <w:r w:rsidDel="00000000" w:rsidR="00000000" w:rsidRPr="00000000">
        <w:rPr>
          <w:rtl w:val="0"/>
        </w:rPr>
        <w:t xml:space="preserve">Under this legal law the health care practitioners according to their Hippocratic oath are required to follow all the terms and conditions of no unfair act towards the health and treatment of the patient. The nurses and doctors should not be involved in any criminal and unethical act which can cause harm to the patient’s life</w:t>
      </w:r>
      <w:r w:rsidDel="00000000" w:rsidR="00000000" w:rsidRPr="00000000">
        <w:rPr>
          <w:highlight w:val="white"/>
          <w:rtl w:val="0"/>
        </w:rPr>
        <w:t xml:space="preserve"> (Layman, 2020)</w:t>
      </w:r>
      <w:r w:rsidDel="00000000" w:rsidR="00000000" w:rsidRPr="00000000">
        <w:rPr>
          <w:rtl w:val="0"/>
        </w:rPr>
        <w:t xml:space="preserve">. Under this legal ethical law, the nurses and other practitioners are required to avoid any negative consequence of their act on the patients of the Person-centred care. </w:t>
      </w:r>
    </w:p>
    <w:p w:rsidR="00000000" w:rsidDel="00000000" w:rsidP="00000000" w:rsidRDefault="00000000" w:rsidRPr="00000000" w14:paraId="00000039">
      <w:pPr>
        <w:ind w:firstLine="360"/>
        <w:rPr/>
      </w:pPr>
      <w:r w:rsidDel="00000000" w:rsidR="00000000" w:rsidRPr="00000000">
        <w:rPr>
          <w:rtl w:val="0"/>
        </w:rPr>
        <w:t xml:space="preserve">Hence, to regulate the health and social care ethically the practitioners and professionals are required to follow the ethical principles, policies that assures the rights of patients are given to them with full justice and trust.</w:t>
      </w:r>
    </w:p>
    <w:p w:rsidR="00000000" w:rsidDel="00000000" w:rsidP="00000000" w:rsidRDefault="00000000" w:rsidRPr="00000000" w14:paraId="0000003A">
      <w:pPr>
        <w:pStyle w:val="Heading2"/>
        <w:numPr>
          <w:ilvl w:val="1"/>
          <w:numId w:val="5"/>
        </w:numPr>
        <w:ind w:left="576" w:hanging="576"/>
        <w:rPr/>
      </w:pPr>
      <w:bookmarkStart w:colFirst="0" w:colLast="0" w:name="_heading=h.tyjcwt" w:id="5"/>
      <w:bookmarkEnd w:id="5"/>
      <w:r w:rsidDel="00000000" w:rsidR="00000000" w:rsidRPr="00000000">
        <w:rPr>
          <w:rtl w:val="0"/>
        </w:rPr>
        <w:t xml:space="preserve">Discuss and analyse the main benefits and limitation of person-centred care using examples of dementia or cancer</w:t>
      </w:r>
    </w:p>
    <w:p w:rsidR="00000000" w:rsidDel="00000000" w:rsidP="00000000" w:rsidRDefault="00000000" w:rsidRPr="00000000" w14:paraId="0000003B">
      <w:pPr>
        <w:ind w:firstLine="576"/>
        <w:rPr/>
      </w:pPr>
      <w:r w:rsidDel="00000000" w:rsidR="00000000" w:rsidRPr="00000000">
        <w:rPr>
          <w:rtl w:val="0"/>
        </w:rPr>
        <w:t xml:space="preserve">Person centred care is the suitable model in order to deliver high quality care to their patients and also enhance the cost effectiveness of the services and enhance the satisfaction of patients. Moreover, the research information and education both are the fundamental aspects of supporting creativity and innovation</w:t>
      </w:r>
      <w:r w:rsidDel="00000000" w:rsidR="00000000" w:rsidRPr="00000000">
        <w:rPr>
          <w:highlight w:val="white"/>
          <w:rtl w:val="0"/>
        </w:rPr>
        <w:t xml:space="preserve"> (Emberti Gialloreti and et. al., 2019)</w:t>
      </w:r>
      <w:r w:rsidDel="00000000" w:rsidR="00000000" w:rsidRPr="00000000">
        <w:rPr>
          <w:rtl w:val="0"/>
        </w:rPr>
        <w:t xml:space="preserve">. Besides this, the technological development, social pressures, government norms and policies which are being observed that changes which should be contributed as the suitable part of success from the clinical skills and political perspective which are useful in order to meet the needs of patients and overall healthcare team. </w:t>
      </w:r>
    </w:p>
    <w:p w:rsidR="00000000" w:rsidDel="00000000" w:rsidP="00000000" w:rsidRDefault="00000000" w:rsidRPr="00000000" w14:paraId="0000003C">
      <w:pPr>
        <w:ind w:firstLine="576"/>
        <w:rPr/>
      </w:pPr>
      <w:r w:rsidDel="00000000" w:rsidR="00000000" w:rsidRPr="00000000">
        <w:rPr>
          <w:rtl w:val="0"/>
        </w:rPr>
        <w:t xml:space="preserve">In this context, the core disadvantages of person centred care include shortage of clear descriptions of measurable behaviours and patient outcomes, the need of structural changes at organisational and practice level and the need for suitable time and effective human resources to care for patients</w:t>
      </w:r>
      <w:r w:rsidDel="00000000" w:rsidR="00000000" w:rsidRPr="00000000">
        <w:rPr>
          <w:highlight w:val="white"/>
          <w:rtl w:val="0"/>
        </w:rPr>
        <w:t xml:space="preserve"> (Harviainen and Hassan, 2019)</w:t>
      </w:r>
      <w:r w:rsidDel="00000000" w:rsidR="00000000" w:rsidRPr="00000000">
        <w:rPr>
          <w:rtl w:val="0"/>
        </w:rPr>
        <w:t xml:space="preserve">. For this, health services for the IT infrastructure which has been compared with NHS as all the measures of patient experience depict as the suitable benefit which are widely reported that they tend to feel that their care was more joined up and also attentive to their needs. However, there was no more difference among the two groups which are being reported for the quality of life at the end of study period. </w:t>
      </w:r>
    </w:p>
    <w:p w:rsidR="00000000" w:rsidDel="00000000" w:rsidP="00000000" w:rsidRDefault="00000000" w:rsidRPr="00000000" w14:paraId="0000003D">
      <w:pPr>
        <w:pStyle w:val="Heading2"/>
        <w:numPr>
          <w:ilvl w:val="1"/>
          <w:numId w:val="5"/>
        </w:numPr>
        <w:ind w:left="576" w:hanging="576"/>
        <w:rPr/>
      </w:pPr>
      <w:bookmarkStart w:colFirst="0" w:colLast="0" w:name="_heading=h.3dy6vkm" w:id="6"/>
      <w:bookmarkEnd w:id="6"/>
      <w:r w:rsidDel="00000000" w:rsidR="00000000" w:rsidRPr="00000000">
        <w:rPr>
          <w:rtl w:val="0"/>
        </w:rPr>
        <w:t xml:space="preserve">Apply theoretical principles of person-centred care</w:t>
      </w:r>
    </w:p>
    <w:p w:rsidR="00000000" w:rsidDel="00000000" w:rsidP="00000000" w:rsidRDefault="00000000" w:rsidRPr="00000000" w14:paraId="0000003E">
      <w:pPr>
        <w:ind w:firstLine="360"/>
        <w:rPr/>
      </w:pPr>
      <w:r w:rsidDel="00000000" w:rsidR="00000000" w:rsidRPr="00000000">
        <w:rPr>
          <w:rtl w:val="0"/>
        </w:rPr>
        <w:t xml:space="preserve">The health foundation set four suitable principles for the person centred care which they need to keep things in mind in order to have suitable care and support for patients. For this, suitable principles are discussed as: </w:t>
      </w:r>
    </w:p>
    <w:p w:rsidR="00000000" w:rsidDel="00000000" w:rsidP="00000000" w:rsidRDefault="00000000" w:rsidRPr="00000000" w14:paraId="0000003F">
      <w:pPr>
        <w:numPr>
          <w:ilvl w:val="0"/>
          <w:numId w:val="4"/>
        </w:numPr>
        <w:ind w:left="720" w:hanging="360"/>
        <w:rPr/>
      </w:pPr>
      <w:r w:rsidDel="00000000" w:rsidR="00000000" w:rsidRPr="00000000">
        <w:rPr>
          <w:b w:val="1"/>
          <w:i w:val="1"/>
          <w:rtl w:val="0"/>
        </w:rPr>
        <w:t xml:space="preserve">Treat people with dignity, respect and compassion:</w:t>
      </w:r>
      <w:r w:rsidDel="00000000" w:rsidR="00000000" w:rsidRPr="00000000">
        <w:rPr>
          <w:rtl w:val="0"/>
        </w:rPr>
        <w:t xml:space="preserve"> Patients tend to lose their care when they provide care and also tend to put their dignity at risk. For this, person centred care tends to enable things in order to maintain that dignity by undertaking their wishes and also treating them with compassion and empathy</w:t>
      </w:r>
      <w:r w:rsidDel="00000000" w:rsidR="00000000" w:rsidRPr="00000000">
        <w:rPr>
          <w:highlight w:val="white"/>
          <w:rtl w:val="0"/>
        </w:rPr>
        <w:t xml:space="preserve"> (Sturm and et. al., 2019)</w:t>
      </w:r>
      <w:r w:rsidDel="00000000" w:rsidR="00000000" w:rsidRPr="00000000">
        <w:rPr>
          <w:rtl w:val="0"/>
        </w:rPr>
        <w:t xml:space="preserve">. </w:t>
      </w:r>
    </w:p>
    <w:p w:rsidR="00000000" w:rsidDel="00000000" w:rsidP="00000000" w:rsidRDefault="00000000" w:rsidRPr="00000000" w14:paraId="00000040">
      <w:pPr>
        <w:numPr>
          <w:ilvl w:val="0"/>
          <w:numId w:val="4"/>
        </w:numPr>
        <w:ind w:left="720" w:hanging="360"/>
        <w:rPr/>
      </w:pPr>
      <w:r w:rsidDel="00000000" w:rsidR="00000000" w:rsidRPr="00000000">
        <w:rPr>
          <w:b w:val="1"/>
          <w:i w:val="1"/>
          <w:rtl w:val="0"/>
        </w:rPr>
        <w:t xml:space="preserve">Provide coordinated care, support and treatment:</w:t>
      </w:r>
      <w:r w:rsidDel="00000000" w:rsidR="00000000" w:rsidRPr="00000000">
        <w:rPr>
          <w:rtl w:val="0"/>
        </w:rPr>
        <w:t xml:space="preserve"> In order to deliver suitable care regarding the coordinate with other health and social care workers and services. For this, their patient does not need to receive the level of care they need. </w:t>
      </w:r>
    </w:p>
    <w:p w:rsidR="00000000" w:rsidDel="00000000" w:rsidP="00000000" w:rsidRDefault="00000000" w:rsidRPr="00000000" w14:paraId="00000041">
      <w:pPr>
        <w:numPr>
          <w:ilvl w:val="0"/>
          <w:numId w:val="4"/>
        </w:numPr>
        <w:ind w:left="720" w:hanging="360"/>
        <w:rPr/>
      </w:pPr>
      <w:r w:rsidDel="00000000" w:rsidR="00000000" w:rsidRPr="00000000">
        <w:rPr>
          <w:b w:val="1"/>
          <w:i w:val="1"/>
          <w:rtl w:val="0"/>
        </w:rPr>
        <w:t xml:space="preserve">Offer personalised care and support:</w:t>
      </w:r>
      <w:r w:rsidDel="00000000" w:rsidR="00000000" w:rsidRPr="00000000">
        <w:rPr>
          <w:rtl w:val="0"/>
        </w:rPr>
        <w:t xml:space="preserve"> This principle needs to understand that workers for the services and also consider standardised approach that leads to affect their ability to recover and manage their condition effectively while depending on the personal circumstances and values that leads to damage the quality of life</w:t>
      </w:r>
      <w:r w:rsidDel="00000000" w:rsidR="00000000" w:rsidRPr="00000000">
        <w:rPr>
          <w:highlight w:val="white"/>
          <w:rtl w:val="0"/>
        </w:rPr>
        <w:t xml:space="preserve"> (Muth and et. al., 2019)</w:t>
      </w:r>
      <w:r w:rsidDel="00000000" w:rsidR="00000000" w:rsidRPr="00000000">
        <w:rPr>
          <w:rtl w:val="0"/>
        </w:rPr>
        <w:t xml:space="preserve">. </w:t>
      </w:r>
    </w:p>
    <w:p w:rsidR="00000000" w:rsidDel="00000000" w:rsidP="00000000" w:rsidRDefault="00000000" w:rsidRPr="00000000" w14:paraId="00000042">
      <w:pPr>
        <w:numPr>
          <w:ilvl w:val="0"/>
          <w:numId w:val="4"/>
        </w:numPr>
        <w:ind w:left="720" w:hanging="360"/>
        <w:rPr/>
      </w:pPr>
      <w:r w:rsidDel="00000000" w:rsidR="00000000" w:rsidRPr="00000000">
        <w:rPr>
          <w:b w:val="1"/>
          <w:i w:val="1"/>
          <w:rtl w:val="0"/>
        </w:rPr>
        <w:t xml:space="preserve">Enable service users to identify and develop their strengths:</w:t>
      </w:r>
      <w:r w:rsidDel="00000000" w:rsidR="00000000" w:rsidRPr="00000000">
        <w:rPr>
          <w:rtl w:val="0"/>
        </w:rPr>
        <w:t xml:space="preserve"> Offering person-centred care needs involvement of patients in decision making and also helping them to take actions in order to support them. Moreover, patients also feel effective for having great control of their life and less reliant on the healthcare services</w:t>
      </w:r>
      <w:r w:rsidDel="00000000" w:rsidR="00000000" w:rsidRPr="00000000">
        <w:rPr>
          <w:highlight w:val="white"/>
          <w:rtl w:val="0"/>
        </w:rPr>
        <w:t xml:space="preserve"> (Kurcheeva and Klochkov, 2018)</w:t>
      </w:r>
      <w:r w:rsidDel="00000000" w:rsidR="00000000" w:rsidRPr="00000000">
        <w:rPr>
          <w:rtl w:val="0"/>
        </w:rPr>
        <w:t xml:space="preserve">. </w:t>
      </w:r>
    </w:p>
    <w:p w:rsidR="00000000" w:rsidDel="00000000" w:rsidP="00000000" w:rsidRDefault="00000000" w:rsidRPr="00000000" w14:paraId="00000043">
      <w:pPr>
        <w:pStyle w:val="Heading1"/>
        <w:numPr>
          <w:ilvl w:val="0"/>
          <w:numId w:val="5"/>
        </w:numPr>
        <w:ind w:left="432" w:hanging="432"/>
        <w:rPr/>
      </w:pPr>
      <w:bookmarkStart w:colFirst="0" w:colLast="0" w:name="_heading=h.1t3h5sf" w:id="7"/>
      <w:bookmarkEnd w:id="7"/>
      <w:r w:rsidDel="00000000" w:rsidR="00000000" w:rsidRPr="00000000">
        <w:rPr>
          <w:rtl w:val="0"/>
        </w:rPr>
        <w:t xml:space="preserve">RECOMMENDATIONS</w:t>
      </w:r>
    </w:p>
    <w:p w:rsidR="00000000" w:rsidDel="00000000" w:rsidP="00000000" w:rsidRDefault="00000000" w:rsidRPr="00000000" w14:paraId="00000044">
      <w:pPr>
        <w:ind w:firstLine="432"/>
        <w:rPr/>
      </w:pPr>
      <w:r w:rsidDel="00000000" w:rsidR="00000000" w:rsidRPr="00000000">
        <w:rPr>
          <w:rtl w:val="0"/>
        </w:rPr>
        <w:t xml:space="preserve">Person centred care is an important objective for the NHS, as both need to enhance suitable care of an individual in order to receive and effectively use prominent skills in that care. For this, the health foundation tends to seek to bring things together in order to make shared decision making and self-management support for the further policy development. They also tend to study the impact of shared decision making and self-management regarding the suitable support and also tend to effectively contribute towards the ethical and desirable person centred care. In this context, they tend to assess the efficacy of suitable approaches in various long-term conditions like mental health, asthma and cancer in order to improve the clinical result. </w:t>
      </w:r>
    </w:p>
    <w:p w:rsidR="00000000" w:rsidDel="00000000" w:rsidP="00000000" w:rsidRDefault="00000000" w:rsidRPr="00000000" w14:paraId="00000045">
      <w:pPr>
        <w:ind w:firstLine="432"/>
        <w:rPr/>
      </w:pPr>
      <w:r w:rsidDel="00000000" w:rsidR="00000000" w:rsidRPr="00000000">
        <w:rPr>
          <w:rtl w:val="0"/>
        </w:rPr>
        <w:t xml:space="preserve">For this, to enhance the person centred care undertake the suitable time to discuss the existing treatment and overall experience in order to make sure that their patients are also being treated for the importance to understanding what is working to use the treatment program. They lead to collect feedback regarding the treatment facility which they need to opt the suitable system for the regular collection of feedback from their addiction recovery patients. Besides this, they also need to implement the feedback by informing the proper treatment system in order to assess the magnitude and effectiveness of suitable relationships with their patients. </w:t>
      </w:r>
    </w:p>
    <w:p w:rsidR="00000000" w:rsidDel="00000000" w:rsidP="00000000" w:rsidRDefault="00000000" w:rsidRPr="00000000" w14:paraId="00000046">
      <w:pPr>
        <w:pStyle w:val="Heading1"/>
        <w:numPr>
          <w:ilvl w:val="0"/>
          <w:numId w:val="5"/>
        </w:numPr>
        <w:ind w:left="432" w:hanging="432"/>
        <w:rPr/>
      </w:pPr>
      <w:bookmarkStart w:colFirst="0" w:colLast="0" w:name="_heading=h.4d34og8" w:id="8"/>
      <w:bookmarkEnd w:id="8"/>
      <w:r w:rsidDel="00000000" w:rsidR="00000000" w:rsidRPr="00000000">
        <w:rPr>
          <w:rtl w:val="0"/>
        </w:rPr>
        <w:t xml:space="preserve">CONCLUSION</w:t>
      </w:r>
    </w:p>
    <w:p w:rsidR="00000000" w:rsidDel="00000000" w:rsidP="00000000" w:rsidRDefault="00000000" w:rsidRPr="00000000" w14:paraId="00000047">
      <w:pPr>
        <w:ind w:firstLine="432"/>
        <w:rPr/>
      </w:pPr>
      <w:r w:rsidDel="00000000" w:rsidR="00000000" w:rsidRPr="00000000">
        <w:rPr>
          <w:rtl w:val="0"/>
        </w:rPr>
        <w:t xml:space="preserve">Therefore, from the preceding discussion, it has been analysed that the risk of illness and treatment should be given by health and social care practitioners. For this, the care workers tend to play an important role for patients to overcome illness for offering services to users of the service. In regard to this, the care service providers and government organisations work collectively and both tend to work for the suitable variety of diseases and hazards that can be reduced to the society. </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pStyle w:val="Heading1"/>
        <w:numPr>
          <w:ilvl w:val="0"/>
          <w:numId w:val="5"/>
        </w:numPr>
        <w:ind w:left="432" w:hanging="432"/>
        <w:rPr>
          <w:b w:val="0"/>
          <w:u w:val="single"/>
        </w:rPr>
      </w:pPr>
      <w:bookmarkStart w:colFirst="0" w:colLast="0" w:name="_heading=h.2s8eyo1" w:id="9"/>
      <w:bookmarkEnd w:id="9"/>
      <w:r w:rsidDel="00000000" w:rsidR="00000000" w:rsidRPr="00000000">
        <w:br w:type="page"/>
      </w:r>
      <w:r w:rsidDel="00000000" w:rsidR="00000000" w:rsidRPr="00000000">
        <w:rPr>
          <w:rtl w:val="0"/>
        </w:rPr>
        <w:t xml:space="preserve">REFERENCES</w:t>
      </w:r>
      <w:r w:rsidDel="00000000" w:rsidR="00000000" w:rsidRPr="00000000">
        <w:rPr>
          <w:rtl w:val="0"/>
        </w:rPr>
      </w:r>
    </w:p>
    <w:p w:rsidR="00000000" w:rsidDel="00000000" w:rsidP="00000000" w:rsidRDefault="00000000" w:rsidRPr="00000000" w14:paraId="0000004A">
      <w:pPr>
        <w:rPr>
          <w:u w:val="single"/>
        </w:rPr>
      </w:pPr>
      <w:r w:rsidDel="00000000" w:rsidR="00000000" w:rsidRPr="00000000">
        <w:rPr>
          <w:u w:val="single"/>
          <w:rtl w:val="0"/>
        </w:rPr>
        <w:t xml:space="preserve">Books and Journals</w:t>
      </w:r>
    </w:p>
    <w:p w:rsidR="00000000" w:rsidDel="00000000" w:rsidP="00000000" w:rsidRDefault="00000000" w:rsidRPr="00000000" w14:paraId="0000004B">
      <w:pPr>
        <w:shd w:fill="ffffff" w:val="clear"/>
        <w:ind w:left="859" w:hanging="845"/>
        <w:rPr>
          <w:highlight w:val="white"/>
        </w:rPr>
      </w:pPr>
      <w:r w:rsidDel="00000000" w:rsidR="00000000" w:rsidRPr="00000000">
        <w:rPr>
          <w:highlight w:val="white"/>
          <w:rtl w:val="0"/>
        </w:rPr>
        <w:t xml:space="preserve">Brodowska, A.J., Nowak, A. and Śmigielski, K., 2018. Ozone in the food industry: Principles of ozone treatment, mechanisms of action, and applications: An overview. </w:t>
      </w:r>
      <w:r w:rsidDel="00000000" w:rsidR="00000000" w:rsidRPr="00000000">
        <w:rPr>
          <w:i w:val="1"/>
          <w:highlight w:val="white"/>
          <w:rtl w:val="0"/>
        </w:rPr>
        <w:t xml:space="preserve">Critical reviews in food science and nutrition.</w:t>
      </w:r>
      <w:r w:rsidDel="00000000" w:rsidR="00000000" w:rsidRPr="00000000">
        <w:rPr>
          <w:highlight w:val="white"/>
          <w:rtl w:val="0"/>
        </w:rPr>
        <w:t xml:space="preserve"> 58(13). pp.2176-2201.</w:t>
      </w:r>
    </w:p>
    <w:p w:rsidR="00000000" w:rsidDel="00000000" w:rsidP="00000000" w:rsidRDefault="00000000" w:rsidRPr="00000000" w14:paraId="0000004C">
      <w:pPr>
        <w:shd w:fill="ffffff" w:val="clear"/>
        <w:ind w:left="859" w:hanging="845"/>
        <w:rPr>
          <w:highlight w:val="white"/>
        </w:rPr>
      </w:pPr>
      <w:r w:rsidDel="00000000" w:rsidR="00000000" w:rsidRPr="00000000">
        <w:rPr>
          <w:highlight w:val="white"/>
          <w:rtl w:val="0"/>
        </w:rPr>
        <w:t xml:space="preserve">D’Agata, F., and et. al., 2018. Magnetic nanoparticles in the central nervous system: targeting principles, applications and safety issues. </w:t>
      </w:r>
      <w:r w:rsidDel="00000000" w:rsidR="00000000" w:rsidRPr="00000000">
        <w:rPr>
          <w:i w:val="1"/>
          <w:highlight w:val="white"/>
          <w:rtl w:val="0"/>
        </w:rPr>
        <w:t xml:space="preserve">Molecules</w:t>
      </w:r>
      <w:r w:rsidDel="00000000" w:rsidR="00000000" w:rsidRPr="00000000">
        <w:rPr>
          <w:highlight w:val="white"/>
          <w:rtl w:val="0"/>
        </w:rPr>
        <w:t xml:space="preserve">, </w:t>
      </w:r>
      <w:r w:rsidDel="00000000" w:rsidR="00000000" w:rsidRPr="00000000">
        <w:rPr>
          <w:i w:val="1"/>
          <w:highlight w:val="white"/>
          <w:rtl w:val="0"/>
        </w:rPr>
        <w:t xml:space="preserve">23</w:t>
      </w:r>
      <w:r w:rsidDel="00000000" w:rsidR="00000000" w:rsidRPr="00000000">
        <w:rPr>
          <w:highlight w:val="white"/>
          <w:rtl w:val="0"/>
        </w:rPr>
        <w:t xml:space="preserve">(1), p.9.</w:t>
      </w:r>
    </w:p>
    <w:p w:rsidR="00000000" w:rsidDel="00000000" w:rsidP="00000000" w:rsidRDefault="00000000" w:rsidRPr="00000000" w14:paraId="0000004D">
      <w:pPr>
        <w:shd w:fill="ffffff" w:val="clear"/>
        <w:ind w:left="859" w:hanging="845"/>
        <w:rPr>
          <w:highlight w:val="white"/>
        </w:rPr>
      </w:pPr>
      <w:r w:rsidDel="00000000" w:rsidR="00000000" w:rsidRPr="00000000">
        <w:rPr>
          <w:highlight w:val="white"/>
          <w:rtl w:val="0"/>
        </w:rPr>
        <w:t xml:space="preserve">Emberti Gialloreti, L., and et. al., 2019. Risk and protective environmental factors associated with autism spectrum disorder: evidence-based principles and recommendations. </w:t>
      </w:r>
      <w:r w:rsidDel="00000000" w:rsidR="00000000" w:rsidRPr="00000000">
        <w:rPr>
          <w:i w:val="1"/>
          <w:highlight w:val="white"/>
          <w:rtl w:val="0"/>
        </w:rPr>
        <w:t xml:space="preserve">Journal of clinical medicine.</w:t>
      </w:r>
      <w:r w:rsidDel="00000000" w:rsidR="00000000" w:rsidRPr="00000000">
        <w:rPr>
          <w:highlight w:val="white"/>
          <w:rtl w:val="0"/>
        </w:rPr>
        <w:t xml:space="preserve"> 8(2). p.217.</w:t>
      </w:r>
    </w:p>
    <w:p w:rsidR="00000000" w:rsidDel="00000000" w:rsidP="00000000" w:rsidRDefault="00000000" w:rsidRPr="00000000" w14:paraId="0000004E">
      <w:pPr>
        <w:shd w:fill="ffffff" w:val="clear"/>
        <w:ind w:left="859" w:hanging="845"/>
        <w:rPr>
          <w:highlight w:val="white"/>
        </w:rPr>
      </w:pPr>
      <w:r w:rsidDel="00000000" w:rsidR="00000000" w:rsidRPr="00000000">
        <w:rPr>
          <w:highlight w:val="white"/>
          <w:rtl w:val="0"/>
        </w:rPr>
        <w:t xml:space="preserve">Harviainen, J.T. and Hassan, L., 2019. Governmental service gamification: Central principles. </w:t>
      </w:r>
      <w:r w:rsidDel="00000000" w:rsidR="00000000" w:rsidRPr="00000000">
        <w:rPr>
          <w:i w:val="1"/>
          <w:highlight w:val="white"/>
          <w:rtl w:val="0"/>
        </w:rPr>
        <w:t xml:space="preserve">International Journal of Innovation in the Digital Economy (IJIDE).</w:t>
      </w:r>
      <w:r w:rsidDel="00000000" w:rsidR="00000000" w:rsidRPr="00000000">
        <w:rPr>
          <w:highlight w:val="white"/>
          <w:rtl w:val="0"/>
        </w:rPr>
        <w:t xml:space="preserve"> 10(3). pp.1-12.</w:t>
      </w:r>
    </w:p>
    <w:p w:rsidR="00000000" w:rsidDel="00000000" w:rsidP="00000000" w:rsidRDefault="00000000" w:rsidRPr="00000000" w14:paraId="0000004F">
      <w:pPr>
        <w:shd w:fill="ffffff" w:val="clear"/>
        <w:ind w:left="859" w:hanging="845"/>
        <w:rPr>
          <w:highlight w:val="white"/>
        </w:rPr>
      </w:pPr>
      <w:sdt>
        <w:sdtPr>
          <w:tag w:val="goog_rdk_0"/>
        </w:sdtPr>
        <w:sdtContent>
          <w:r w:rsidDel="00000000" w:rsidR="00000000" w:rsidRPr="00000000">
            <w:rPr>
              <w:rFonts w:ascii="Gungsuh" w:cs="Gungsuh" w:eastAsia="Gungsuh" w:hAnsi="Gungsuh"/>
              <w:highlight w:val="white"/>
              <w:rtl w:val="0"/>
            </w:rPr>
            <w:t xml:space="preserve">Kurcheeva, G.I. and Klochkov, G.A., 2018, October. Features and Principles of the Formation of≪ Smart City≫. In </w:t>
          </w:r>
        </w:sdtContent>
      </w:sdt>
      <w:r w:rsidDel="00000000" w:rsidR="00000000" w:rsidRPr="00000000">
        <w:rPr>
          <w:i w:val="1"/>
          <w:highlight w:val="white"/>
          <w:rtl w:val="0"/>
        </w:rPr>
        <w:t xml:space="preserve">2018 Eleventh International Conference" Management of large-scale system development"(MLSD</w:t>
      </w:r>
      <w:r w:rsidDel="00000000" w:rsidR="00000000" w:rsidRPr="00000000">
        <w:rPr>
          <w:highlight w:val="white"/>
          <w:rtl w:val="0"/>
        </w:rPr>
        <w:t xml:space="preserve"> (pp. 1-5). IEEE.</w:t>
      </w:r>
    </w:p>
    <w:p w:rsidR="00000000" w:rsidDel="00000000" w:rsidP="00000000" w:rsidRDefault="00000000" w:rsidRPr="00000000" w14:paraId="00000050">
      <w:pPr>
        <w:shd w:fill="ffffff" w:val="clear"/>
        <w:ind w:left="859" w:hanging="845"/>
        <w:rPr>
          <w:highlight w:val="white"/>
        </w:rPr>
      </w:pPr>
      <w:r w:rsidDel="00000000" w:rsidR="00000000" w:rsidRPr="00000000">
        <w:rPr>
          <w:highlight w:val="white"/>
          <w:rtl w:val="0"/>
        </w:rPr>
        <w:t xml:space="preserve">Layman, E.J., 2020. Ethical issues and the electronic health record. </w:t>
      </w:r>
      <w:r w:rsidDel="00000000" w:rsidR="00000000" w:rsidRPr="00000000">
        <w:rPr>
          <w:i w:val="1"/>
          <w:highlight w:val="white"/>
          <w:rtl w:val="0"/>
        </w:rPr>
        <w:t xml:space="preserve">The health care manager</w:t>
      </w:r>
      <w:r w:rsidDel="00000000" w:rsidR="00000000" w:rsidRPr="00000000">
        <w:rPr>
          <w:highlight w:val="white"/>
          <w:rtl w:val="0"/>
        </w:rPr>
        <w:t xml:space="preserve">, </w:t>
      </w:r>
      <w:r w:rsidDel="00000000" w:rsidR="00000000" w:rsidRPr="00000000">
        <w:rPr>
          <w:i w:val="1"/>
          <w:highlight w:val="white"/>
          <w:rtl w:val="0"/>
        </w:rPr>
        <w:t xml:space="preserve">39</w:t>
      </w:r>
      <w:r w:rsidDel="00000000" w:rsidR="00000000" w:rsidRPr="00000000">
        <w:rPr>
          <w:highlight w:val="white"/>
          <w:rtl w:val="0"/>
        </w:rPr>
        <w:t xml:space="preserve">(4), pp.150-161.</w:t>
      </w:r>
    </w:p>
    <w:p w:rsidR="00000000" w:rsidDel="00000000" w:rsidP="00000000" w:rsidRDefault="00000000" w:rsidRPr="00000000" w14:paraId="00000051">
      <w:pPr>
        <w:shd w:fill="ffffff" w:val="clear"/>
        <w:ind w:left="859" w:hanging="845"/>
        <w:rPr>
          <w:highlight w:val="white"/>
        </w:rPr>
      </w:pPr>
      <w:r w:rsidDel="00000000" w:rsidR="00000000" w:rsidRPr="00000000">
        <w:rPr>
          <w:highlight w:val="white"/>
          <w:rtl w:val="0"/>
        </w:rPr>
        <w:t xml:space="preserve">Li, C. and Palanisamy, B., 2018. Privacy in the internet of things: from principles to technologies. </w:t>
      </w:r>
      <w:r w:rsidDel="00000000" w:rsidR="00000000" w:rsidRPr="00000000">
        <w:rPr>
          <w:i w:val="1"/>
          <w:highlight w:val="white"/>
          <w:rtl w:val="0"/>
        </w:rPr>
        <w:t xml:space="preserve">IEEE Internet of Things Journal.</w:t>
      </w:r>
      <w:r w:rsidDel="00000000" w:rsidR="00000000" w:rsidRPr="00000000">
        <w:rPr>
          <w:highlight w:val="white"/>
          <w:rtl w:val="0"/>
        </w:rPr>
        <w:t xml:space="preserve"> 6(1). pp.488-505.</w:t>
      </w:r>
    </w:p>
    <w:p w:rsidR="00000000" w:rsidDel="00000000" w:rsidP="00000000" w:rsidRDefault="00000000" w:rsidRPr="00000000" w14:paraId="00000052">
      <w:pPr>
        <w:shd w:fill="ffffff" w:val="clear"/>
        <w:ind w:left="859" w:hanging="845"/>
        <w:rPr>
          <w:highlight w:val="white"/>
        </w:rPr>
      </w:pPr>
      <w:r w:rsidDel="00000000" w:rsidR="00000000" w:rsidRPr="00000000">
        <w:rPr>
          <w:highlight w:val="white"/>
          <w:rtl w:val="0"/>
        </w:rPr>
        <w:t xml:space="preserve">Munro, M., 2018. Principles for embodied learning approaches. </w:t>
      </w:r>
      <w:r w:rsidDel="00000000" w:rsidR="00000000" w:rsidRPr="00000000">
        <w:rPr>
          <w:i w:val="1"/>
          <w:highlight w:val="white"/>
          <w:rtl w:val="0"/>
        </w:rPr>
        <w:t xml:space="preserve">South African Theatre Journal.</w:t>
      </w:r>
      <w:r w:rsidDel="00000000" w:rsidR="00000000" w:rsidRPr="00000000">
        <w:rPr>
          <w:highlight w:val="white"/>
          <w:rtl w:val="0"/>
        </w:rPr>
        <w:t xml:space="preserve"> 31(1., pp.5-14.</w:t>
      </w:r>
    </w:p>
    <w:p w:rsidR="00000000" w:rsidDel="00000000" w:rsidP="00000000" w:rsidRDefault="00000000" w:rsidRPr="00000000" w14:paraId="00000053">
      <w:pPr>
        <w:shd w:fill="ffffff" w:val="clear"/>
        <w:ind w:left="859" w:hanging="845"/>
        <w:rPr>
          <w:highlight w:val="white"/>
        </w:rPr>
      </w:pPr>
      <w:r w:rsidDel="00000000" w:rsidR="00000000" w:rsidRPr="00000000">
        <w:rPr>
          <w:highlight w:val="white"/>
          <w:rtl w:val="0"/>
        </w:rPr>
        <w:t xml:space="preserve">Muth, C., and et. al., 2019. Evidence supporting the best clinical management of patients with multimorbidity and polypharmacy: a systematic guideline review and expert consensus. </w:t>
      </w:r>
      <w:r w:rsidDel="00000000" w:rsidR="00000000" w:rsidRPr="00000000">
        <w:rPr>
          <w:i w:val="1"/>
          <w:highlight w:val="white"/>
          <w:rtl w:val="0"/>
        </w:rPr>
        <w:t xml:space="preserve">Journal of internal medicine.</w:t>
      </w:r>
      <w:r w:rsidDel="00000000" w:rsidR="00000000" w:rsidRPr="00000000">
        <w:rPr>
          <w:highlight w:val="white"/>
          <w:rtl w:val="0"/>
        </w:rPr>
        <w:t xml:space="preserve"> 285(3). pp.272-288.</w:t>
      </w:r>
    </w:p>
    <w:p w:rsidR="00000000" w:rsidDel="00000000" w:rsidP="00000000" w:rsidRDefault="00000000" w:rsidRPr="00000000" w14:paraId="00000054">
      <w:pPr>
        <w:shd w:fill="ffffff" w:val="clear"/>
        <w:ind w:left="859" w:hanging="845"/>
        <w:rPr>
          <w:highlight w:val="white"/>
        </w:rPr>
      </w:pPr>
      <w:r w:rsidDel="00000000" w:rsidR="00000000" w:rsidRPr="00000000">
        <w:rPr>
          <w:highlight w:val="white"/>
          <w:rtl w:val="0"/>
        </w:rPr>
        <w:t xml:space="preserve">Scanlan, J.N., and et. al., 2019. Outcomes of an individual placement and support programme incorporating principles of the collaborative recovery model. </w:t>
      </w:r>
      <w:r w:rsidDel="00000000" w:rsidR="00000000" w:rsidRPr="00000000">
        <w:rPr>
          <w:i w:val="1"/>
          <w:highlight w:val="white"/>
          <w:rtl w:val="0"/>
        </w:rPr>
        <w:t xml:space="preserve">Australian occupational therapy journal.</w:t>
      </w:r>
      <w:r w:rsidDel="00000000" w:rsidR="00000000" w:rsidRPr="00000000">
        <w:rPr>
          <w:highlight w:val="white"/>
          <w:rtl w:val="0"/>
        </w:rPr>
        <w:t xml:space="preserve"> 66(4). pp.519-529.</w:t>
      </w:r>
    </w:p>
    <w:p w:rsidR="00000000" w:rsidDel="00000000" w:rsidP="00000000" w:rsidRDefault="00000000" w:rsidRPr="00000000" w14:paraId="00000055">
      <w:pPr>
        <w:shd w:fill="ffffff" w:val="clear"/>
        <w:ind w:left="859" w:hanging="845"/>
        <w:rPr>
          <w:highlight w:val="white"/>
        </w:rPr>
      </w:pPr>
      <w:r w:rsidDel="00000000" w:rsidR="00000000" w:rsidRPr="00000000">
        <w:rPr>
          <w:highlight w:val="white"/>
          <w:rtl w:val="0"/>
        </w:rPr>
        <w:t xml:space="preserve">Sittig, S., McGowan, A. and Iyengar, S., 2020. Extensive review of persuasive system design categories and principles: behavioral obesity interventions. </w:t>
      </w:r>
      <w:r w:rsidDel="00000000" w:rsidR="00000000" w:rsidRPr="00000000">
        <w:rPr>
          <w:i w:val="1"/>
          <w:highlight w:val="white"/>
          <w:rtl w:val="0"/>
        </w:rPr>
        <w:t xml:space="preserve">Journal of Medical Systems.</w:t>
      </w:r>
      <w:r w:rsidDel="00000000" w:rsidR="00000000" w:rsidRPr="00000000">
        <w:rPr>
          <w:highlight w:val="white"/>
          <w:rtl w:val="0"/>
        </w:rPr>
        <w:t xml:space="preserve"> 44</w:t>
      </w:r>
      <w:r w:rsidDel="00000000" w:rsidR="00000000" w:rsidRPr="00000000">
        <w:rPr>
          <w:i w:val="1"/>
          <w:highlight w:val="white"/>
          <w:rtl w:val="0"/>
        </w:rPr>
        <w:t xml:space="preserve">.</w:t>
      </w:r>
      <w:r w:rsidDel="00000000" w:rsidR="00000000" w:rsidRPr="00000000">
        <w:rPr>
          <w:highlight w:val="white"/>
          <w:rtl w:val="0"/>
        </w:rPr>
        <w:t xml:space="preserve"> pp.1-12.</w:t>
      </w:r>
    </w:p>
    <w:p w:rsidR="00000000" w:rsidDel="00000000" w:rsidP="00000000" w:rsidRDefault="00000000" w:rsidRPr="00000000" w14:paraId="00000056">
      <w:pPr>
        <w:shd w:fill="ffffff" w:val="clear"/>
        <w:ind w:left="859" w:hanging="845"/>
        <w:rPr>
          <w:highlight w:val="white"/>
        </w:rPr>
      </w:pPr>
      <w:r w:rsidDel="00000000" w:rsidR="00000000" w:rsidRPr="00000000">
        <w:rPr>
          <w:highlight w:val="white"/>
          <w:rtl w:val="0"/>
        </w:rPr>
        <w:t xml:space="preserve">Sturm, A.,and et. al., 2019. ECCO-ESGAR Guideline for Diagnostic Assessment in IBD Part 2: IBD scores and general principles and technical aspects. </w:t>
      </w:r>
      <w:r w:rsidDel="00000000" w:rsidR="00000000" w:rsidRPr="00000000">
        <w:rPr>
          <w:i w:val="1"/>
          <w:highlight w:val="white"/>
          <w:rtl w:val="0"/>
        </w:rPr>
        <w:t xml:space="preserve">Journal of Crohn's and Colitis.</w:t>
      </w:r>
      <w:r w:rsidDel="00000000" w:rsidR="00000000" w:rsidRPr="00000000">
        <w:rPr>
          <w:highlight w:val="white"/>
          <w:rtl w:val="0"/>
        </w:rPr>
        <w:t xml:space="preserve"> 13(3). pp.273-284.</w:t>
      </w:r>
    </w:p>
    <w:p w:rsidR="00000000" w:rsidDel="00000000" w:rsidP="00000000" w:rsidRDefault="00000000" w:rsidRPr="00000000" w14:paraId="00000057">
      <w:pPr>
        <w:shd w:fill="ffffff" w:val="clear"/>
        <w:ind w:left="859" w:hanging="845"/>
        <w:rPr>
          <w:highlight w:val="white"/>
        </w:rPr>
      </w:pPr>
      <w:r w:rsidDel="00000000" w:rsidR="00000000" w:rsidRPr="00000000">
        <w:rPr>
          <w:highlight w:val="white"/>
          <w:rtl w:val="0"/>
        </w:rPr>
        <w:t xml:space="preserve">Wiggins, A. and Wilbanks, J., 2019. The rise of citizen science in health and biomedical research. </w:t>
      </w:r>
      <w:r w:rsidDel="00000000" w:rsidR="00000000" w:rsidRPr="00000000">
        <w:rPr>
          <w:i w:val="1"/>
          <w:highlight w:val="white"/>
          <w:rtl w:val="0"/>
        </w:rPr>
        <w:t xml:space="preserve">The American Journal of Bioethics.</w:t>
      </w:r>
      <w:r w:rsidDel="00000000" w:rsidR="00000000" w:rsidRPr="00000000">
        <w:rPr>
          <w:highlight w:val="white"/>
          <w:rtl w:val="0"/>
        </w:rPr>
        <w:t xml:space="preserve"> 19(8). pp.3-14.</w:t>
      </w:r>
    </w:p>
    <w:p w:rsidR="00000000" w:rsidDel="00000000" w:rsidP="00000000" w:rsidRDefault="00000000" w:rsidRPr="00000000" w14:paraId="00000058">
      <w:pPr>
        <w:shd w:fill="ffffff" w:val="clear"/>
        <w:ind w:left="859" w:hanging="845"/>
        <w:rPr>
          <w:highlight w:val="white"/>
        </w:rPr>
      </w:pPr>
      <w:r w:rsidDel="00000000" w:rsidR="00000000" w:rsidRPr="00000000">
        <w:rPr>
          <w:highlight w:val="white"/>
          <w:rtl w:val="0"/>
        </w:rPr>
        <w:t xml:space="preserve">Young, C., Zubrzycki, J. and Plath, D., 2020. The slow interview? Developing key principles and practices. </w:t>
      </w:r>
      <w:r w:rsidDel="00000000" w:rsidR="00000000" w:rsidRPr="00000000">
        <w:rPr>
          <w:i w:val="1"/>
          <w:highlight w:val="white"/>
          <w:rtl w:val="0"/>
        </w:rPr>
        <w:t xml:space="preserve">Qualitative Research</w:t>
      </w:r>
      <w:r w:rsidDel="00000000" w:rsidR="00000000" w:rsidRPr="00000000">
        <w:rPr>
          <w:highlight w:val="white"/>
          <w:rtl w:val="0"/>
        </w:rPr>
        <w:t xml:space="preserve">, p.1468794120935300.</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ind w:left="720" w:hanging="720"/>
        <w:rPr>
          <w:highlight w:val="white"/>
        </w:rPr>
      </w:pPr>
      <w:r w:rsidDel="00000000" w:rsidR="00000000" w:rsidRPr="00000000">
        <w:rPr>
          <w:rtl w:val="0"/>
        </w:rPr>
      </w:r>
    </w:p>
    <w:p w:rsidR="00000000" w:rsidDel="00000000" w:rsidP="00000000" w:rsidRDefault="00000000" w:rsidRPr="00000000" w14:paraId="0000005B">
      <w:pPr>
        <w:ind w:left="720" w:hanging="720"/>
        <w:rPr>
          <w:highlight w:val="white"/>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ind w:left="720" w:hanging="720"/>
        <w:rPr/>
      </w:pPr>
      <w:r w:rsidDel="00000000" w:rsidR="00000000" w:rsidRPr="00000000">
        <w:rPr>
          <w:rtl w:val="0"/>
        </w:rPr>
      </w:r>
    </w:p>
    <w:sectPr>
      <w:headerReference r:id="rId7" w:type="default"/>
      <w:headerReference r:id="rId8" w:type="first"/>
      <w:headerReference r:id="rId9" w:type="even"/>
      <w:footerReference r:id="rId10" w:type="default"/>
      <w:footerReference r:id="rId11" w:type="first"/>
      <w:footerReference r:id="rId12" w:type="even"/>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Times New Roman"/>
  <w:font w:name="Calibri"/>
  <w:font w:name="Gungsuh"/>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C">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D">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E">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9">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A">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B">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
      <w:lvlJc w:val="left"/>
      <w:pPr>
        <w:ind w:left="1080" w:hanging="360"/>
      </w:pPr>
      <w:rPr>
        <w:rFonts w:ascii="Noto Sans Symbols" w:cs="Noto Sans Symbols" w:eastAsia="Noto Sans Symbols" w:hAnsi="Noto Sans Symbols"/>
      </w:rPr>
    </w:lvl>
    <w:lvl w:ilvl="2">
      <w:start w:val="1"/>
      <w:numFmt w:val="bullet"/>
      <w:lvlText w:val="▪"/>
      <w:lvlJc w:val="left"/>
      <w:pPr>
        <w:ind w:left="1440" w:hanging="360"/>
      </w:pPr>
      <w:rPr>
        <w:rFonts w:ascii="Noto Sans Symbols" w:cs="Noto Sans Symbols" w:eastAsia="Noto Sans Symbols" w:hAnsi="Noto Sans Symbols"/>
      </w:rPr>
    </w:lvl>
    <w:lvl w:ilvl="3">
      <w:start w:val="1"/>
      <w:numFmt w:val="bullet"/>
      <w:lvlText w:val="●"/>
      <w:lvlJc w:val="left"/>
      <w:pPr>
        <w:ind w:left="1800" w:hanging="360"/>
      </w:pPr>
      <w:rPr>
        <w:rFonts w:ascii="Noto Sans Symbols" w:cs="Noto Sans Symbols" w:eastAsia="Noto Sans Symbols" w:hAnsi="Noto Sans Symbols"/>
      </w:rPr>
    </w:lvl>
    <w:lvl w:ilvl="4">
      <w:start w:val="1"/>
      <w:numFmt w:val="bullet"/>
      <w:lvlText w:val="◦"/>
      <w:lvlJc w:val="left"/>
      <w:pPr>
        <w:ind w:left="2160" w:hanging="360"/>
      </w:pPr>
      <w:rPr>
        <w:rFonts w:ascii="Noto Sans Symbols" w:cs="Noto Sans Symbols" w:eastAsia="Noto Sans Symbols" w:hAnsi="Noto Sans Symbols"/>
      </w:rPr>
    </w:lvl>
    <w:lvl w:ilvl="5">
      <w:start w:val="1"/>
      <w:numFmt w:val="bullet"/>
      <w:lvlText w:val="▪"/>
      <w:lvlJc w:val="left"/>
      <w:pPr>
        <w:ind w:left="2520" w:hanging="360"/>
      </w:pPr>
      <w:rPr>
        <w:rFonts w:ascii="Noto Sans Symbols" w:cs="Noto Sans Symbols" w:eastAsia="Noto Sans Symbols" w:hAnsi="Noto Sans Symbols"/>
      </w:rPr>
    </w:lvl>
    <w:lvl w:ilvl="6">
      <w:start w:val="1"/>
      <w:numFmt w:val="bullet"/>
      <w:lvlText w:val="●"/>
      <w:lvlJc w:val="left"/>
      <w:pPr>
        <w:ind w:left="2880" w:hanging="360"/>
      </w:pPr>
      <w:rPr>
        <w:rFonts w:ascii="Noto Sans Symbols" w:cs="Noto Sans Symbols" w:eastAsia="Noto Sans Symbols" w:hAnsi="Noto Sans Symbols"/>
      </w:rPr>
    </w:lvl>
    <w:lvl w:ilvl="7">
      <w:start w:val="1"/>
      <w:numFmt w:val="bullet"/>
      <w:lvlText w:val="◦"/>
      <w:lvlJc w:val="left"/>
      <w:pPr>
        <w:ind w:left="3240" w:hanging="360"/>
      </w:pPr>
      <w:rPr>
        <w:rFonts w:ascii="Noto Sans Symbols" w:cs="Noto Sans Symbols" w:eastAsia="Noto Sans Symbols" w:hAnsi="Noto Sans Symbols"/>
      </w:rPr>
    </w:lvl>
    <w:lvl w:ilvl="8">
      <w:start w:val="1"/>
      <w:numFmt w:val="bullet"/>
      <w:lvlText w:val="▪"/>
      <w:lvlJc w:val="left"/>
      <w:pPr>
        <w:ind w:left="360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decimal"/>
      <w:lvlText w:val=""/>
      <w:lvlJc w:val="left"/>
      <w:pPr>
        <w:ind w:left="432" w:hanging="432"/>
      </w:pPr>
      <w:rPr/>
    </w:lvl>
    <w:lvl w:ilvl="1">
      <w:start w:val="1"/>
      <w:numFmt w:val="decimal"/>
      <w:lvlText w:val=""/>
      <w:lvlJc w:val="left"/>
      <w:pPr>
        <w:ind w:left="576" w:hanging="576"/>
      </w:pPr>
      <w:rPr/>
    </w:lvl>
    <w:lvl w:ilvl="2">
      <w:start w:val="1"/>
      <w:numFmt w:val="decimal"/>
      <w:lvlText w:val=""/>
      <w:lvlJc w:val="left"/>
      <w:pPr>
        <w:ind w:left="720" w:hanging="720"/>
      </w:pPr>
      <w:rPr/>
    </w:lvl>
    <w:lvl w:ilvl="3">
      <w:start w:val="1"/>
      <w:numFmt w:val="decimal"/>
      <w:lvlText w:val=""/>
      <w:lvlJc w:val="left"/>
      <w:pPr>
        <w:ind w:left="864" w:hanging="864"/>
      </w:pPr>
      <w:rPr/>
    </w:lvl>
    <w:lvl w:ilvl="4">
      <w:start w:val="1"/>
      <w:numFmt w:val="decimal"/>
      <w:lvlText w:val=""/>
      <w:lvlJc w:val="left"/>
      <w:pPr>
        <w:ind w:left="1008" w:hanging="1008"/>
      </w:pPr>
      <w:rPr/>
    </w:lvl>
    <w:lvl w:ilvl="5">
      <w:start w:val="1"/>
      <w:numFmt w:val="decimal"/>
      <w:lvlText w:val=""/>
      <w:lvlJc w:val="left"/>
      <w:pPr>
        <w:ind w:left="1152" w:hanging="1152"/>
      </w:pPr>
      <w:rPr/>
    </w:lvl>
    <w:lvl w:ilvl="6">
      <w:start w:val="1"/>
      <w:numFmt w:val="decimal"/>
      <w:lvlText w:val=""/>
      <w:lvlJc w:val="left"/>
      <w:pPr>
        <w:ind w:left="1296" w:hanging="1296"/>
      </w:pPr>
      <w:rPr/>
    </w:lvl>
    <w:lvl w:ilvl="7">
      <w:start w:val="1"/>
      <w:numFmt w:val="decimal"/>
      <w:lvlText w:val=""/>
      <w:lvlJc w:val="left"/>
      <w:pPr>
        <w:ind w:left="1440" w:hanging="1440"/>
      </w:pPr>
      <w:rPr/>
    </w:lvl>
    <w:lvl w:ilvl="8">
      <w:start w:val="1"/>
      <w:numFmt w:val="decimal"/>
      <w:lvlText w:val=""/>
      <w:lvlJc w:val="left"/>
      <w:pPr>
        <w:ind w:left="1584" w:hanging="1584"/>
      </w:pPr>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
      <w:lvlJc w:val="left"/>
      <w:pPr>
        <w:ind w:left="1080" w:hanging="360"/>
      </w:pPr>
      <w:rPr>
        <w:rFonts w:ascii="Noto Sans Symbols" w:cs="Noto Sans Symbols" w:eastAsia="Noto Sans Symbols" w:hAnsi="Noto Sans Symbols"/>
      </w:rPr>
    </w:lvl>
    <w:lvl w:ilvl="2">
      <w:start w:val="1"/>
      <w:numFmt w:val="bullet"/>
      <w:lvlText w:val="▪"/>
      <w:lvlJc w:val="left"/>
      <w:pPr>
        <w:ind w:left="1440" w:hanging="360"/>
      </w:pPr>
      <w:rPr>
        <w:rFonts w:ascii="Noto Sans Symbols" w:cs="Noto Sans Symbols" w:eastAsia="Noto Sans Symbols" w:hAnsi="Noto Sans Symbols"/>
      </w:rPr>
    </w:lvl>
    <w:lvl w:ilvl="3">
      <w:start w:val="1"/>
      <w:numFmt w:val="bullet"/>
      <w:lvlText w:val="●"/>
      <w:lvlJc w:val="left"/>
      <w:pPr>
        <w:ind w:left="1800" w:hanging="360"/>
      </w:pPr>
      <w:rPr>
        <w:rFonts w:ascii="Noto Sans Symbols" w:cs="Noto Sans Symbols" w:eastAsia="Noto Sans Symbols" w:hAnsi="Noto Sans Symbols"/>
      </w:rPr>
    </w:lvl>
    <w:lvl w:ilvl="4">
      <w:start w:val="1"/>
      <w:numFmt w:val="bullet"/>
      <w:lvlText w:val="◦"/>
      <w:lvlJc w:val="left"/>
      <w:pPr>
        <w:ind w:left="2160" w:hanging="360"/>
      </w:pPr>
      <w:rPr>
        <w:rFonts w:ascii="Noto Sans Symbols" w:cs="Noto Sans Symbols" w:eastAsia="Noto Sans Symbols" w:hAnsi="Noto Sans Symbols"/>
      </w:rPr>
    </w:lvl>
    <w:lvl w:ilvl="5">
      <w:start w:val="1"/>
      <w:numFmt w:val="bullet"/>
      <w:lvlText w:val="▪"/>
      <w:lvlJc w:val="left"/>
      <w:pPr>
        <w:ind w:left="2520" w:hanging="360"/>
      </w:pPr>
      <w:rPr>
        <w:rFonts w:ascii="Noto Sans Symbols" w:cs="Noto Sans Symbols" w:eastAsia="Noto Sans Symbols" w:hAnsi="Noto Sans Symbols"/>
      </w:rPr>
    </w:lvl>
    <w:lvl w:ilvl="6">
      <w:start w:val="1"/>
      <w:numFmt w:val="bullet"/>
      <w:lvlText w:val="●"/>
      <w:lvlJc w:val="left"/>
      <w:pPr>
        <w:ind w:left="2880" w:hanging="360"/>
      </w:pPr>
      <w:rPr>
        <w:rFonts w:ascii="Noto Sans Symbols" w:cs="Noto Sans Symbols" w:eastAsia="Noto Sans Symbols" w:hAnsi="Noto Sans Symbols"/>
      </w:rPr>
    </w:lvl>
    <w:lvl w:ilvl="7">
      <w:start w:val="1"/>
      <w:numFmt w:val="bullet"/>
      <w:lvlText w:val="◦"/>
      <w:lvlJc w:val="left"/>
      <w:pPr>
        <w:ind w:left="3240" w:hanging="360"/>
      </w:pPr>
      <w:rPr>
        <w:rFonts w:ascii="Noto Sans Symbols" w:cs="Noto Sans Symbols" w:eastAsia="Noto Sans Symbols" w:hAnsi="Noto Sans Symbols"/>
      </w:rPr>
    </w:lvl>
    <w:lvl w:ilvl="8">
      <w:start w:val="1"/>
      <w:numFmt w:val="bullet"/>
      <w:lvlText w:val="▪"/>
      <w:lvlJc w:val="left"/>
      <w:pPr>
        <w:ind w:left="360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113" w:lineRule="auto"/>
      <w:ind w:left="432" w:hanging="432"/>
    </w:pPr>
    <w:rPr>
      <w:b w:val="1"/>
      <w:sz w:val="28"/>
      <w:szCs w:val="28"/>
    </w:rPr>
  </w:style>
  <w:style w:type="paragraph" w:styleId="Heading2">
    <w:name w:val="heading 2"/>
    <w:basedOn w:val="Normal"/>
    <w:next w:val="Normal"/>
    <w:pPr>
      <w:keepNext w:val="1"/>
      <w:keepLines w:val="1"/>
      <w:spacing w:before="113" w:lineRule="auto"/>
      <w:ind w:left="576" w:hanging="576"/>
    </w:pPr>
    <w:rPr>
      <w:u w:val="single"/>
    </w:rPr>
  </w:style>
  <w:style w:type="paragraph" w:styleId="Heading3">
    <w:name w:val="heading 3"/>
    <w:basedOn w:val="Normal"/>
    <w:next w:val="Normal"/>
    <w:pPr>
      <w:keepNext w:val="1"/>
      <w:spacing w:after="120" w:before="240" w:lineRule="auto"/>
      <w:ind w:left="720" w:hanging="720"/>
    </w:pPr>
    <w:rPr>
      <w:rFonts w:ascii="Arial" w:cs="Arial" w:eastAsia="Arial" w:hAnsi="Arial"/>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pPr>
      <w:suppressAutoHyphens w:val="1"/>
      <w:spacing w:line="360" w:lineRule="auto"/>
      <w:jc w:val="both"/>
    </w:pPr>
    <w:rPr>
      <w:rFonts w:eastAsia="Calibri"/>
      <w:color w:val="000000"/>
      <w:sz w:val="24"/>
      <w:szCs w:val="22"/>
      <w:lang w:eastAsia="ar-SA"/>
    </w:rPr>
  </w:style>
  <w:style w:type="paragraph" w:styleId="Heading1">
    <w:name w:val="heading 1"/>
    <w:basedOn w:val="Normal"/>
    <w:next w:val="Normal"/>
    <w:qFormat w:val="1"/>
    <w:pPr>
      <w:keepNext w:val="1"/>
      <w:keepLines w:val="1"/>
      <w:numPr>
        <w:numId w:val="1"/>
      </w:numPr>
      <w:spacing w:before="113"/>
      <w:outlineLvl w:val="0"/>
    </w:pPr>
    <w:rPr>
      <w:rFonts w:eastAsia="Times New Roman"/>
      <w:b w:val="1"/>
      <w:bCs w:val="1"/>
      <w:sz w:val="28"/>
      <w:szCs w:val="28"/>
    </w:rPr>
  </w:style>
  <w:style w:type="paragraph" w:styleId="Heading2">
    <w:name w:val="heading 2"/>
    <w:basedOn w:val="Normal"/>
    <w:next w:val="Normal"/>
    <w:qFormat w:val="1"/>
    <w:pPr>
      <w:keepNext w:val="1"/>
      <w:keepLines w:val="1"/>
      <w:numPr>
        <w:ilvl w:val="1"/>
        <w:numId w:val="1"/>
      </w:numPr>
      <w:spacing w:before="113"/>
      <w:outlineLvl w:val="1"/>
    </w:pPr>
    <w:rPr>
      <w:rFonts w:eastAsia="Times New Roman"/>
      <w:bCs w:val="1"/>
      <w:szCs w:val="26"/>
      <w:u w:val="single"/>
    </w:rPr>
  </w:style>
  <w:style w:type="paragraph" w:styleId="Heading3">
    <w:name w:val="heading 3"/>
    <w:basedOn w:val="Heading"/>
    <w:next w:val="BodyText"/>
    <w:qFormat w:val="1"/>
    <w:pPr>
      <w:numPr>
        <w:ilvl w:val="2"/>
        <w:numId w:val="1"/>
      </w:numPr>
      <w:outlineLvl w:val="2"/>
    </w:pPr>
    <w:rPr>
      <w:b w:val="1"/>
      <w:bCs w:val="1"/>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WW8Num1z0" w:customStyle="1">
    <w:name w:val="WW8Num1z0"/>
  </w:style>
  <w:style w:type="character" w:styleId="WW8Num1z1" w:customStyle="1">
    <w:name w:val="WW8Num1z1"/>
  </w:style>
  <w:style w:type="character" w:styleId="WW8Num1z2" w:customStyle="1">
    <w:name w:val="WW8Num1z2"/>
  </w:style>
  <w:style w:type="character" w:styleId="WW8Num1z3" w:customStyle="1">
    <w:name w:val="WW8Num1z3"/>
  </w:style>
  <w:style w:type="character" w:styleId="WW8Num1z4" w:customStyle="1">
    <w:name w:val="WW8Num1z4"/>
  </w:style>
  <w:style w:type="character" w:styleId="WW8Num1z5" w:customStyle="1">
    <w:name w:val="WW8Num1z5"/>
  </w:style>
  <w:style w:type="character" w:styleId="WW8Num1z6" w:customStyle="1">
    <w:name w:val="WW8Num1z6"/>
  </w:style>
  <w:style w:type="character" w:styleId="WW8Num1z7" w:customStyle="1">
    <w:name w:val="WW8Num1z7"/>
  </w:style>
  <w:style w:type="character" w:styleId="WW8Num1z8" w:customStyle="1">
    <w:name w:val="WW8Num1z8"/>
  </w:style>
  <w:style w:type="character" w:styleId="WW8Num2z0" w:customStyle="1">
    <w:name w:val="WW8Num2z0"/>
    <w:rPr>
      <w:rFonts w:ascii="Symbol" w:cs="OpenSymbol" w:hAnsi="Symbol"/>
      <w:caps w:val="0"/>
      <w:smallCaps w:val="0"/>
    </w:rPr>
  </w:style>
  <w:style w:type="character" w:styleId="WW8Num2z1" w:customStyle="1">
    <w:name w:val="WW8Num2z1"/>
    <w:rPr>
      <w:rFonts w:ascii="OpenSymbol" w:cs="OpenSymbol" w:hAnsi="OpenSymbol"/>
    </w:rPr>
  </w:style>
  <w:style w:type="character" w:styleId="DefaultParagraphFont0">
    <w:name w:val="Default Paragraph Font"/>
  </w:style>
  <w:style w:type="character" w:styleId="WW-DefaultParagraphFont" w:customStyle="1">
    <w:name w:val="WW-Default Paragraph Font"/>
  </w:style>
  <w:style w:type="character" w:styleId="WW8Num3z0" w:customStyle="1">
    <w:name w:val="WW8Num3z0"/>
    <w:rPr>
      <w:rFonts w:ascii="Symbol" w:cs="OpenSymbol" w:hAnsi="Symbol"/>
    </w:rPr>
  </w:style>
  <w:style w:type="character" w:styleId="WW8Num3z1" w:customStyle="1">
    <w:name w:val="WW8Num3z1"/>
    <w:rPr>
      <w:rFonts w:ascii="OpenSymbol" w:cs="OpenSymbol" w:hAnsi="OpenSymbol"/>
    </w:rPr>
  </w:style>
  <w:style w:type="character" w:styleId="WW-DefaultParagraphFont1" w:customStyle="1">
    <w:name w:val="WW-Default Paragraph Font1"/>
  </w:style>
  <w:style w:type="character" w:styleId="HeaderChar" w:customStyle="1">
    <w:name w:val="Header Char"/>
    <w:basedOn w:val="WW-DefaultParagraphFont1"/>
  </w:style>
  <w:style w:type="character" w:styleId="FooterChar" w:customStyle="1">
    <w:name w:val="Footer Char"/>
    <w:basedOn w:val="WW-DefaultParagraphFont1"/>
  </w:style>
  <w:style w:type="character" w:styleId="Heading1Char" w:customStyle="1">
    <w:name w:val="Heading 1 Char"/>
    <w:rPr>
      <w:rFonts w:ascii="Times New Roman" w:cs="Times New Roman" w:eastAsia="Times New Roman" w:hAnsi="Times New Roman"/>
      <w:b w:val="1"/>
      <w:bCs w:val="1"/>
      <w:sz w:val="28"/>
      <w:szCs w:val="28"/>
    </w:rPr>
  </w:style>
  <w:style w:type="character" w:styleId="Heading2Char" w:customStyle="1">
    <w:name w:val="Heading 2 Char"/>
    <w:rPr>
      <w:rFonts w:ascii="Times New Roman" w:cs="Times New Roman" w:eastAsia="Times New Roman" w:hAnsi="Times New Roman"/>
      <w:bCs w:val="1"/>
      <w:sz w:val="24"/>
      <w:szCs w:val="26"/>
      <w:u w:val="single"/>
    </w:rPr>
  </w:style>
  <w:style w:type="character" w:styleId="Bullets" w:customStyle="1">
    <w:name w:val="Bullets"/>
    <w:rPr>
      <w:rFonts w:ascii="OpenSymbol" w:cs="OpenSymbol" w:eastAsia="OpenSymbol" w:hAnsi="OpenSymbol"/>
    </w:rPr>
  </w:style>
  <w:style w:type="character" w:styleId="Hyperlink">
    <w:name w:val="Hyperlink"/>
    <w:uiPriority w:val="99"/>
    <w:rPr>
      <w:color w:val="000080"/>
      <w:u w:val="single"/>
      <w:lang/>
    </w:rPr>
  </w:style>
  <w:style w:type="character" w:styleId="NumberingSymbols" w:customStyle="1">
    <w:name w:val="Numbering Symbols"/>
  </w:style>
  <w:style w:type="character" w:styleId="ListLabel4" w:customStyle="1">
    <w:name w:val="ListLabel 4"/>
    <w:rPr>
      <w:b w:val="1"/>
      <w:bCs w:val="1"/>
      <w:w w:val="100"/>
      <w:lang w:bidi="ar-SA" w:eastAsia="ar-SA" w:val="en-US"/>
    </w:rPr>
  </w:style>
  <w:style w:type="character" w:styleId="ListLabel5" w:customStyle="1">
    <w:name w:val="ListLabel 5"/>
    <w:rPr>
      <w:rFonts w:cs="Arial" w:eastAsia="Arial"/>
      <w:spacing w:val="-8"/>
      <w:w w:val="100"/>
      <w:sz w:val="24"/>
      <w:szCs w:val="24"/>
      <w:lang w:bidi="ar-SA" w:eastAsia="ar-SA" w:val="en-US"/>
    </w:rPr>
  </w:style>
  <w:style w:type="character" w:styleId="ListLabel2" w:customStyle="1">
    <w:name w:val="ListLabel 2"/>
    <w:rPr>
      <w:lang w:bidi="ar-SA" w:eastAsia="ar-SA" w:val="en-US"/>
    </w:rPr>
  </w:style>
  <w:style w:type="character" w:styleId="ListLabel1" w:customStyle="1">
    <w:name w:val="ListLabel 1"/>
    <w:rPr>
      <w:rFonts w:cs="Arial" w:eastAsia="Arial"/>
      <w:spacing w:val="-1"/>
      <w:w w:val="100"/>
      <w:sz w:val="24"/>
      <w:szCs w:val="24"/>
      <w:lang w:bidi="ar-SA" w:eastAsia="ar-SA" w:val="en-US"/>
    </w:rPr>
  </w:style>
  <w:style w:type="character" w:styleId="WW8Num4z0" w:customStyle="1">
    <w:name w:val="WW8Num4z0"/>
    <w:rPr>
      <w:rFonts w:ascii="Symbol" w:cs="OpenSymbol" w:hAnsi="Symbol"/>
      <w:color w:val="000000"/>
    </w:rPr>
  </w:style>
  <w:style w:type="character" w:styleId="WW8Num4z1" w:customStyle="1">
    <w:name w:val="WW8Num4z1"/>
    <w:rPr>
      <w:rFonts w:ascii="OpenSymbol" w:cs="OpenSymbol" w:hAnsi="OpenSymbol"/>
    </w:rPr>
  </w:style>
  <w:style w:type="paragraph" w:styleId="Heading" w:customStyle="1">
    <w:name w:val="Heading"/>
    <w:basedOn w:val="Normal"/>
    <w:next w:val="BodyText"/>
    <w:pPr>
      <w:keepNext w:val="1"/>
      <w:spacing w:after="120" w:before="240"/>
    </w:pPr>
    <w:rPr>
      <w:rFonts w:ascii="Arial" w:cs="DejaVu Sans" w:eastAsia="Droid Sans" w:hAnsi="Arial"/>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val="1"/>
    <w:pPr>
      <w:suppressLineNumbers w:val="1"/>
      <w:spacing w:after="120" w:before="120"/>
    </w:pPr>
    <w:rPr>
      <w:rFonts w:cs="DejaVu Sans"/>
      <w:i w:val="1"/>
      <w:iCs w:val="1"/>
      <w:szCs w:val="24"/>
    </w:rPr>
  </w:style>
  <w:style w:type="paragraph" w:styleId="Index" w:customStyle="1">
    <w:name w:val="Index"/>
    <w:basedOn w:val="Normal"/>
    <w:pPr>
      <w:suppressLineNumbers w:val="1"/>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styleId="ContentsHeading" w:customStyle="1">
    <w:name w:val="Contents Heading"/>
    <w:basedOn w:val="Heading"/>
    <w:pPr>
      <w:suppressLineNumbers w:val="1"/>
      <w:jc w:val="center"/>
    </w:pPr>
    <w:rPr>
      <w:rFonts w:ascii="Times New Roman" w:cs="Times New Roman" w:hAnsi="Times New Roman"/>
      <w:b w:val="1"/>
      <w:bCs w:val="1"/>
      <w:szCs w:val="32"/>
    </w:rPr>
  </w:style>
  <w:style w:type="paragraph" w:styleId="NoSpacing">
    <w:name w:val="No Spacing"/>
    <w:qFormat w:val="1"/>
    <w:pPr>
      <w:suppressAutoHyphens w:val="1"/>
      <w:spacing w:line="100" w:lineRule="atLeast"/>
    </w:pPr>
    <w:rPr>
      <w:rFonts w:ascii="Tinos" w:cs="DejaVu Sans" w:eastAsia="Droid Sans" w:hAnsi="Tinos"/>
      <w:sz w:val="24"/>
      <w:szCs w:val="24"/>
      <w:lang w:bidi="hi-IN" w:eastAsia="hi-IN"/>
    </w:rPr>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styleId="Contents10" w:customStyle="1">
    <w:name w:val="Contents 10"/>
    <w:basedOn w:val="Index"/>
    <w:pPr>
      <w:tabs>
        <w:tab w:val="right" w:leader="dot" w:pos="7091"/>
      </w:tabs>
      <w:ind w:left="2547"/>
    </w:pPr>
  </w:style>
  <w:style w:type="paragraph" w:styleId="TableContents" w:customStyle="1">
    <w:name w:val="Table Contents"/>
    <w:basedOn w:val="Normal"/>
    <w:pPr>
      <w:suppressLineNumbers w:val="1"/>
    </w:pPr>
  </w:style>
  <w:style w:type="paragraph" w:styleId="ListParagraph">
    <w:name w:val="List Paragraph"/>
    <w:basedOn w:val="Normal"/>
    <w:qFormat w:val="1"/>
    <w:pPr>
      <w:ind w:left="139"/>
    </w:pPr>
    <w:rPr>
      <w:rFonts w:ascii="Arial" w:cs="Arial" w:eastAsia="Arial" w:hAnsi="Arial"/>
      <w:lang w:val="en-US"/>
    </w:rPr>
  </w:style>
  <w:style w:type="paragraph" w:styleId="TableHeading" w:customStyle="1">
    <w:name w:val="Table Heading"/>
    <w:basedOn w:val="TableContents"/>
    <w:pPr>
      <w:jc w:val="center"/>
    </w:pPr>
    <w:rPr>
      <w:b w:val="1"/>
      <w:bCs w:val="1"/>
    </w:rPr>
  </w:style>
  <w:style w:type="paragraph" w:styleId="TOCHeading">
    <w:name w:val="TOC Heading"/>
    <w:basedOn w:val="Heading1"/>
    <w:next w:val="Normal"/>
    <w:uiPriority w:val="39"/>
    <w:unhideWhenUsed w:val="1"/>
    <w:qFormat w:val="1"/>
    <w:rsid w:val="00BD55BA"/>
    <w:pPr>
      <w:numPr>
        <w:numId w:val="0"/>
      </w:numPr>
      <w:suppressAutoHyphens w:val="0"/>
      <w:spacing w:before="240" w:line="259" w:lineRule="auto"/>
      <w:jc w:val="left"/>
      <w:outlineLvl w:val="9"/>
    </w:pPr>
    <w:rPr>
      <w:rFonts w:ascii="Calibri Light" w:hAnsi="Calibri Light"/>
      <w:b w:val="0"/>
      <w:bCs w:val="0"/>
      <w:color w:val="2e74b5"/>
      <w:sz w:val="32"/>
      <w:szCs w:val="32"/>
      <w:lang w:eastAsia="en-US" w:val="en-US"/>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2.xml"/><Relationship Id="rId10" Type="http://schemas.openxmlformats.org/officeDocument/2006/relationships/footer" Target="footer3.xml"/><Relationship Id="rId12" Type="http://schemas.openxmlformats.org/officeDocument/2006/relationships/footer" Target="footer1.xml"/><Relationship Id="rId9" Type="http://schemas.openxmlformats.org/officeDocument/2006/relationships/header" Target="header2.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eader" Target="header1.xml"/><Relationship Id="rId8"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AN6n8GpiDT8cPG3JioKA6Zk2txA==">AMUW2mUd7Zw5cUihmJxKLYfRHPAuKefts85TcXh8bXwYpAso8176K5HqaXobrHCBGHVDOGLxAaEOR3qoq5oclUdaPAN3qOOZWctYTmpEhkHM86g5sPKAPXG6UcAVFixvYG4kHHzVI5DZ2kUAfDidOBZLxJvgBJ2z5ZGnSZjKNoDKsK//9xEEpRh93M6QdRNOhG2J1R/xJWV8ZeOhC9QN17Z4UzvYhCRCiX2bXeQU4x3WewezwH3pt+1xBXPiJllOuCRrRi8gactEV2r4YEr6CowCo+SLgM/lo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2021-04-22T08:10:00Z</dcterms:created>
  <dc:creator>pc</dc:creator>
</cp:coreProperties>
</file>