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A2DF4C" w14:textId="77777777" w:rsidR="00DA01DE" w:rsidRPr="004278A6" w:rsidRDefault="00D93020" w:rsidP="00D93020">
      <w:pPr>
        <w:spacing w:after="0" w:line="240" w:lineRule="auto"/>
        <w:jc w:val="center"/>
        <w:rPr>
          <w:rFonts w:ascii="Calibri" w:hAnsi="Calibri" w:cs="Calibri"/>
          <w:b/>
          <w:bCs/>
          <w:color w:val="000000" w:themeColor="text1"/>
          <w:sz w:val="42"/>
          <w:szCs w:val="42"/>
        </w:rPr>
      </w:pPr>
      <w:r w:rsidRPr="004278A6">
        <w:rPr>
          <w:rFonts w:ascii="Calibri" w:hAnsi="Calibri" w:cs="Calibri"/>
          <w:b/>
          <w:bCs/>
          <w:color w:val="000000" w:themeColor="text1"/>
          <w:sz w:val="42"/>
          <w:szCs w:val="42"/>
        </w:rPr>
        <w:t xml:space="preserve">Independent Project </w:t>
      </w:r>
    </w:p>
    <w:p w14:paraId="255D1F42" w14:textId="77777777" w:rsidR="00D93020" w:rsidRPr="004278A6" w:rsidRDefault="00D93020" w:rsidP="00D93020">
      <w:pPr>
        <w:spacing w:after="0" w:line="240" w:lineRule="auto"/>
        <w:jc w:val="center"/>
        <w:rPr>
          <w:rFonts w:ascii="Calibri" w:hAnsi="Calibri" w:cs="Calibri"/>
          <w:b/>
          <w:bCs/>
          <w:color w:val="000000" w:themeColor="text1"/>
          <w:sz w:val="30"/>
          <w:szCs w:val="30"/>
        </w:rPr>
      </w:pPr>
      <w:r w:rsidRPr="004278A6">
        <w:rPr>
          <w:rFonts w:ascii="Calibri" w:hAnsi="Calibri" w:cs="Calibri"/>
          <w:b/>
          <w:bCs/>
          <w:color w:val="000000" w:themeColor="text1"/>
          <w:sz w:val="30"/>
          <w:szCs w:val="30"/>
        </w:rPr>
        <w:t>LCBB6014</w:t>
      </w:r>
    </w:p>
    <w:p w14:paraId="0084E6BF" w14:textId="77777777" w:rsidR="00D93020" w:rsidRPr="004278A6" w:rsidRDefault="00D93020" w:rsidP="00D93020">
      <w:pPr>
        <w:spacing w:after="0" w:line="240" w:lineRule="auto"/>
        <w:jc w:val="center"/>
        <w:rPr>
          <w:rFonts w:ascii="Calibri" w:hAnsi="Calibri" w:cs="Calibri"/>
          <w:b/>
          <w:bCs/>
          <w:color w:val="000000" w:themeColor="text1"/>
        </w:rPr>
      </w:pPr>
      <w:r w:rsidRPr="004278A6">
        <w:rPr>
          <w:rFonts w:ascii="Calibri" w:hAnsi="Calibri" w:cs="Calibri"/>
          <w:b/>
          <w:bCs/>
          <w:color w:val="000000" w:themeColor="text1"/>
        </w:rPr>
        <w:t xml:space="preserve">Project Proposal Structure </w:t>
      </w:r>
    </w:p>
    <w:p w14:paraId="0594D09B" w14:textId="77777777" w:rsidR="00D93020" w:rsidRPr="004278A6" w:rsidRDefault="00D93020" w:rsidP="00D93020">
      <w:pPr>
        <w:spacing w:after="0" w:line="240" w:lineRule="auto"/>
        <w:jc w:val="center"/>
        <w:rPr>
          <w:rFonts w:ascii="Calibri" w:hAnsi="Calibri" w:cs="Calibri"/>
          <w:b/>
          <w:bCs/>
          <w:color w:val="000000" w:themeColor="text1"/>
        </w:rPr>
      </w:pPr>
    </w:p>
    <w:p w14:paraId="39138C06" w14:textId="77777777" w:rsidR="00D93020" w:rsidRDefault="00D93020" w:rsidP="00D93020">
      <w:pPr>
        <w:spacing w:after="0" w:line="240" w:lineRule="auto"/>
        <w:rPr>
          <w:rFonts w:ascii="Calibri" w:hAnsi="Calibri" w:cs="Calibri"/>
          <w:b/>
          <w:bCs/>
          <w:color w:val="000000" w:themeColor="text1"/>
          <w:sz w:val="32"/>
          <w:szCs w:val="32"/>
        </w:rPr>
      </w:pPr>
      <w:r w:rsidRPr="00A96D10">
        <w:rPr>
          <w:rFonts w:ascii="Calibri" w:hAnsi="Calibri" w:cs="Calibri"/>
          <w:b/>
          <w:bCs/>
          <w:color w:val="000000" w:themeColor="text1"/>
          <w:sz w:val="32"/>
          <w:szCs w:val="32"/>
        </w:rPr>
        <w:t xml:space="preserve">Research Title: </w:t>
      </w:r>
    </w:p>
    <w:p w14:paraId="3DEF8C9E" w14:textId="77777777" w:rsidR="00A36EE1" w:rsidRPr="00A96D10" w:rsidRDefault="00A36EE1" w:rsidP="00D93020">
      <w:pPr>
        <w:spacing w:after="0" w:line="240" w:lineRule="auto"/>
        <w:rPr>
          <w:rFonts w:ascii="Calibri" w:hAnsi="Calibri" w:cs="Calibri"/>
          <w:b/>
          <w:bCs/>
          <w:color w:val="000000" w:themeColor="text1"/>
          <w:sz w:val="32"/>
          <w:szCs w:val="32"/>
        </w:rPr>
      </w:pPr>
    </w:p>
    <w:p w14:paraId="29F25A19" w14:textId="77777777" w:rsidR="00B96719" w:rsidRPr="00B96719" w:rsidRDefault="00B96719" w:rsidP="00B96719">
      <w:pPr>
        <w:spacing w:line="360" w:lineRule="auto"/>
        <w:jc w:val="center"/>
        <w:rPr>
          <w:rFonts w:ascii="Arial" w:hAnsi="Arial" w:cs="Arial"/>
          <w:b/>
          <w:bCs/>
          <w:sz w:val="32"/>
          <w:szCs w:val="32"/>
        </w:rPr>
      </w:pPr>
      <w:r w:rsidRPr="00B96719">
        <w:rPr>
          <w:rFonts w:ascii="Arial" w:hAnsi="Arial" w:cs="Arial"/>
          <w:b/>
          <w:bCs/>
          <w:sz w:val="32"/>
          <w:szCs w:val="32"/>
        </w:rPr>
        <w:t>Investigate the Organisational Impact of Audiovisual Collaboration Technologies in Hybrid Work Environments</w:t>
      </w:r>
    </w:p>
    <w:p w14:paraId="51773C9C" w14:textId="77777777" w:rsidR="00B96719" w:rsidRPr="004278A6" w:rsidRDefault="00B96719" w:rsidP="00D93020">
      <w:pPr>
        <w:spacing w:after="0" w:line="240" w:lineRule="auto"/>
        <w:rPr>
          <w:rFonts w:ascii="Calibri" w:hAnsi="Calibri" w:cs="Calibri"/>
          <w:b/>
          <w:bCs/>
          <w:color w:val="000000" w:themeColor="text1"/>
        </w:rPr>
      </w:pPr>
    </w:p>
    <w:p w14:paraId="665D0A1B" w14:textId="77777777" w:rsidR="00D93020" w:rsidRPr="00F80B00" w:rsidRDefault="00B96719" w:rsidP="00D93020">
      <w:pPr>
        <w:spacing w:after="0" w:line="240" w:lineRule="auto"/>
        <w:rPr>
          <w:rFonts w:ascii="Arial" w:hAnsi="Arial" w:cs="Arial"/>
          <w:b/>
          <w:bCs/>
          <w:color w:val="000000" w:themeColor="text1"/>
          <w:sz w:val="28"/>
          <w:szCs w:val="28"/>
        </w:rPr>
      </w:pPr>
      <w:r w:rsidRPr="00F80B00">
        <w:rPr>
          <w:rFonts w:ascii="Arial" w:hAnsi="Arial" w:cs="Arial"/>
          <w:b/>
          <w:bCs/>
          <w:color w:val="000000" w:themeColor="text1"/>
          <w:sz w:val="28"/>
          <w:szCs w:val="28"/>
        </w:rPr>
        <w:t>Chapter 1</w:t>
      </w:r>
    </w:p>
    <w:p w14:paraId="1A599B0F" w14:textId="77777777" w:rsidR="00B96719" w:rsidRPr="00F80B00" w:rsidRDefault="00B96719" w:rsidP="00D93020">
      <w:pPr>
        <w:spacing w:after="0" w:line="240" w:lineRule="auto"/>
        <w:rPr>
          <w:rFonts w:ascii="Arial" w:hAnsi="Arial" w:cs="Arial"/>
          <w:b/>
          <w:bCs/>
          <w:color w:val="000000" w:themeColor="text1"/>
          <w:sz w:val="28"/>
          <w:szCs w:val="28"/>
        </w:rPr>
      </w:pPr>
    </w:p>
    <w:p w14:paraId="7A9E3B7A" w14:textId="77777777" w:rsidR="00D93020" w:rsidRPr="00F80B00" w:rsidRDefault="00D93020" w:rsidP="00D93020">
      <w:pPr>
        <w:pStyle w:val="ListParagraph"/>
        <w:numPr>
          <w:ilvl w:val="0"/>
          <w:numId w:val="1"/>
        </w:numPr>
        <w:spacing w:after="0" w:line="240" w:lineRule="auto"/>
        <w:rPr>
          <w:rFonts w:ascii="Arial" w:hAnsi="Arial" w:cs="Arial"/>
          <w:b/>
          <w:bCs/>
          <w:color w:val="000000" w:themeColor="text1"/>
        </w:rPr>
      </w:pPr>
      <w:r w:rsidRPr="00F80B00">
        <w:rPr>
          <w:rFonts w:ascii="Arial" w:hAnsi="Arial" w:cs="Arial"/>
          <w:b/>
          <w:bCs/>
          <w:color w:val="000000" w:themeColor="text1"/>
        </w:rPr>
        <w:t>Introduction and Background</w:t>
      </w:r>
    </w:p>
    <w:p w14:paraId="235CBDE5" w14:textId="77777777" w:rsidR="00B96719" w:rsidRDefault="00B96719" w:rsidP="00B96719">
      <w:pPr>
        <w:spacing w:after="0" w:line="240" w:lineRule="auto"/>
        <w:rPr>
          <w:rFonts w:ascii="Calibri" w:hAnsi="Calibri" w:cs="Calibri"/>
          <w:b/>
          <w:bCs/>
          <w:color w:val="000000" w:themeColor="text1"/>
        </w:rPr>
      </w:pPr>
    </w:p>
    <w:p w14:paraId="37EDB65C" w14:textId="77777777" w:rsidR="00B96719" w:rsidRPr="004A7BA9" w:rsidRDefault="00B96719" w:rsidP="00B96719">
      <w:pPr>
        <w:spacing w:line="360" w:lineRule="auto"/>
        <w:jc w:val="both"/>
        <w:rPr>
          <w:rFonts w:ascii="Arial" w:hAnsi="Arial" w:cs="Arial"/>
        </w:rPr>
      </w:pPr>
      <w:r>
        <w:rPr>
          <w:rFonts w:ascii="Arial" w:hAnsi="Arial" w:cs="Arial"/>
        </w:rPr>
        <w:t>Hybrid working has evolved into an established organisational model in which employees divide time between offices and remote locations. Audiovisual collaboration technologies, including videoconferencing platforms, cameras, microphones, displays and meeting-room systems, are therefore central to workplace communication.</w:t>
      </w:r>
    </w:p>
    <w:p w14:paraId="3579BBCB" w14:textId="77777777" w:rsidR="00B96719" w:rsidRPr="004A7BA9" w:rsidRDefault="00B96719" w:rsidP="00B96719">
      <w:pPr>
        <w:spacing w:line="360" w:lineRule="auto"/>
        <w:jc w:val="both"/>
        <w:rPr>
          <w:rFonts w:ascii="Arial" w:hAnsi="Arial" w:cs="Arial"/>
        </w:rPr>
      </w:pPr>
      <w:r>
        <w:rPr>
          <w:rFonts w:ascii="Arial" w:hAnsi="Arial" w:cs="Arial"/>
        </w:rPr>
        <w:t>Hybrid work can improve flexibility, satisfaction and retention. Bloom, Han and Liang (2024) found improved retention without reduced performance. However, Yang et al. (2022) found that remote work can create more siloed collaboration networks, showing that digital connectivity alone does not guarantee effective collaboration.</w:t>
      </w:r>
    </w:p>
    <w:p w14:paraId="1A262275" w14:textId="77777777" w:rsidR="00B96719" w:rsidRPr="004A7BA9" w:rsidRDefault="00B96719" w:rsidP="00B96719">
      <w:pPr>
        <w:spacing w:line="360" w:lineRule="auto"/>
        <w:jc w:val="both"/>
        <w:rPr>
          <w:rFonts w:ascii="Arial" w:hAnsi="Arial" w:cs="Arial"/>
        </w:rPr>
      </w:pPr>
      <w:r>
        <w:rPr>
          <w:rFonts w:ascii="Arial" w:hAnsi="Arial" w:cs="Arial"/>
        </w:rPr>
        <w:t>Audiovisual technologies can support real-time interaction and verbal and non-verbal cues, yet poor technical quality, complex controls and unequal meeting-room participation may disadvantage remote employees. Organisational value therefore depends on both system performance and how employees use the technology.</w:t>
      </w:r>
    </w:p>
    <w:p w14:paraId="44048F76" w14:textId="77777777" w:rsidR="00B96719" w:rsidRPr="004A7BA9" w:rsidRDefault="00B96719" w:rsidP="00B96719">
      <w:pPr>
        <w:spacing w:line="360" w:lineRule="auto"/>
        <w:jc w:val="both"/>
        <w:rPr>
          <w:rFonts w:ascii="Arial" w:hAnsi="Arial" w:cs="Arial"/>
        </w:rPr>
      </w:pPr>
      <w:r>
        <w:rPr>
          <w:rFonts w:ascii="Arial" w:hAnsi="Arial" w:cs="Arial"/>
        </w:rPr>
        <w:t>Employee acceptance, meeting practices, training and organisational alignment therefore matter alongside cost and technical reliability.</w:t>
      </w:r>
    </w:p>
    <w:p w14:paraId="7E007B1A" w14:textId="77777777" w:rsidR="00B96719" w:rsidRPr="004A7BA9" w:rsidRDefault="00B96719" w:rsidP="00B96719">
      <w:pPr>
        <w:spacing w:line="360" w:lineRule="auto"/>
        <w:jc w:val="both"/>
        <w:rPr>
          <w:rFonts w:ascii="Arial" w:hAnsi="Arial" w:cs="Arial"/>
        </w:rPr>
      </w:pPr>
      <w:r>
        <w:rPr>
          <w:rFonts w:ascii="Arial" w:hAnsi="Arial" w:cs="Arial"/>
        </w:rPr>
        <w:t>Existing research often examines hybrid-work outcomes, communication platforms or meeting experiences separately. Less attention has been given to how technical quality, employee adoption, organisational practices and inclusion interact to create organisational value. This study addresses this gap by examining these factors together.</w:t>
      </w:r>
    </w:p>
    <w:p w14:paraId="737FA175" w14:textId="77777777" w:rsidR="00B96719" w:rsidRPr="00F80B00" w:rsidRDefault="00B96719" w:rsidP="00B96719">
      <w:pPr>
        <w:spacing w:line="360" w:lineRule="auto"/>
        <w:jc w:val="both"/>
        <w:rPr>
          <w:rFonts w:ascii="Arial" w:hAnsi="Arial" w:cs="Arial"/>
          <w:b/>
          <w:bCs/>
        </w:rPr>
      </w:pPr>
      <w:r w:rsidRPr="00F80B00">
        <w:rPr>
          <w:rFonts w:ascii="Arial" w:hAnsi="Arial" w:cs="Arial"/>
          <w:b/>
          <w:bCs/>
        </w:rPr>
        <w:lastRenderedPageBreak/>
        <w:t>1.1 Research Aim</w:t>
      </w:r>
    </w:p>
    <w:p w14:paraId="02620004" w14:textId="77777777" w:rsidR="00B96719" w:rsidRPr="004A7BA9" w:rsidRDefault="00B96719" w:rsidP="00B96719">
      <w:pPr>
        <w:spacing w:line="360" w:lineRule="auto"/>
        <w:jc w:val="both"/>
        <w:rPr>
          <w:rFonts w:ascii="Arial" w:hAnsi="Arial" w:cs="Arial"/>
        </w:rPr>
      </w:pPr>
      <w:r w:rsidRPr="002D5860">
        <w:rPr>
          <w:rFonts w:ascii="Arial" w:hAnsi="Arial" w:cs="Arial"/>
        </w:rPr>
        <w:t>To critically evaluate how audiovisual collaboration technologies influence communication and collaboration in hybrid work environments and identify the organisational conditions required for their effective implementation</w:t>
      </w:r>
      <w:r w:rsidRPr="004A7BA9">
        <w:rPr>
          <w:rFonts w:ascii="Arial" w:hAnsi="Arial" w:cs="Arial"/>
          <w:b/>
          <w:bCs/>
        </w:rPr>
        <w:t>.</w:t>
      </w:r>
    </w:p>
    <w:p w14:paraId="04A74C55" w14:textId="77777777" w:rsidR="00B96719" w:rsidRPr="00F80B00" w:rsidRDefault="00B96719" w:rsidP="00B96719">
      <w:pPr>
        <w:spacing w:line="360" w:lineRule="auto"/>
        <w:jc w:val="both"/>
        <w:rPr>
          <w:rFonts w:ascii="Arial" w:hAnsi="Arial" w:cs="Arial"/>
          <w:b/>
          <w:bCs/>
        </w:rPr>
      </w:pPr>
      <w:r w:rsidRPr="00F80B00">
        <w:rPr>
          <w:rFonts w:ascii="Arial" w:hAnsi="Arial" w:cs="Arial"/>
          <w:b/>
          <w:bCs/>
        </w:rPr>
        <w:t>1.2 Research Objectives</w:t>
      </w:r>
    </w:p>
    <w:p w14:paraId="2128192C" w14:textId="77777777" w:rsidR="00B96719" w:rsidRPr="004A7BA9" w:rsidRDefault="00B96719" w:rsidP="00B96719">
      <w:pPr>
        <w:numPr>
          <w:ilvl w:val="0"/>
          <w:numId w:val="2"/>
        </w:numPr>
        <w:spacing w:line="360" w:lineRule="auto"/>
        <w:jc w:val="both"/>
        <w:rPr>
          <w:rFonts w:ascii="Arial" w:hAnsi="Arial" w:cs="Arial"/>
        </w:rPr>
      </w:pPr>
      <w:r>
        <w:rPr>
          <w:rFonts w:ascii="Arial" w:hAnsi="Arial" w:cs="Arial"/>
        </w:rPr>
        <w:t>To evaluate the influence of audiovisual collaboration on employee inclusion.</w:t>
      </w:r>
    </w:p>
    <w:p w14:paraId="1A5A719D" w14:textId="77777777" w:rsidR="00B96719" w:rsidRPr="004A7BA9" w:rsidRDefault="00B96719" w:rsidP="00B96719">
      <w:pPr>
        <w:numPr>
          <w:ilvl w:val="0"/>
          <w:numId w:val="2"/>
        </w:numPr>
        <w:spacing w:line="360" w:lineRule="auto"/>
        <w:jc w:val="both"/>
        <w:rPr>
          <w:rFonts w:ascii="Arial" w:hAnsi="Arial" w:cs="Arial"/>
        </w:rPr>
      </w:pPr>
      <w:r w:rsidRPr="004A7BA9">
        <w:rPr>
          <w:rFonts w:ascii="Arial" w:hAnsi="Arial" w:cs="Arial"/>
        </w:rPr>
        <w:t xml:space="preserve">To examine the technical and organisational factors affecting adoption and effective </w:t>
      </w:r>
      <w:r w:rsidR="002B4F29">
        <w:rPr>
          <w:rFonts w:ascii="Arial" w:hAnsi="Arial" w:cs="Arial"/>
        </w:rPr>
        <w:t>implementation</w:t>
      </w:r>
      <w:r w:rsidRPr="004A7BA9">
        <w:rPr>
          <w:rFonts w:ascii="Arial" w:hAnsi="Arial" w:cs="Arial"/>
        </w:rPr>
        <w:t>.</w:t>
      </w:r>
    </w:p>
    <w:p w14:paraId="1AC546F4" w14:textId="77777777" w:rsidR="00B96719" w:rsidRPr="004A7BA9" w:rsidRDefault="00B96719" w:rsidP="00B96719">
      <w:pPr>
        <w:numPr>
          <w:ilvl w:val="0"/>
          <w:numId w:val="2"/>
        </w:numPr>
        <w:spacing w:line="360" w:lineRule="auto"/>
        <w:jc w:val="both"/>
        <w:rPr>
          <w:rFonts w:ascii="Arial" w:hAnsi="Arial" w:cs="Arial"/>
        </w:rPr>
      </w:pPr>
      <w:r w:rsidRPr="004A7BA9">
        <w:rPr>
          <w:rFonts w:ascii="Arial" w:hAnsi="Arial" w:cs="Arial"/>
        </w:rPr>
        <w:t>To identify barriers limiting the organisational value of audiovisual systems.</w:t>
      </w:r>
    </w:p>
    <w:p w14:paraId="1D3FAF3C" w14:textId="77777777" w:rsidR="00B96719" w:rsidRDefault="00B96719" w:rsidP="00B96719">
      <w:pPr>
        <w:numPr>
          <w:ilvl w:val="0"/>
          <w:numId w:val="2"/>
        </w:numPr>
        <w:spacing w:line="360" w:lineRule="auto"/>
        <w:jc w:val="both"/>
        <w:rPr>
          <w:rFonts w:ascii="Arial" w:hAnsi="Arial" w:cs="Arial"/>
        </w:rPr>
      </w:pPr>
      <w:r w:rsidRPr="004A7BA9">
        <w:rPr>
          <w:rFonts w:ascii="Arial" w:hAnsi="Arial" w:cs="Arial"/>
        </w:rPr>
        <w:t>To develop evidence-based recommendations for their implementation.</w:t>
      </w:r>
    </w:p>
    <w:p w14:paraId="2F324F8D" w14:textId="77777777" w:rsidR="00B96719" w:rsidRPr="004A7BA9" w:rsidRDefault="00B96719" w:rsidP="00B96719">
      <w:pPr>
        <w:spacing w:line="360" w:lineRule="auto"/>
        <w:jc w:val="both"/>
        <w:rPr>
          <w:rFonts w:ascii="Arial" w:hAnsi="Arial" w:cs="Arial"/>
          <w:b/>
          <w:bCs/>
        </w:rPr>
      </w:pPr>
      <w:r w:rsidRPr="004A7BA9">
        <w:rPr>
          <w:rFonts w:ascii="Arial" w:hAnsi="Arial" w:cs="Arial"/>
          <w:b/>
          <w:bCs/>
        </w:rPr>
        <w:t>1.3 Research Questions</w:t>
      </w:r>
    </w:p>
    <w:p w14:paraId="38229FA4" w14:textId="77777777" w:rsidR="00B96719" w:rsidRPr="004A7BA9" w:rsidRDefault="00B96719" w:rsidP="00B96719">
      <w:pPr>
        <w:numPr>
          <w:ilvl w:val="0"/>
          <w:numId w:val="3"/>
        </w:numPr>
        <w:spacing w:line="360" w:lineRule="auto"/>
        <w:jc w:val="both"/>
        <w:rPr>
          <w:rFonts w:ascii="Arial" w:hAnsi="Arial" w:cs="Arial"/>
        </w:rPr>
      </w:pPr>
      <w:r w:rsidRPr="004A7BA9">
        <w:rPr>
          <w:rFonts w:ascii="Arial" w:hAnsi="Arial" w:cs="Arial"/>
        </w:rPr>
        <w:t>How do audiovisual collaboration technologies influence communication and collaboration in hybrid work environments?</w:t>
      </w:r>
    </w:p>
    <w:p w14:paraId="23531662" w14:textId="77777777" w:rsidR="00B96719" w:rsidRPr="004A7BA9" w:rsidRDefault="00B96719" w:rsidP="00B96719">
      <w:pPr>
        <w:numPr>
          <w:ilvl w:val="0"/>
          <w:numId w:val="3"/>
        </w:numPr>
        <w:spacing w:line="360" w:lineRule="auto"/>
        <w:jc w:val="both"/>
        <w:rPr>
          <w:rFonts w:ascii="Arial" w:hAnsi="Arial" w:cs="Arial"/>
        </w:rPr>
      </w:pPr>
      <w:r w:rsidRPr="004A7BA9">
        <w:rPr>
          <w:rFonts w:ascii="Arial" w:hAnsi="Arial" w:cs="Arial"/>
        </w:rPr>
        <w:t>Which technical and organisational factors determine their effectiveness?</w:t>
      </w:r>
    </w:p>
    <w:p w14:paraId="458E6772" w14:textId="77777777" w:rsidR="00B96719" w:rsidRPr="004A7BA9" w:rsidRDefault="00B96719" w:rsidP="00B96719">
      <w:pPr>
        <w:numPr>
          <w:ilvl w:val="0"/>
          <w:numId w:val="3"/>
        </w:numPr>
        <w:spacing w:line="360" w:lineRule="auto"/>
        <w:jc w:val="both"/>
        <w:rPr>
          <w:rFonts w:ascii="Arial" w:hAnsi="Arial" w:cs="Arial"/>
        </w:rPr>
      </w:pPr>
      <w:r w:rsidRPr="004A7BA9">
        <w:rPr>
          <w:rFonts w:ascii="Arial" w:hAnsi="Arial" w:cs="Arial"/>
        </w:rPr>
        <w:t>What barriers limit their adoption and organisational value?</w:t>
      </w:r>
    </w:p>
    <w:p w14:paraId="7F97B248" w14:textId="05A5C140" w:rsidR="00B96719" w:rsidRPr="002D5860" w:rsidRDefault="00B96719" w:rsidP="00B96719">
      <w:pPr>
        <w:numPr>
          <w:ilvl w:val="0"/>
          <w:numId w:val="3"/>
        </w:numPr>
        <w:spacing w:line="360" w:lineRule="auto"/>
        <w:jc w:val="both"/>
        <w:rPr>
          <w:rFonts w:ascii="Arial" w:hAnsi="Arial" w:cs="Arial"/>
        </w:rPr>
      </w:pPr>
      <w:r w:rsidRPr="004A7BA9">
        <w:rPr>
          <w:rFonts w:ascii="Arial" w:hAnsi="Arial" w:cs="Arial"/>
        </w:rPr>
        <w:t>How can organisations improve audiovisual technology implementation?</w:t>
      </w:r>
    </w:p>
    <w:p w14:paraId="799F623A" w14:textId="77777777" w:rsidR="00B96719" w:rsidRPr="00735308" w:rsidRDefault="00735308" w:rsidP="00735308">
      <w:pPr>
        <w:spacing w:line="360" w:lineRule="auto"/>
        <w:ind w:left="360"/>
        <w:jc w:val="both"/>
        <w:rPr>
          <w:rFonts w:ascii="Arial" w:hAnsi="Arial" w:cs="Arial"/>
          <w:b/>
          <w:bCs/>
        </w:rPr>
      </w:pPr>
      <w:r>
        <w:rPr>
          <w:rFonts w:ascii="Arial" w:hAnsi="Arial" w:cs="Arial"/>
          <w:b/>
          <w:bCs/>
          <w:sz w:val="32"/>
          <w:szCs w:val="32"/>
        </w:rPr>
        <w:t xml:space="preserve"> </w:t>
      </w:r>
      <w:r w:rsidR="00B96719" w:rsidRPr="00F80B00">
        <w:rPr>
          <w:rFonts w:ascii="Arial" w:hAnsi="Arial" w:cs="Arial"/>
          <w:b/>
          <w:bCs/>
          <w:sz w:val="28"/>
          <w:szCs w:val="28"/>
        </w:rPr>
        <w:t>Chapter 2</w:t>
      </w:r>
      <w:r w:rsidRPr="00735308">
        <w:rPr>
          <w:rFonts w:ascii="Arial" w:hAnsi="Arial" w:cs="Arial"/>
          <w:b/>
          <w:bCs/>
          <w:sz w:val="32"/>
          <w:szCs w:val="32"/>
        </w:rPr>
        <w:t xml:space="preserve"> -</w:t>
      </w:r>
      <w:r w:rsidRPr="00735308">
        <w:rPr>
          <w:rFonts w:ascii="Arial" w:hAnsi="Arial" w:cs="Arial"/>
          <w:b/>
          <w:bCs/>
        </w:rPr>
        <w:t xml:space="preserve"> Literature Review</w:t>
      </w:r>
    </w:p>
    <w:p w14:paraId="72883564" w14:textId="77777777" w:rsidR="00735308" w:rsidRPr="00735308" w:rsidRDefault="00735308" w:rsidP="00735308">
      <w:pPr>
        <w:spacing w:line="360" w:lineRule="auto"/>
        <w:ind w:left="360"/>
        <w:jc w:val="both"/>
        <w:rPr>
          <w:rFonts w:ascii="Arial" w:hAnsi="Arial" w:cs="Arial"/>
          <w:b/>
          <w:bCs/>
        </w:rPr>
      </w:pPr>
      <w:r>
        <w:rPr>
          <w:rFonts w:ascii="Arial" w:hAnsi="Arial" w:cs="Arial"/>
          <w:b/>
          <w:bCs/>
        </w:rPr>
        <w:t>2.1 Introduction</w:t>
      </w:r>
    </w:p>
    <w:p w14:paraId="6E7533F0" w14:textId="77777777" w:rsidR="00B96719" w:rsidRPr="004A7BA9" w:rsidRDefault="00B96719" w:rsidP="00B96719">
      <w:pPr>
        <w:spacing w:line="360" w:lineRule="auto"/>
        <w:jc w:val="both"/>
        <w:rPr>
          <w:rFonts w:ascii="Arial" w:hAnsi="Arial" w:cs="Arial"/>
        </w:rPr>
      </w:pPr>
      <w:r>
        <w:rPr>
          <w:rFonts w:ascii="Arial" w:hAnsi="Arial" w:cs="Arial"/>
        </w:rPr>
        <w:t>Existing literature presents both benefits and challenges of hybrid work. Bloom, Han and Liang (2024) found improved satisfaction and retention without reduced performance, although their single-company setting limits the generalisability of the findings.</w:t>
      </w:r>
    </w:p>
    <w:p w14:paraId="21566CB5" w14:textId="77777777" w:rsidR="00B96719" w:rsidRPr="004A7BA9" w:rsidRDefault="00B96719" w:rsidP="00B96719">
      <w:pPr>
        <w:spacing w:line="360" w:lineRule="auto"/>
        <w:jc w:val="both"/>
        <w:rPr>
          <w:rFonts w:ascii="Arial" w:hAnsi="Arial" w:cs="Arial"/>
        </w:rPr>
      </w:pPr>
      <w:r>
        <w:rPr>
          <w:rFonts w:ascii="Arial" w:hAnsi="Arial" w:cs="Arial"/>
        </w:rPr>
        <w:t>Yang et al. (2022) provide a contrasting perspective, finding that remote work can make collaboration networks more siloed and reduce cross-group communication. Although their study examined pandemic-era remote work, it shows that digital communication volume does not necessarily equal effective collaboration.</w:t>
      </w:r>
    </w:p>
    <w:p w14:paraId="0B953299" w14:textId="77777777" w:rsidR="00B96719" w:rsidRPr="004A7BA9" w:rsidRDefault="00B96719" w:rsidP="00B96719">
      <w:pPr>
        <w:spacing w:line="360" w:lineRule="auto"/>
        <w:jc w:val="both"/>
        <w:rPr>
          <w:rFonts w:ascii="Arial" w:hAnsi="Arial" w:cs="Arial"/>
        </w:rPr>
      </w:pPr>
      <w:r>
        <w:rPr>
          <w:rFonts w:ascii="Arial" w:hAnsi="Arial" w:cs="Arial"/>
        </w:rPr>
        <w:lastRenderedPageBreak/>
        <w:t>Media Richness Theory suggests that video is richer than text-based communication because it supports immediate feedback and multiple communication cues (Daft and Lengel, 1986). However, the theory gives less attention to user skills, organisational culture and inequalities between remote and office-based participants.</w:t>
      </w:r>
    </w:p>
    <w:p w14:paraId="75C2DF10" w14:textId="77777777" w:rsidR="00B96719" w:rsidRPr="004A7BA9" w:rsidRDefault="00B96719" w:rsidP="00B96719">
      <w:pPr>
        <w:spacing w:line="360" w:lineRule="auto"/>
        <w:jc w:val="both"/>
        <w:rPr>
          <w:rFonts w:ascii="Arial" w:hAnsi="Arial" w:cs="Arial"/>
        </w:rPr>
      </w:pPr>
      <w:r>
        <w:rPr>
          <w:rFonts w:ascii="Arial" w:hAnsi="Arial" w:cs="Arial"/>
        </w:rPr>
        <w:t>Hybrid-meeting research emphasises the relationship between people, technology and physical space. Saatçi et al. (2020) show that poor technological or spatial arrangements can restrict remote participation, while Neumayr et al. (2022) argue that the field remains fragmented and often focuses more on technology design than wider organisational outcomes.</w:t>
      </w:r>
    </w:p>
    <w:p w14:paraId="4FF44D97" w14:textId="77777777" w:rsidR="00D02C93" w:rsidRDefault="00B96719" w:rsidP="00B96719">
      <w:pPr>
        <w:spacing w:line="360" w:lineRule="auto"/>
        <w:jc w:val="both"/>
        <w:rPr>
          <w:rFonts w:ascii="Arial" w:hAnsi="Arial" w:cs="Arial"/>
        </w:rPr>
      </w:pPr>
      <w:r>
        <w:rPr>
          <w:rFonts w:ascii="Arial" w:hAnsi="Arial" w:cs="Arial"/>
        </w:rPr>
        <w:t>The Technology Acceptance Model proposes that perceived usefulness and ease of use influence technology adoption (Davis, 1989). However, regular or compulsory use does not necessarily indicate effective collaboration. Audiovisual systems should therefore be assessed through communication quality, participation, inclusion and organisational outcomes, not technical performance alone.</w:t>
      </w:r>
    </w:p>
    <w:p w14:paraId="539670E7" w14:textId="6807EB05" w:rsidR="00D02C93" w:rsidRDefault="00843B61" w:rsidP="00B96719">
      <w:pPr>
        <w:spacing w:line="360" w:lineRule="auto"/>
        <w:jc w:val="both"/>
        <w:rPr>
          <w:rFonts w:ascii="Arial" w:hAnsi="Arial" w:cs="Arial"/>
        </w:rPr>
      </w:pPr>
      <w:r>
        <w:rPr>
          <w:rFonts w:ascii="Arial" w:hAnsi="Arial" w:cs="Arial"/>
          <w:b/>
        </w:rPr>
        <w:t>Conclusion of Chapter 2</w:t>
      </w:r>
    </w:p>
    <w:p w14:paraId="4D76285B" w14:textId="77777777" w:rsidR="00B96719" w:rsidRPr="004A7BA9" w:rsidRDefault="00B96719" w:rsidP="00B96719">
      <w:pPr>
        <w:spacing w:line="360" w:lineRule="auto"/>
        <w:jc w:val="both"/>
        <w:rPr>
          <w:rFonts w:ascii="Arial" w:hAnsi="Arial" w:cs="Arial"/>
        </w:rPr>
      </w:pPr>
      <w:r>
        <w:rPr>
          <w:rFonts w:ascii="Arial" w:hAnsi="Arial" w:cs="Arial"/>
        </w:rPr>
        <w:t>Overall, audiovisual technologies can support hybrid communication but do not guarantee effective collaboration. The literature points to interactions between communication richness, usability, participation, organisational practices and employee acceptance. Because these factors are often examined separately, an integrated assessment of their organisational impact is justified.</w:t>
      </w:r>
    </w:p>
    <w:p w14:paraId="48F70E1D" w14:textId="77777777" w:rsidR="00B96719" w:rsidRPr="00F80B00" w:rsidRDefault="00B96719" w:rsidP="00B96719">
      <w:pPr>
        <w:spacing w:line="360" w:lineRule="auto"/>
        <w:jc w:val="both"/>
        <w:rPr>
          <w:rFonts w:ascii="Arial" w:hAnsi="Arial" w:cs="Arial"/>
          <w:b/>
          <w:bCs/>
          <w:sz w:val="28"/>
          <w:szCs w:val="28"/>
        </w:rPr>
      </w:pPr>
      <w:r w:rsidRPr="00F80B00">
        <w:rPr>
          <w:rFonts w:ascii="Arial" w:hAnsi="Arial" w:cs="Arial"/>
          <w:b/>
          <w:bCs/>
          <w:sz w:val="28"/>
          <w:szCs w:val="28"/>
        </w:rPr>
        <w:t>Chapter 3</w:t>
      </w:r>
    </w:p>
    <w:p w14:paraId="48E54D52" w14:textId="77777777" w:rsidR="00735308" w:rsidRDefault="00735308" w:rsidP="00B96719">
      <w:pPr>
        <w:spacing w:line="360" w:lineRule="auto"/>
        <w:jc w:val="both"/>
        <w:rPr>
          <w:rFonts w:ascii="Arial" w:hAnsi="Arial" w:cs="Arial"/>
        </w:rPr>
      </w:pPr>
      <w:r>
        <w:rPr>
          <w:rFonts w:ascii="Arial" w:hAnsi="Arial" w:cs="Arial"/>
          <w:b/>
        </w:rPr>
        <w:t>3.1 Introduction</w:t>
      </w:r>
    </w:p>
    <w:p w14:paraId="1FD41403" w14:textId="77777777" w:rsidR="00B96719" w:rsidRDefault="00B96719" w:rsidP="00B96719">
      <w:pPr>
        <w:spacing w:line="360" w:lineRule="auto"/>
        <w:jc w:val="both"/>
        <w:rPr>
          <w:rFonts w:ascii="Arial" w:hAnsi="Arial" w:cs="Arial"/>
        </w:rPr>
      </w:pPr>
      <w:r>
        <w:rPr>
          <w:rFonts w:ascii="Arial" w:hAnsi="Arial" w:cs="Arial"/>
        </w:rPr>
        <w:t>This chapter outlines the theoretical and methodological foundations of the study. It introduces Media Richness Theory and the Technology Acceptance Model, followed by the research philosophy, approach, design, source-selection strategy, data collection, analysis and ethical considerations.</w:t>
      </w:r>
    </w:p>
    <w:p w14:paraId="26108D09" w14:textId="3617E986" w:rsidR="00735308" w:rsidRPr="00F80B00" w:rsidRDefault="00F80B00" w:rsidP="00B96719">
      <w:pPr>
        <w:spacing w:line="360" w:lineRule="auto"/>
        <w:jc w:val="both"/>
        <w:rPr>
          <w:rFonts w:ascii="Arial" w:hAnsi="Arial" w:cs="Arial"/>
          <w:b/>
          <w:bCs/>
        </w:rPr>
      </w:pPr>
      <w:r>
        <w:rPr>
          <w:rFonts w:ascii="Arial" w:hAnsi="Arial" w:cs="Arial"/>
          <w:b/>
          <w:bCs/>
        </w:rPr>
        <w:t xml:space="preserve">3.2 </w:t>
      </w:r>
      <w:r w:rsidR="00735308" w:rsidRPr="00F80B00">
        <w:rPr>
          <w:rFonts w:ascii="Arial" w:hAnsi="Arial" w:cs="Arial"/>
          <w:b/>
          <w:bCs/>
        </w:rPr>
        <w:t>Theoretical Framework</w:t>
      </w:r>
    </w:p>
    <w:p w14:paraId="63FF52DB" w14:textId="77777777" w:rsidR="00B96719" w:rsidRPr="00B96719" w:rsidRDefault="00B96719" w:rsidP="00B96719">
      <w:pPr>
        <w:spacing w:line="360" w:lineRule="auto"/>
        <w:jc w:val="both"/>
        <w:rPr>
          <w:rFonts w:ascii="Arial" w:hAnsi="Arial" w:cs="Arial"/>
        </w:rPr>
      </w:pPr>
      <w:r>
        <w:rPr>
          <w:rFonts w:ascii="Arial" w:hAnsi="Arial" w:cs="Arial"/>
        </w:rPr>
        <w:t xml:space="preserve">Media Richness Theory explains differences in communication channels through their capacity for feedback and multiple cues (Daft and Lengel, 1986). In this study it </w:t>
      </w:r>
      <w:r>
        <w:rPr>
          <w:rFonts w:ascii="Arial" w:hAnsi="Arial" w:cs="Arial"/>
        </w:rPr>
        <w:lastRenderedPageBreak/>
        <w:t>provides a basis for examining how audiovisual quality may influence communication effectiveness and participation in hybrid meetings.</w:t>
      </w:r>
    </w:p>
    <w:p w14:paraId="551A8B6D" w14:textId="77777777" w:rsidR="00B96719" w:rsidRPr="00B96719" w:rsidRDefault="00B96719" w:rsidP="00B96719">
      <w:pPr>
        <w:spacing w:line="360" w:lineRule="auto"/>
        <w:jc w:val="both"/>
        <w:rPr>
          <w:rFonts w:ascii="Arial" w:hAnsi="Arial" w:cs="Arial"/>
        </w:rPr>
      </w:pPr>
      <w:r>
        <w:rPr>
          <w:rFonts w:ascii="Arial" w:hAnsi="Arial" w:cs="Arial"/>
        </w:rPr>
        <w:t>The Technology Acceptance Model focuses on perceived usefulness and perceived ease of use (Davis, 1989), helping explain employee acceptance or underuse of audiovisual collaboration systems.</w:t>
      </w:r>
    </w:p>
    <w:p w14:paraId="7663B5B4" w14:textId="77777777" w:rsidR="00901A3B" w:rsidRPr="00735308" w:rsidRDefault="00B96719" w:rsidP="00B96719">
      <w:pPr>
        <w:spacing w:line="360" w:lineRule="auto"/>
        <w:jc w:val="both"/>
        <w:rPr>
          <w:rFonts w:ascii="Arial" w:hAnsi="Arial" w:cs="Arial"/>
        </w:rPr>
      </w:pPr>
      <w:r>
        <w:rPr>
          <w:rFonts w:ascii="Arial" w:hAnsi="Arial" w:cs="Arial"/>
        </w:rPr>
        <w:t>Together, the theories provide a framework linking communication richness and technology acceptance with technical quality, organisational support, collaboration and inclusion. They will guide the interpretation of evidence rather than formal hypothesis testing.</w:t>
      </w:r>
    </w:p>
    <w:p w14:paraId="6A3EA3D0" w14:textId="50054930" w:rsidR="00B96719" w:rsidRDefault="00735308" w:rsidP="00B96719">
      <w:pPr>
        <w:spacing w:line="360" w:lineRule="auto"/>
        <w:jc w:val="both"/>
        <w:rPr>
          <w:rFonts w:ascii="Arial" w:hAnsi="Arial" w:cs="Arial"/>
          <w:b/>
          <w:bCs/>
        </w:rPr>
      </w:pPr>
      <w:r w:rsidRPr="00735308">
        <w:rPr>
          <w:rFonts w:ascii="Arial" w:hAnsi="Arial" w:cs="Arial"/>
          <w:b/>
          <w:bCs/>
        </w:rPr>
        <w:t>3.</w:t>
      </w:r>
      <w:r w:rsidR="00F80B00">
        <w:rPr>
          <w:rFonts w:ascii="Arial" w:hAnsi="Arial" w:cs="Arial"/>
          <w:b/>
          <w:bCs/>
        </w:rPr>
        <w:t>3</w:t>
      </w:r>
      <w:r w:rsidRPr="00735308">
        <w:rPr>
          <w:rFonts w:ascii="Arial" w:hAnsi="Arial" w:cs="Arial"/>
          <w:b/>
          <w:bCs/>
        </w:rPr>
        <w:t xml:space="preserve"> </w:t>
      </w:r>
      <w:r w:rsidR="00B96719" w:rsidRPr="00735308">
        <w:rPr>
          <w:rFonts w:ascii="Arial" w:hAnsi="Arial" w:cs="Arial"/>
          <w:b/>
          <w:bCs/>
        </w:rPr>
        <w:t>Research Methodology</w:t>
      </w:r>
      <w:r>
        <w:rPr>
          <w:rFonts w:ascii="Arial" w:hAnsi="Arial" w:cs="Arial"/>
          <w:b/>
          <w:bCs/>
        </w:rPr>
        <w:t xml:space="preserve"> </w:t>
      </w:r>
    </w:p>
    <w:p w14:paraId="001F5249" w14:textId="77777777" w:rsidR="00735308" w:rsidRDefault="00735308" w:rsidP="00B96719">
      <w:pPr>
        <w:spacing w:line="360" w:lineRule="auto"/>
        <w:jc w:val="both"/>
        <w:rPr>
          <w:rFonts w:ascii="Arial" w:hAnsi="Arial" w:cs="Arial"/>
          <w:b/>
          <w:bCs/>
        </w:rPr>
      </w:pPr>
      <w:r>
        <w:rPr>
          <w:rFonts w:ascii="Arial" w:hAnsi="Arial" w:cs="Arial"/>
          <w:bCs/>
        </w:rPr>
        <w:t>This study will adopt a secondary qualitative methodology using a systematic literature review approach. Studies will be identified through a transparent search strategy, screened against predefined inclusion and exclusion criteria, and synthesised qualitatively. This enables evidence from different organisational contexts to be compared systematically within the available timeframe (Saunders, Lewis and Thornhill, 2019).</w:t>
      </w:r>
    </w:p>
    <w:p w14:paraId="4CA46754" w14:textId="1BFBB1C1" w:rsidR="00C5204A" w:rsidRPr="00735308" w:rsidRDefault="003F40DB" w:rsidP="00C5204A">
      <w:pPr>
        <w:spacing w:line="360" w:lineRule="auto"/>
        <w:jc w:val="both"/>
        <w:rPr>
          <w:rFonts w:ascii="Arial" w:hAnsi="Arial" w:cs="Arial"/>
          <w:b/>
          <w:bCs/>
        </w:rPr>
      </w:pPr>
      <w:r w:rsidRPr="00735308">
        <w:rPr>
          <w:rFonts w:ascii="Arial" w:hAnsi="Arial" w:cs="Arial"/>
          <w:b/>
          <w:bCs/>
        </w:rPr>
        <w:t>3.</w:t>
      </w:r>
      <w:r w:rsidR="00F80B00">
        <w:rPr>
          <w:rFonts w:ascii="Arial" w:hAnsi="Arial" w:cs="Arial"/>
          <w:b/>
          <w:bCs/>
        </w:rPr>
        <w:t>4</w:t>
      </w:r>
      <w:r w:rsidRPr="00735308">
        <w:rPr>
          <w:rFonts w:ascii="Arial" w:hAnsi="Arial" w:cs="Arial"/>
          <w:b/>
          <w:bCs/>
        </w:rPr>
        <w:t xml:space="preserve"> Research</w:t>
      </w:r>
      <w:r w:rsidR="00C5204A" w:rsidRPr="00735308">
        <w:rPr>
          <w:rFonts w:ascii="Arial" w:hAnsi="Arial" w:cs="Arial"/>
          <w:b/>
          <w:bCs/>
        </w:rPr>
        <w:t xml:space="preserve"> Philosophy</w:t>
      </w:r>
    </w:p>
    <w:p w14:paraId="5A1CCCD2" w14:textId="0DB22781" w:rsidR="00C5204A" w:rsidRPr="00C5204A" w:rsidRDefault="00C5204A" w:rsidP="00C5204A">
      <w:pPr>
        <w:spacing w:line="360" w:lineRule="auto"/>
        <w:jc w:val="both"/>
        <w:rPr>
          <w:rFonts w:ascii="Arial" w:hAnsi="Arial" w:cs="Arial"/>
        </w:rPr>
      </w:pPr>
      <w:r w:rsidRPr="00C5204A">
        <w:rPr>
          <w:rFonts w:ascii="Arial" w:hAnsi="Arial" w:cs="Arial"/>
        </w:rPr>
        <w:t>An interpretivist philosophy will be adopted because the study examines how organisational experiences and practices shape the value of audiovisual collaboration technologies.</w:t>
      </w:r>
    </w:p>
    <w:p w14:paraId="1DEA6B35" w14:textId="06A226D5" w:rsidR="00C5204A" w:rsidRPr="00735308" w:rsidRDefault="003F40DB" w:rsidP="00C5204A">
      <w:pPr>
        <w:spacing w:line="360" w:lineRule="auto"/>
        <w:jc w:val="both"/>
        <w:rPr>
          <w:rFonts w:ascii="Arial" w:hAnsi="Arial" w:cs="Arial"/>
          <w:b/>
          <w:bCs/>
        </w:rPr>
      </w:pPr>
      <w:r>
        <w:rPr>
          <w:rFonts w:ascii="Arial" w:hAnsi="Arial" w:cs="Arial"/>
          <w:b/>
          <w:bCs/>
        </w:rPr>
        <w:t>3.</w:t>
      </w:r>
      <w:r w:rsidR="00F80B00">
        <w:rPr>
          <w:rFonts w:ascii="Arial" w:hAnsi="Arial" w:cs="Arial"/>
          <w:b/>
          <w:bCs/>
        </w:rPr>
        <w:t>5</w:t>
      </w:r>
      <w:r w:rsidR="00C5204A" w:rsidRPr="00735308">
        <w:rPr>
          <w:rFonts w:ascii="Arial" w:hAnsi="Arial" w:cs="Arial"/>
          <w:b/>
          <w:bCs/>
        </w:rPr>
        <w:t xml:space="preserve"> Research Approach</w:t>
      </w:r>
    </w:p>
    <w:p w14:paraId="451F9EB4" w14:textId="77777777" w:rsidR="00C5204A" w:rsidRPr="00C5204A" w:rsidRDefault="00C5204A" w:rsidP="00C5204A">
      <w:pPr>
        <w:spacing w:line="360" w:lineRule="auto"/>
        <w:jc w:val="both"/>
        <w:rPr>
          <w:rFonts w:ascii="Arial" w:hAnsi="Arial" w:cs="Arial"/>
        </w:rPr>
      </w:pPr>
      <w:r w:rsidRPr="00C5204A">
        <w:rPr>
          <w:rFonts w:ascii="Arial" w:hAnsi="Arial" w:cs="Arial"/>
        </w:rPr>
        <w:t>The study will use an inductive approach, allowing themes to emerge from the evidence. Media Richness Theory and the Technology Acceptance Model will guide interpretation rather than hypothesis testing.</w:t>
      </w:r>
    </w:p>
    <w:p w14:paraId="6918400C" w14:textId="5DC93F97" w:rsidR="00C5204A" w:rsidRPr="00735308" w:rsidRDefault="003F40DB" w:rsidP="00C5204A">
      <w:pPr>
        <w:spacing w:line="360" w:lineRule="auto"/>
        <w:jc w:val="both"/>
        <w:rPr>
          <w:rFonts w:ascii="Arial" w:hAnsi="Arial" w:cs="Arial"/>
          <w:b/>
          <w:bCs/>
        </w:rPr>
      </w:pPr>
      <w:r>
        <w:rPr>
          <w:rFonts w:ascii="Arial" w:hAnsi="Arial" w:cs="Arial"/>
          <w:b/>
          <w:bCs/>
        </w:rPr>
        <w:t>3.</w:t>
      </w:r>
      <w:r w:rsidR="00F80B00">
        <w:rPr>
          <w:rFonts w:ascii="Arial" w:hAnsi="Arial" w:cs="Arial"/>
          <w:b/>
          <w:bCs/>
        </w:rPr>
        <w:t>6</w:t>
      </w:r>
      <w:r w:rsidR="00C5204A" w:rsidRPr="00735308">
        <w:rPr>
          <w:rFonts w:ascii="Arial" w:hAnsi="Arial" w:cs="Arial"/>
          <w:b/>
          <w:bCs/>
        </w:rPr>
        <w:t xml:space="preserve"> Research Design</w:t>
      </w:r>
    </w:p>
    <w:p w14:paraId="625DF256" w14:textId="77777777" w:rsidR="00C5204A" w:rsidRPr="00C5204A" w:rsidRDefault="00C5204A" w:rsidP="00C5204A">
      <w:pPr>
        <w:spacing w:line="360" w:lineRule="auto"/>
        <w:jc w:val="both"/>
        <w:rPr>
          <w:rFonts w:ascii="Arial" w:hAnsi="Arial" w:cs="Arial"/>
        </w:rPr>
      </w:pPr>
      <w:r>
        <w:rPr>
          <w:rFonts w:ascii="Arial" w:hAnsi="Arial" w:cs="Arial"/>
        </w:rPr>
        <w:t>A qualitative, exploratory and desk-based design will be used to synthesise secondary evidence on communication, inclusion, adoption and implementation within hybrid work environments.</w:t>
      </w:r>
    </w:p>
    <w:p w14:paraId="663B7C06" w14:textId="77777777" w:rsidR="00F80B00" w:rsidRDefault="00F80B00" w:rsidP="00C5204A">
      <w:pPr>
        <w:spacing w:line="360" w:lineRule="auto"/>
        <w:jc w:val="both"/>
        <w:rPr>
          <w:rFonts w:ascii="Arial" w:hAnsi="Arial" w:cs="Arial"/>
          <w:b/>
          <w:bCs/>
        </w:rPr>
      </w:pPr>
    </w:p>
    <w:p w14:paraId="4926AF40" w14:textId="731DD243" w:rsidR="00C5204A" w:rsidRPr="003F40DB" w:rsidRDefault="003F40DB" w:rsidP="00C5204A">
      <w:pPr>
        <w:spacing w:line="360" w:lineRule="auto"/>
        <w:jc w:val="both"/>
        <w:rPr>
          <w:rFonts w:ascii="Arial" w:hAnsi="Arial" w:cs="Arial"/>
          <w:b/>
          <w:bCs/>
        </w:rPr>
      </w:pPr>
      <w:r w:rsidRPr="003F40DB">
        <w:rPr>
          <w:rFonts w:ascii="Arial" w:hAnsi="Arial" w:cs="Arial"/>
          <w:b/>
          <w:bCs/>
        </w:rPr>
        <w:lastRenderedPageBreak/>
        <w:t>3.</w:t>
      </w:r>
      <w:r w:rsidR="00F80B00">
        <w:rPr>
          <w:rFonts w:ascii="Arial" w:hAnsi="Arial" w:cs="Arial"/>
          <w:b/>
          <w:bCs/>
        </w:rPr>
        <w:t>7</w:t>
      </w:r>
      <w:r w:rsidR="00C5204A" w:rsidRPr="003F40DB">
        <w:rPr>
          <w:rFonts w:ascii="Arial" w:hAnsi="Arial" w:cs="Arial"/>
          <w:b/>
          <w:bCs/>
        </w:rPr>
        <w:t xml:space="preserve"> Population and Sampling</w:t>
      </w:r>
    </w:p>
    <w:p w14:paraId="6C1DF434" w14:textId="77777777" w:rsidR="00C5204A" w:rsidRPr="00C5204A" w:rsidRDefault="00C5204A" w:rsidP="00C5204A">
      <w:pPr>
        <w:spacing w:line="360" w:lineRule="auto"/>
        <w:jc w:val="both"/>
        <w:rPr>
          <w:rFonts w:ascii="Arial" w:hAnsi="Arial" w:cs="Arial"/>
        </w:rPr>
      </w:pPr>
      <w:r>
        <w:rPr>
          <w:rFonts w:ascii="Arial" w:hAnsi="Arial" w:cs="Arial"/>
        </w:rPr>
        <w:t>The review population will consist primarily of peer-reviewed journal articles on audiovisual collaboration, hybrid work and organisational outcomes. Sources will be screened using predefined relevance, date, language and quality criteria, while seminal theoretical works will be retained where necessary.</w:t>
      </w:r>
    </w:p>
    <w:p w14:paraId="542E5372" w14:textId="717EB51B" w:rsidR="00C5204A" w:rsidRPr="003F40DB" w:rsidRDefault="003F40DB" w:rsidP="00C5204A">
      <w:pPr>
        <w:spacing w:line="360" w:lineRule="auto"/>
        <w:jc w:val="both"/>
        <w:rPr>
          <w:rFonts w:ascii="Arial" w:hAnsi="Arial" w:cs="Arial"/>
          <w:b/>
          <w:bCs/>
        </w:rPr>
      </w:pPr>
      <w:r w:rsidRPr="003F40DB">
        <w:rPr>
          <w:rFonts w:ascii="Arial" w:hAnsi="Arial" w:cs="Arial"/>
          <w:b/>
          <w:bCs/>
        </w:rPr>
        <w:t>3.</w:t>
      </w:r>
      <w:r w:rsidR="00F80B00">
        <w:rPr>
          <w:rFonts w:ascii="Arial" w:hAnsi="Arial" w:cs="Arial"/>
          <w:b/>
          <w:bCs/>
        </w:rPr>
        <w:t>8</w:t>
      </w:r>
      <w:r w:rsidR="00C5204A" w:rsidRPr="003F40DB">
        <w:rPr>
          <w:rFonts w:ascii="Arial" w:hAnsi="Arial" w:cs="Arial"/>
          <w:b/>
          <w:bCs/>
        </w:rPr>
        <w:t xml:space="preserve"> Data Collection</w:t>
      </w:r>
    </w:p>
    <w:p w14:paraId="10440D44" w14:textId="77777777" w:rsidR="00C5204A" w:rsidRPr="00C5204A" w:rsidRDefault="00C5204A" w:rsidP="00C5204A">
      <w:pPr>
        <w:spacing w:line="360" w:lineRule="auto"/>
        <w:jc w:val="both"/>
        <w:rPr>
          <w:rFonts w:ascii="Arial" w:hAnsi="Arial" w:cs="Arial"/>
        </w:rPr>
      </w:pPr>
      <w:r>
        <w:rPr>
          <w:rFonts w:ascii="Arial" w:hAnsi="Arial" w:cs="Arial"/>
        </w:rPr>
        <w:t>Secondary evidence will be identified through the UWTSD library, Google Scholar and relevant academic databases using combinations of keywords such as 'hybrid work', 'audiovisual collaboration', 'hybrid meetings', 'technology acceptance', 'communication', 'inclusion' and 'organisational impact'. Duplicate and irrelevant studies will be excluded.</w:t>
      </w:r>
    </w:p>
    <w:p w14:paraId="1DBD9CCF" w14:textId="26809353" w:rsidR="00C5204A" w:rsidRPr="003F40DB" w:rsidRDefault="003F40DB" w:rsidP="00C5204A">
      <w:pPr>
        <w:spacing w:line="360" w:lineRule="auto"/>
        <w:jc w:val="both"/>
        <w:rPr>
          <w:rFonts w:ascii="Arial" w:hAnsi="Arial" w:cs="Arial"/>
          <w:b/>
          <w:bCs/>
        </w:rPr>
      </w:pPr>
      <w:r w:rsidRPr="003F40DB">
        <w:rPr>
          <w:rFonts w:ascii="Arial" w:hAnsi="Arial" w:cs="Arial"/>
          <w:b/>
          <w:bCs/>
        </w:rPr>
        <w:t>3.</w:t>
      </w:r>
      <w:r w:rsidR="00F80B00">
        <w:rPr>
          <w:rFonts w:ascii="Arial" w:hAnsi="Arial" w:cs="Arial"/>
          <w:b/>
          <w:bCs/>
        </w:rPr>
        <w:t>9</w:t>
      </w:r>
      <w:r w:rsidR="00C5204A" w:rsidRPr="003F40DB">
        <w:rPr>
          <w:rFonts w:ascii="Arial" w:hAnsi="Arial" w:cs="Arial"/>
          <w:b/>
          <w:bCs/>
        </w:rPr>
        <w:t xml:space="preserve"> Data Analysis</w:t>
      </w:r>
    </w:p>
    <w:p w14:paraId="0E356008" w14:textId="77777777" w:rsidR="00C5204A" w:rsidRPr="00C5204A" w:rsidRDefault="00C5204A" w:rsidP="00C5204A">
      <w:pPr>
        <w:spacing w:line="360" w:lineRule="auto"/>
        <w:jc w:val="both"/>
        <w:rPr>
          <w:rFonts w:ascii="Arial" w:hAnsi="Arial" w:cs="Arial"/>
        </w:rPr>
      </w:pPr>
      <w:r>
        <w:rPr>
          <w:rFonts w:ascii="Arial" w:hAnsi="Arial" w:cs="Arial"/>
        </w:rPr>
        <w:t>Eligible sources will be coded and analysed thematically to identify recurring patterns, contrasts and relationships across the evidence (Braun and Clarke, 2006). Findings will then be interpreted against the research questions and theoretical framework.</w:t>
      </w:r>
    </w:p>
    <w:p w14:paraId="30B1DA8A" w14:textId="594B1028" w:rsidR="00C5204A" w:rsidRPr="003F40DB" w:rsidRDefault="003F40DB" w:rsidP="00C5204A">
      <w:pPr>
        <w:spacing w:line="360" w:lineRule="auto"/>
        <w:jc w:val="both"/>
        <w:rPr>
          <w:rFonts w:ascii="Arial" w:hAnsi="Arial" w:cs="Arial"/>
          <w:b/>
          <w:bCs/>
        </w:rPr>
      </w:pPr>
      <w:r w:rsidRPr="003F40DB">
        <w:rPr>
          <w:rFonts w:ascii="Arial" w:hAnsi="Arial" w:cs="Arial"/>
          <w:b/>
          <w:bCs/>
        </w:rPr>
        <w:t>3.</w:t>
      </w:r>
      <w:r w:rsidR="00F80B00">
        <w:rPr>
          <w:rFonts w:ascii="Arial" w:hAnsi="Arial" w:cs="Arial"/>
          <w:b/>
          <w:bCs/>
        </w:rPr>
        <w:t>10</w:t>
      </w:r>
      <w:r w:rsidR="00C5204A" w:rsidRPr="003F40DB">
        <w:rPr>
          <w:rFonts w:ascii="Arial" w:hAnsi="Arial" w:cs="Arial"/>
          <w:b/>
          <w:bCs/>
        </w:rPr>
        <w:t xml:space="preserve"> Ethical Considerations</w:t>
      </w:r>
    </w:p>
    <w:p w14:paraId="3219AC7C" w14:textId="77777777" w:rsidR="00C5204A" w:rsidRPr="00C5204A" w:rsidRDefault="00C5204A" w:rsidP="00C5204A">
      <w:pPr>
        <w:spacing w:line="360" w:lineRule="auto"/>
        <w:jc w:val="both"/>
        <w:rPr>
          <w:rFonts w:ascii="Arial" w:hAnsi="Arial" w:cs="Arial"/>
        </w:rPr>
      </w:pPr>
      <w:r w:rsidRPr="00C5204A">
        <w:rPr>
          <w:rFonts w:ascii="Arial" w:hAnsi="Arial" w:cs="Arial"/>
        </w:rPr>
        <w:t>No human participants will be involved. Ethical practice will therefore focus on accurate Harvard referencing, avoidance of plagiarism, transparent source selection, secure data storage and balanced reporting.</w:t>
      </w:r>
    </w:p>
    <w:p w14:paraId="1DFAEE69" w14:textId="77777777" w:rsidR="00A96D10" w:rsidRDefault="00A96D10" w:rsidP="00B96719">
      <w:pPr>
        <w:spacing w:line="360" w:lineRule="auto"/>
        <w:jc w:val="both"/>
        <w:rPr>
          <w:rFonts w:ascii="Arial" w:hAnsi="Arial" w:cs="Arial"/>
          <w:b/>
          <w:bCs/>
          <w:sz w:val="32"/>
          <w:szCs w:val="32"/>
        </w:rPr>
      </w:pPr>
    </w:p>
    <w:p w14:paraId="3E98F20F" w14:textId="77777777" w:rsidR="00A96D10" w:rsidRDefault="00A96D10" w:rsidP="00B96719">
      <w:pPr>
        <w:spacing w:line="360" w:lineRule="auto"/>
        <w:jc w:val="both"/>
        <w:rPr>
          <w:rFonts w:ascii="Arial" w:hAnsi="Arial" w:cs="Arial"/>
          <w:b/>
          <w:bCs/>
          <w:sz w:val="32"/>
          <w:szCs w:val="32"/>
        </w:rPr>
      </w:pPr>
    </w:p>
    <w:p w14:paraId="0C8B00F8" w14:textId="77777777" w:rsidR="00A96D10" w:rsidRDefault="00A96D10" w:rsidP="00B96719">
      <w:pPr>
        <w:spacing w:line="360" w:lineRule="auto"/>
        <w:jc w:val="both"/>
        <w:rPr>
          <w:rFonts w:ascii="Arial" w:hAnsi="Arial" w:cs="Arial"/>
          <w:b/>
          <w:bCs/>
          <w:sz w:val="32"/>
          <w:szCs w:val="32"/>
        </w:rPr>
      </w:pPr>
    </w:p>
    <w:p w14:paraId="4BB0E390" w14:textId="77777777" w:rsidR="00A96D10" w:rsidRDefault="00A96D10" w:rsidP="00B96719">
      <w:pPr>
        <w:spacing w:line="360" w:lineRule="auto"/>
        <w:jc w:val="both"/>
        <w:rPr>
          <w:rFonts w:ascii="Arial" w:hAnsi="Arial" w:cs="Arial"/>
          <w:b/>
          <w:bCs/>
          <w:sz w:val="32"/>
          <w:szCs w:val="32"/>
        </w:rPr>
      </w:pPr>
    </w:p>
    <w:p w14:paraId="5C16F15D" w14:textId="77777777" w:rsidR="00B96719" w:rsidRDefault="00A96D10" w:rsidP="00B96719">
      <w:pPr>
        <w:pageBreakBefore/>
        <w:spacing w:line="360" w:lineRule="auto"/>
        <w:jc w:val="both"/>
        <w:rPr>
          <w:rFonts w:ascii="Arial" w:hAnsi="Arial" w:cs="Arial"/>
          <w:b/>
          <w:bCs/>
          <w:sz w:val="32"/>
          <w:szCs w:val="32"/>
        </w:rPr>
      </w:pPr>
      <w:r>
        <w:rPr>
          <w:rFonts w:ascii="Arial" w:hAnsi="Arial" w:cs="Arial"/>
          <w:b/>
          <w:bCs/>
          <w:sz w:val="32"/>
          <w:szCs w:val="32"/>
        </w:rPr>
        <w:lastRenderedPageBreak/>
        <w:t>Gantt Chart</w:t>
      </w:r>
    </w:p>
    <w:tbl>
      <w:tblPr>
        <w:tblW w:w="0" w:type="auto"/>
        <w:jc w:val="center"/>
        <w:tblBorders>
          <w:top w:val="single" w:sz="18" w:space="0" w:color="auto"/>
          <w:left w:val="single" w:sz="18" w:space="0" w:color="auto"/>
          <w:bottom w:val="single" w:sz="18" w:space="0" w:color="auto"/>
          <w:right w:val="single" w:sz="18" w:space="0" w:color="auto"/>
          <w:insideH w:val="single" w:sz="12" w:space="0" w:color="156082" w:themeColor="accent1"/>
          <w:insideV w:val="single" w:sz="12" w:space="0" w:color="156082" w:themeColor="accent1"/>
        </w:tblBorders>
        <w:tblLook w:val="04A0" w:firstRow="1" w:lastRow="0" w:firstColumn="1" w:lastColumn="0" w:noHBand="0" w:noVBand="1"/>
      </w:tblPr>
      <w:tblGrid>
        <w:gridCol w:w="3544"/>
        <w:gridCol w:w="1088"/>
        <w:gridCol w:w="1087"/>
        <w:gridCol w:w="1087"/>
        <w:gridCol w:w="1087"/>
        <w:gridCol w:w="1087"/>
      </w:tblGrid>
      <w:tr w:rsidR="00A96D10" w14:paraId="194F6D47" w14:textId="77777777" w:rsidTr="00A96D10">
        <w:trPr>
          <w:jc w:val="center"/>
        </w:trPr>
        <w:tc>
          <w:tcPr>
            <w:tcW w:w="3672" w:type="dxa"/>
            <w:shd w:val="clear" w:color="auto" w:fill="D9E1F2"/>
            <w:tcMar>
              <w:top w:w="80" w:type="dxa"/>
              <w:left w:w="80" w:type="dxa"/>
              <w:bottom w:w="80" w:type="dxa"/>
              <w:right w:w="80" w:type="dxa"/>
            </w:tcMar>
            <w:vAlign w:val="center"/>
          </w:tcPr>
          <w:p w14:paraId="773665C2" w14:textId="77777777" w:rsidR="00A96D10" w:rsidRDefault="00A96D10" w:rsidP="00D9289E">
            <w:pPr>
              <w:jc w:val="center"/>
            </w:pPr>
            <w:r>
              <w:rPr>
                <w:b/>
                <w:sz w:val="18"/>
              </w:rPr>
              <w:t>Research activity</w:t>
            </w:r>
          </w:p>
        </w:tc>
        <w:tc>
          <w:tcPr>
            <w:tcW w:w="1123" w:type="dxa"/>
            <w:shd w:val="clear" w:color="auto" w:fill="D9E1F2"/>
            <w:tcMar>
              <w:top w:w="80" w:type="dxa"/>
              <w:left w:w="80" w:type="dxa"/>
              <w:bottom w:w="80" w:type="dxa"/>
              <w:right w:w="80" w:type="dxa"/>
            </w:tcMar>
            <w:vAlign w:val="center"/>
          </w:tcPr>
          <w:p w14:paraId="7CEAAFAB" w14:textId="77777777" w:rsidR="00A96D10" w:rsidRDefault="00A96D10" w:rsidP="00D9289E">
            <w:pPr>
              <w:jc w:val="center"/>
            </w:pPr>
            <w:r>
              <w:rPr>
                <w:b/>
                <w:sz w:val="18"/>
              </w:rPr>
              <w:t>Aug 2026</w:t>
            </w:r>
          </w:p>
        </w:tc>
        <w:tc>
          <w:tcPr>
            <w:tcW w:w="1123" w:type="dxa"/>
            <w:shd w:val="clear" w:color="auto" w:fill="D9E1F2"/>
            <w:tcMar>
              <w:top w:w="80" w:type="dxa"/>
              <w:left w:w="80" w:type="dxa"/>
              <w:bottom w:w="80" w:type="dxa"/>
              <w:right w:w="80" w:type="dxa"/>
            </w:tcMar>
            <w:vAlign w:val="center"/>
          </w:tcPr>
          <w:p w14:paraId="52623E69" w14:textId="77777777" w:rsidR="00A96D10" w:rsidRDefault="00A96D10" w:rsidP="00D9289E">
            <w:pPr>
              <w:jc w:val="center"/>
            </w:pPr>
            <w:r>
              <w:rPr>
                <w:b/>
                <w:sz w:val="18"/>
              </w:rPr>
              <w:t>Sep 2026</w:t>
            </w:r>
          </w:p>
        </w:tc>
        <w:tc>
          <w:tcPr>
            <w:tcW w:w="1123" w:type="dxa"/>
            <w:shd w:val="clear" w:color="auto" w:fill="D9E1F2"/>
            <w:tcMar>
              <w:top w:w="80" w:type="dxa"/>
              <w:left w:w="80" w:type="dxa"/>
              <w:bottom w:w="80" w:type="dxa"/>
              <w:right w:w="80" w:type="dxa"/>
            </w:tcMar>
            <w:vAlign w:val="center"/>
          </w:tcPr>
          <w:p w14:paraId="1E0135C3" w14:textId="77777777" w:rsidR="00A96D10" w:rsidRDefault="00A96D10" w:rsidP="00D9289E">
            <w:pPr>
              <w:jc w:val="center"/>
            </w:pPr>
            <w:r>
              <w:rPr>
                <w:b/>
                <w:sz w:val="18"/>
              </w:rPr>
              <w:t>Oct 2026</w:t>
            </w:r>
          </w:p>
        </w:tc>
        <w:tc>
          <w:tcPr>
            <w:tcW w:w="1123" w:type="dxa"/>
            <w:shd w:val="clear" w:color="auto" w:fill="D9E1F2"/>
            <w:tcMar>
              <w:top w:w="80" w:type="dxa"/>
              <w:left w:w="80" w:type="dxa"/>
              <w:bottom w:w="80" w:type="dxa"/>
              <w:right w:w="80" w:type="dxa"/>
            </w:tcMar>
            <w:vAlign w:val="center"/>
          </w:tcPr>
          <w:p w14:paraId="2F7837BB" w14:textId="77777777" w:rsidR="00A96D10" w:rsidRDefault="00A96D10" w:rsidP="00D9289E">
            <w:pPr>
              <w:jc w:val="center"/>
            </w:pPr>
            <w:r>
              <w:rPr>
                <w:b/>
                <w:sz w:val="18"/>
              </w:rPr>
              <w:t>Nov 2026</w:t>
            </w:r>
          </w:p>
        </w:tc>
        <w:tc>
          <w:tcPr>
            <w:tcW w:w="1123" w:type="dxa"/>
            <w:shd w:val="clear" w:color="auto" w:fill="D9E1F2"/>
            <w:tcMar>
              <w:top w:w="80" w:type="dxa"/>
              <w:left w:w="80" w:type="dxa"/>
              <w:bottom w:w="80" w:type="dxa"/>
              <w:right w:w="80" w:type="dxa"/>
            </w:tcMar>
            <w:vAlign w:val="center"/>
          </w:tcPr>
          <w:p w14:paraId="31FEDC1F" w14:textId="77777777" w:rsidR="00A96D10" w:rsidRDefault="00A96D10" w:rsidP="00D9289E">
            <w:pPr>
              <w:jc w:val="center"/>
            </w:pPr>
            <w:r>
              <w:rPr>
                <w:b/>
                <w:sz w:val="18"/>
              </w:rPr>
              <w:t>Dec 2026</w:t>
            </w:r>
          </w:p>
        </w:tc>
      </w:tr>
      <w:tr w:rsidR="00A96D10" w14:paraId="2747934F" w14:textId="77777777" w:rsidTr="00A96D10">
        <w:trPr>
          <w:jc w:val="center"/>
        </w:trPr>
        <w:tc>
          <w:tcPr>
            <w:tcW w:w="3672" w:type="dxa"/>
            <w:tcMar>
              <w:top w:w="80" w:type="dxa"/>
              <w:left w:w="80" w:type="dxa"/>
              <w:bottom w:w="80" w:type="dxa"/>
              <w:right w:w="80" w:type="dxa"/>
            </w:tcMar>
            <w:vAlign w:val="center"/>
          </w:tcPr>
          <w:p w14:paraId="171FF25F" w14:textId="77777777" w:rsidR="00A96D10" w:rsidRDefault="00A96D10" w:rsidP="00D9289E">
            <w:r>
              <w:rPr>
                <w:sz w:val="18"/>
              </w:rPr>
              <w:t>Finalise proposal and research scope</w:t>
            </w:r>
          </w:p>
        </w:tc>
        <w:tc>
          <w:tcPr>
            <w:tcW w:w="1123" w:type="dxa"/>
            <w:shd w:val="clear" w:color="auto" w:fill="00B0F0"/>
            <w:tcMar>
              <w:top w:w="80" w:type="dxa"/>
              <w:left w:w="80" w:type="dxa"/>
              <w:bottom w:w="80" w:type="dxa"/>
              <w:right w:w="80" w:type="dxa"/>
            </w:tcMar>
            <w:vAlign w:val="center"/>
          </w:tcPr>
          <w:p w14:paraId="3FA1D51E" w14:textId="77777777" w:rsidR="00A96D10" w:rsidRDefault="00A96D10" w:rsidP="00D9289E"/>
        </w:tc>
        <w:tc>
          <w:tcPr>
            <w:tcW w:w="1123" w:type="dxa"/>
            <w:tcMar>
              <w:top w:w="80" w:type="dxa"/>
              <w:left w:w="80" w:type="dxa"/>
              <w:bottom w:w="80" w:type="dxa"/>
              <w:right w:w="80" w:type="dxa"/>
            </w:tcMar>
            <w:vAlign w:val="center"/>
          </w:tcPr>
          <w:p w14:paraId="3E79B8FD" w14:textId="77777777" w:rsidR="00A96D10" w:rsidRDefault="00A96D10" w:rsidP="00D9289E"/>
        </w:tc>
        <w:tc>
          <w:tcPr>
            <w:tcW w:w="1123" w:type="dxa"/>
            <w:tcMar>
              <w:top w:w="80" w:type="dxa"/>
              <w:left w:w="80" w:type="dxa"/>
              <w:bottom w:w="80" w:type="dxa"/>
              <w:right w:w="80" w:type="dxa"/>
            </w:tcMar>
            <w:vAlign w:val="center"/>
          </w:tcPr>
          <w:p w14:paraId="5EBA9AA0" w14:textId="77777777" w:rsidR="00A96D10" w:rsidRDefault="00A96D10" w:rsidP="00D9289E"/>
        </w:tc>
        <w:tc>
          <w:tcPr>
            <w:tcW w:w="1123" w:type="dxa"/>
            <w:tcMar>
              <w:top w:w="80" w:type="dxa"/>
              <w:left w:w="80" w:type="dxa"/>
              <w:bottom w:w="80" w:type="dxa"/>
              <w:right w:w="80" w:type="dxa"/>
            </w:tcMar>
            <w:vAlign w:val="center"/>
          </w:tcPr>
          <w:p w14:paraId="37CAC85D" w14:textId="77777777" w:rsidR="00A96D10" w:rsidRDefault="00A96D10" w:rsidP="00D9289E"/>
        </w:tc>
        <w:tc>
          <w:tcPr>
            <w:tcW w:w="1123" w:type="dxa"/>
            <w:tcMar>
              <w:top w:w="80" w:type="dxa"/>
              <w:left w:w="80" w:type="dxa"/>
              <w:bottom w:w="80" w:type="dxa"/>
              <w:right w:w="80" w:type="dxa"/>
            </w:tcMar>
            <w:vAlign w:val="center"/>
          </w:tcPr>
          <w:p w14:paraId="79756243" w14:textId="77777777" w:rsidR="00A96D10" w:rsidRDefault="00A96D10" w:rsidP="00D9289E"/>
        </w:tc>
      </w:tr>
      <w:tr w:rsidR="00A96D10" w14:paraId="456905AB" w14:textId="77777777" w:rsidTr="00A96D10">
        <w:trPr>
          <w:jc w:val="center"/>
        </w:trPr>
        <w:tc>
          <w:tcPr>
            <w:tcW w:w="3672" w:type="dxa"/>
            <w:tcMar>
              <w:top w:w="80" w:type="dxa"/>
              <w:left w:w="80" w:type="dxa"/>
              <w:bottom w:w="80" w:type="dxa"/>
              <w:right w:w="80" w:type="dxa"/>
            </w:tcMar>
            <w:vAlign w:val="center"/>
          </w:tcPr>
          <w:p w14:paraId="7FEB17FC" w14:textId="77777777" w:rsidR="00A96D10" w:rsidRDefault="00A96D10" w:rsidP="00D9289E">
            <w:r>
              <w:rPr>
                <w:sz w:val="18"/>
              </w:rPr>
              <w:t>Literature search and critical review</w:t>
            </w:r>
          </w:p>
        </w:tc>
        <w:tc>
          <w:tcPr>
            <w:tcW w:w="1123" w:type="dxa"/>
            <w:shd w:val="clear" w:color="auto" w:fill="FFFF00"/>
            <w:tcMar>
              <w:top w:w="80" w:type="dxa"/>
              <w:left w:w="80" w:type="dxa"/>
              <w:bottom w:w="80" w:type="dxa"/>
              <w:right w:w="80" w:type="dxa"/>
            </w:tcMar>
            <w:vAlign w:val="center"/>
          </w:tcPr>
          <w:p w14:paraId="79041A07" w14:textId="77777777" w:rsidR="00A96D10" w:rsidRDefault="00A96D10" w:rsidP="00D9289E"/>
        </w:tc>
        <w:tc>
          <w:tcPr>
            <w:tcW w:w="1123" w:type="dxa"/>
            <w:shd w:val="clear" w:color="auto" w:fill="FFFF00"/>
            <w:tcMar>
              <w:top w:w="80" w:type="dxa"/>
              <w:left w:w="80" w:type="dxa"/>
              <w:bottom w:w="80" w:type="dxa"/>
              <w:right w:w="80" w:type="dxa"/>
            </w:tcMar>
            <w:vAlign w:val="center"/>
          </w:tcPr>
          <w:p w14:paraId="2D676592" w14:textId="77777777" w:rsidR="00A96D10" w:rsidRDefault="00A96D10" w:rsidP="00D9289E"/>
        </w:tc>
        <w:tc>
          <w:tcPr>
            <w:tcW w:w="1123" w:type="dxa"/>
            <w:tcMar>
              <w:top w:w="80" w:type="dxa"/>
              <w:left w:w="80" w:type="dxa"/>
              <w:bottom w:w="80" w:type="dxa"/>
              <w:right w:w="80" w:type="dxa"/>
            </w:tcMar>
            <w:vAlign w:val="center"/>
          </w:tcPr>
          <w:p w14:paraId="72B06296" w14:textId="77777777" w:rsidR="00A96D10" w:rsidRDefault="00A96D10" w:rsidP="00D9289E"/>
        </w:tc>
        <w:tc>
          <w:tcPr>
            <w:tcW w:w="1123" w:type="dxa"/>
            <w:tcMar>
              <w:top w:w="80" w:type="dxa"/>
              <w:left w:w="80" w:type="dxa"/>
              <w:bottom w:w="80" w:type="dxa"/>
              <w:right w:w="80" w:type="dxa"/>
            </w:tcMar>
            <w:vAlign w:val="center"/>
          </w:tcPr>
          <w:p w14:paraId="73C2F872" w14:textId="77777777" w:rsidR="00A96D10" w:rsidRDefault="00A96D10" w:rsidP="00D9289E"/>
        </w:tc>
        <w:tc>
          <w:tcPr>
            <w:tcW w:w="1123" w:type="dxa"/>
            <w:tcMar>
              <w:top w:w="80" w:type="dxa"/>
              <w:left w:w="80" w:type="dxa"/>
              <w:bottom w:w="80" w:type="dxa"/>
              <w:right w:w="80" w:type="dxa"/>
            </w:tcMar>
            <w:vAlign w:val="center"/>
          </w:tcPr>
          <w:p w14:paraId="19C2133F" w14:textId="77777777" w:rsidR="00A96D10" w:rsidRDefault="00A96D10" w:rsidP="00D9289E"/>
        </w:tc>
      </w:tr>
      <w:tr w:rsidR="00A96D10" w14:paraId="42A04518" w14:textId="77777777" w:rsidTr="00A96D10">
        <w:trPr>
          <w:jc w:val="center"/>
        </w:trPr>
        <w:tc>
          <w:tcPr>
            <w:tcW w:w="3672" w:type="dxa"/>
            <w:tcMar>
              <w:top w:w="80" w:type="dxa"/>
              <w:left w:w="80" w:type="dxa"/>
              <w:bottom w:w="80" w:type="dxa"/>
              <w:right w:w="80" w:type="dxa"/>
            </w:tcMar>
            <w:vAlign w:val="center"/>
          </w:tcPr>
          <w:p w14:paraId="690B4A49" w14:textId="77777777" w:rsidR="00A96D10" w:rsidRDefault="00A96D10" w:rsidP="00D9289E">
            <w:r>
              <w:rPr>
                <w:sz w:val="18"/>
              </w:rPr>
              <w:t>Refine theoretical framework</w:t>
            </w:r>
          </w:p>
        </w:tc>
        <w:tc>
          <w:tcPr>
            <w:tcW w:w="1123" w:type="dxa"/>
            <w:shd w:val="clear" w:color="auto" w:fill="F1A983" w:themeFill="accent2" w:themeFillTint="99"/>
            <w:tcMar>
              <w:top w:w="80" w:type="dxa"/>
              <w:left w:w="80" w:type="dxa"/>
              <w:bottom w:w="80" w:type="dxa"/>
              <w:right w:w="80" w:type="dxa"/>
            </w:tcMar>
            <w:vAlign w:val="center"/>
          </w:tcPr>
          <w:p w14:paraId="712DB233" w14:textId="77777777" w:rsidR="00A96D10" w:rsidRDefault="00A96D10" w:rsidP="00D9289E"/>
        </w:tc>
        <w:tc>
          <w:tcPr>
            <w:tcW w:w="1123" w:type="dxa"/>
            <w:shd w:val="clear" w:color="auto" w:fill="F1A983" w:themeFill="accent2" w:themeFillTint="99"/>
            <w:tcMar>
              <w:top w:w="80" w:type="dxa"/>
              <w:left w:w="80" w:type="dxa"/>
              <w:bottom w:w="80" w:type="dxa"/>
              <w:right w:w="80" w:type="dxa"/>
            </w:tcMar>
            <w:vAlign w:val="center"/>
          </w:tcPr>
          <w:p w14:paraId="011A4D03" w14:textId="77777777" w:rsidR="00A96D10" w:rsidRDefault="00A96D10" w:rsidP="00D9289E"/>
        </w:tc>
        <w:tc>
          <w:tcPr>
            <w:tcW w:w="1123" w:type="dxa"/>
            <w:tcMar>
              <w:top w:w="80" w:type="dxa"/>
              <w:left w:w="80" w:type="dxa"/>
              <w:bottom w:w="80" w:type="dxa"/>
              <w:right w:w="80" w:type="dxa"/>
            </w:tcMar>
            <w:vAlign w:val="center"/>
          </w:tcPr>
          <w:p w14:paraId="69091094" w14:textId="77777777" w:rsidR="00A96D10" w:rsidRDefault="00A96D10" w:rsidP="00D9289E"/>
        </w:tc>
        <w:tc>
          <w:tcPr>
            <w:tcW w:w="1123" w:type="dxa"/>
            <w:tcMar>
              <w:top w:w="80" w:type="dxa"/>
              <w:left w:w="80" w:type="dxa"/>
              <w:bottom w:w="80" w:type="dxa"/>
              <w:right w:w="80" w:type="dxa"/>
            </w:tcMar>
            <w:vAlign w:val="center"/>
          </w:tcPr>
          <w:p w14:paraId="1BCDE937" w14:textId="77777777" w:rsidR="00A96D10" w:rsidRDefault="00A96D10" w:rsidP="00D9289E"/>
        </w:tc>
        <w:tc>
          <w:tcPr>
            <w:tcW w:w="1123" w:type="dxa"/>
            <w:tcMar>
              <w:top w:w="80" w:type="dxa"/>
              <w:left w:w="80" w:type="dxa"/>
              <w:bottom w:w="80" w:type="dxa"/>
              <w:right w:w="80" w:type="dxa"/>
            </w:tcMar>
            <w:vAlign w:val="center"/>
          </w:tcPr>
          <w:p w14:paraId="4578B40E" w14:textId="77777777" w:rsidR="00A96D10" w:rsidRDefault="00A96D10" w:rsidP="00D9289E"/>
        </w:tc>
      </w:tr>
      <w:tr w:rsidR="00A96D10" w14:paraId="75760E4B" w14:textId="77777777" w:rsidTr="00A96D10">
        <w:trPr>
          <w:jc w:val="center"/>
        </w:trPr>
        <w:tc>
          <w:tcPr>
            <w:tcW w:w="3672" w:type="dxa"/>
            <w:tcMar>
              <w:top w:w="80" w:type="dxa"/>
              <w:left w:w="80" w:type="dxa"/>
              <w:bottom w:w="80" w:type="dxa"/>
              <w:right w:w="80" w:type="dxa"/>
            </w:tcMar>
            <w:vAlign w:val="center"/>
          </w:tcPr>
          <w:p w14:paraId="1987728D" w14:textId="77777777" w:rsidR="00A96D10" w:rsidRDefault="00A96D10" w:rsidP="00D9289E">
            <w:r>
              <w:rPr>
                <w:sz w:val="18"/>
              </w:rPr>
              <w:t>Secondary data collection and screening</w:t>
            </w:r>
          </w:p>
        </w:tc>
        <w:tc>
          <w:tcPr>
            <w:tcW w:w="1123" w:type="dxa"/>
            <w:tcMar>
              <w:top w:w="80" w:type="dxa"/>
              <w:left w:w="80" w:type="dxa"/>
              <w:bottom w:w="80" w:type="dxa"/>
              <w:right w:w="80" w:type="dxa"/>
            </w:tcMar>
            <w:vAlign w:val="center"/>
          </w:tcPr>
          <w:p w14:paraId="7C4253FA" w14:textId="77777777" w:rsidR="00A96D10" w:rsidRDefault="00A96D10" w:rsidP="00D9289E"/>
        </w:tc>
        <w:tc>
          <w:tcPr>
            <w:tcW w:w="1123" w:type="dxa"/>
            <w:shd w:val="clear" w:color="auto" w:fill="D86DCB" w:themeFill="accent5" w:themeFillTint="99"/>
            <w:tcMar>
              <w:top w:w="80" w:type="dxa"/>
              <w:left w:w="80" w:type="dxa"/>
              <w:bottom w:w="80" w:type="dxa"/>
              <w:right w:w="80" w:type="dxa"/>
            </w:tcMar>
            <w:vAlign w:val="center"/>
          </w:tcPr>
          <w:p w14:paraId="179C85F9" w14:textId="77777777" w:rsidR="00A96D10" w:rsidRDefault="00A96D10" w:rsidP="00D9289E"/>
        </w:tc>
        <w:tc>
          <w:tcPr>
            <w:tcW w:w="1123" w:type="dxa"/>
            <w:shd w:val="clear" w:color="auto" w:fill="D86DCB" w:themeFill="accent5" w:themeFillTint="99"/>
            <w:tcMar>
              <w:top w:w="80" w:type="dxa"/>
              <w:left w:w="80" w:type="dxa"/>
              <w:bottom w:w="80" w:type="dxa"/>
              <w:right w:w="80" w:type="dxa"/>
            </w:tcMar>
            <w:vAlign w:val="center"/>
          </w:tcPr>
          <w:p w14:paraId="6ACC6783" w14:textId="77777777" w:rsidR="00A96D10" w:rsidRDefault="00A96D10" w:rsidP="00D9289E"/>
        </w:tc>
        <w:tc>
          <w:tcPr>
            <w:tcW w:w="1123" w:type="dxa"/>
            <w:tcMar>
              <w:top w:w="80" w:type="dxa"/>
              <w:left w:w="80" w:type="dxa"/>
              <w:bottom w:w="80" w:type="dxa"/>
              <w:right w:w="80" w:type="dxa"/>
            </w:tcMar>
            <w:vAlign w:val="center"/>
          </w:tcPr>
          <w:p w14:paraId="3EAC066C" w14:textId="77777777" w:rsidR="00A96D10" w:rsidRDefault="00A96D10" w:rsidP="00D9289E"/>
        </w:tc>
        <w:tc>
          <w:tcPr>
            <w:tcW w:w="1123" w:type="dxa"/>
            <w:tcMar>
              <w:top w:w="80" w:type="dxa"/>
              <w:left w:w="80" w:type="dxa"/>
              <w:bottom w:w="80" w:type="dxa"/>
              <w:right w:w="80" w:type="dxa"/>
            </w:tcMar>
            <w:vAlign w:val="center"/>
          </w:tcPr>
          <w:p w14:paraId="687F448F" w14:textId="77777777" w:rsidR="00A96D10" w:rsidRDefault="00A96D10" w:rsidP="00D9289E"/>
        </w:tc>
      </w:tr>
      <w:tr w:rsidR="00A96D10" w14:paraId="471DAFC8" w14:textId="77777777" w:rsidTr="00A96D10">
        <w:trPr>
          <w:jc w:val="center"/>
        </w:trPr>
        <w:tc>
          <w:tcPr>
            <w:tcW w:w="3672" w:type="dxa"/>
            <w:tcMar>
              <w:top w:w="80" w:type="dxa"/>
              <w:left w:w="80" w:type="dxa"/>
              <w:bottom w:w="80" w:type="dxa"/>
              <w:right w:w="80" w:type="dxa"/>
            </w:tcMar>
            <w:vAlign w:val="center"/>
          </w:tcPr>
          <w:p w14:paraId="4D0F461C" w14:textId="77777777" w:rsidR="00A96D10" w:rsidRDefault="00A96D10" w:rsidP="00D9289E">
            <w:r>
              <w:rPr>
                <w:sz w:val="18"/>
              </w:rPr>
              <w:t>Coding and thematic analysis</w:t>
            </w:r>
          </w:p>
        </w:tc>
        <w:tc>
          <w:tcPr>
            <w:tcW w:w="1123" w:type="dxa"/>
            <w:tcMar>
              <w:top w:w="80" w:type="dxa"/>
              <w:left w:w="80" w:type="dxa"/>
              <w:bottom w:w="80" w:type="dxa"/>
              <w:right w:w="80" w:type="dxa"/>
            </w:tcMar>
            <w:vAlign w:val="center"/>
          </w:tcPr>
          <w:p w14:paraId="5E018B8B" w14:textId="77777777" w:rsidR="00A96D10" w:rsidRDefault="00A96D10" w:rsidP="00D9289E"/>
        </w:tc>
        <w:tc>
          <w:tcPr>
            <w:tcW w:w="1123" w:type="dxa"/>
            <w:tcMar>
              <w:top w:w="80" w:type="dxa"/>
              <w:left w:w="80" w:type="dxa"/>
              <w:bottom w:w="80" w:type="dxa"/>
              <w:right w:w="80" w:type="dxa"/>
            </w:tcMar>
            <w:vAlign w:val="center"/>
          </w:tcPr>
          <w:p w14:paraId="7C53387F" w14:textId="77777777" w:rsidR="00A96D10" w:rsidRDefault="00A96D10" w:rsidP="00D9289E"/>
        </w:tc>
        <w:tc>
          <w:tcPr>
            <w:tcW w:w="1123" w:type="dxa"/>
            <w:shd w:val="clear" w:color="auto" w:fill="A6A6A6" w:themeFill="background1" w:themeFillShade="A6"/>
            <w:tcMar>
              <w:top w:w="80" w:type="dxa"/>
              <w:left w:w="80" w:type="dxa"/>
              <w:bottom w:w="80" w:type="dxa"/>
              <w:right w:w="80" w:type="dxa"/>
            </w:tcMar>
            <w:vAlign w:val="center"/>
          </w:tcPr>
          <w:p w14:paraId="1FAB5AA6" w14:textId="77777777" w:rsidR="00A96D10" w:rsidRDefault="00A96D10" w:rsidP="00D9289E"/>
        </w:tc>
        <w:tc>
          <w:tcPr>
            <w:tcW w:w="1123" w:type="dxa"/>
            <w:shd w:val="clear" w:color="auto" w:fill="A6A6A6" w:themeFill="background1" w:themeFillShade="A6"/>
            <w:tcMar>
              <w:top w:w="80" w:type="dxa"/>
              <w:left w:w="80" w:type="dxa"/>
              <w:bottom w:w="80" w:type="dxa"/>
              <w:right w:w="80" w:type="dxa"/>
            </w:tcMar>
            <w:vAlign w:val="center"/>
          </w:tcPr>
          <w:p w14:paraId="0BC1452F" w14:textId="77777777" w:rsidR="00A96D10" w:rsidRDefault="00A96D10" w:rsidP="00D9289E"/>
        </w:tc>
        <w:tc>
          <w:tcPr>
            <w:tcW w:w="1123" w:type="dxa"/>
            <w:tcMar>
              <w:top w:w="80" w:type="dxa"/>
              <w:left w:w="80" w:type="dxa"/>
              <w:bottom w:w="80" w:type="dxa"/>
              <w:right w:w="80" w:type="dxa"/>
            </w:tcMar>
            <w:vAlign w:val="center"/>
          </w:tcPr>
          <w:p w14:paraId="1087DC5E" w14:textId="77777777" w:rsidR="00A96D10" w:rsidRDefault="00A96D10" w:rsidP="00D9289E"/>
        </w:tc>
      </w:tr>
      <w:tr w:rsidR="00A96D10" w14:paraId="6BA5C387" w14:textId="77777777" w:rsidTr="00A96D10">
        <w:trPr>
          <w:jc w:val="center"/>
        </w:trPr>
        <w:tc>
          <w:tcPr>
            <w:tcW w:w="3672" w:type="dxa"/>
            <w:tcMar>
              <w:top w:w="80" w:type="dxa"/>
              <w:left w:w="80" w:type="dxa"/>
              <w:bottom w:w="80" w:type="dxa"/>
              <w:right w:w="80" w:type="dxa"/>
            </w:tcMar>
            <w:vAlign w:val="center"/>
          </w:tcPr>
          <w:p w14:paraId="58ED56E2" w14:textId="77777777" w:rsidR="00A96D10" w:rsidRDefault="00A96D10" w:rsidP="00D9289E">
            <w:r>
              <w:rPr>
                <w:sz w:val="18"/>
              </w:rPr>
              <w:t>Draft findings and discussion</w:t>
            </w:r>
          </w:p>
        </w:tc>
        <w:tc>
          <w:tcPr>
            <w:tcW w:w="1123" w:type="dxa"/>
            <w:tcMar>
              <w:top w:w="80" w:type="dxa"/>
              <w:left w:w="80" w:type="dxa"/>
              <w:bottom w:w="80" w:type="dxa"/>
              <w:right w:w="80" w:type="dxa"/>
            </w:tcMar>
            <w:vAlign w:val="center"/>
          </w:tcPr>
          <w:p w14:paraId="242B0407" w14:textId="77777777" w:rsidR="00A96D10" w:rsidRDefault="00A96D10" w:rsidP="00D9289E"/>
        </w:tc>
        <w:tc>
          <w:tcPr>
            <w:tcW w:w="1123" w:type="dxa"/>
            <w:tcMar>
              <w:top w:w="80" w:type="dxa"/>
              <w:left w:w="80" w:type="dxa"/>
              <w:bottom w:w="80" w:type="dxa"/>
              <w:right w:w="80" w:type="dxa"/>
            </w:tcMar>
            <w:vAlign w:val="center"/>
          </w:tcPr>
          <w:p w14:paraId="214657E9" w14:textId="77777777" w:rsidR="00A96D10" w:rsidRDefault="00A96D10" w:rsidP="00D9289E"/>
        </w:tc>
        <w:tc>
          <w:tcPr>
            <w:tcW w:w="1123" w:type="dxa"/>
            <w:tcMar>
              <w:top w:w="80" w:type="dxa"/>
              <w:left w:w="80" w:type="dxa"/>
              <w:bottom w:w="80" w:type="dxa"/>
              <w:right w:w="80" w:type="dxa"/>
            </w:tcMar>
            <w:vAlign w:val="center"/>
          </w:tcPr>
          <w:p w14:paraId="22A7578B" w14:textId="77777777" w:rsidR="00A96D10" w:rsidRDefault="00A96D10" w:rsidP="00D9289E"/>
        </w:tc>
        <w:tc>
          <w:tcPr>
            <w:tcW w:w="1123" w:type="dxa"/>
            <w:shd w:val="clear" w:color="auto" w:fill="47D459" w:themeFill="accent3" w:themeFillTint="99"/>
            <w:tcMar>
              <w:top w:w="80" w:type="dxa"/>
              <w:left w:w="80" w:type="dxa"/>
              <w:bottom w:w="80" w:type="dxa"/>
              <w:right w:w="80" w:type="dxa"/>
            </w:tcMar>
            <w:vAlign w:val="center"/>
          </w:tcPr>
          <w:p w14:paraId="08D6376E" w14:textId="77777777" w:rsidR="00A96D10" w:rsidRDefault="00A96D10" w:rsidP="00D9289E"/>
        </w:tc>
        <w:tc>
          <w:tcPr>
            <w:tcW w:w="1123" w:type="dxa"/>
            <w:shd w:val="clear" w:color="auto" w:fill="47D459" w:themeFill="accent3" w:themeFillTint="99"/>
            <w:tcMar>
              <w:top w:w="80" w:type="dxa"/>
              <w:left w:w="80" w:type="dxa"/>
              <w:bottom w:w="80" w:type="dxa"/>
              <w:right w:w="80" w:type="dxa"/>
            </w:tcMar>
            <w:vAlign w:val="center"/>
          </w:tcPr>
          <w:p w14:paraId="1D1938D3" w14:textId="77777777" w:rsidR="00A96D10" w:rsidRDefault="00A96D10" w:rsidP="00D9289E"/>
        </w:tc>
      </w:tr>
      <w:tr w:rsidR="00A96D10" w14:paraId="57675D2A" w14:textId="77777777" w:rsidTr="00A96D10">
        <w:trPr>
          <w:jc w:val="center"/>
        </w:trPr>
        <w:tc>
          <w:tcPr>
            <w:tcW w:w="3672" w:type="dxa"/>
            <w:tcMar>
              <w:top w:w="80" w:type="dxa"/>
              <w:left w:w="80" w:type="dxa"/>
              <w:bottom w:w="80" w:type="dxa"/>
              <w:right w:w="80" w:type="dxa"/>
            </w:tcMar>
            <w:vAlign w:val="center"/>
          </w:tcPr>
          <w:p w14:paraId="514AF9D1" w14:textId="77777777" w:rsidR="00A96D10" w:rsidRDefault="00A96D10" w:rsidP="00D9289E">
            <w:r>
              <w:rPr>
                <w:sz w:val="18"/>
              </w:rPr>
              <w:t>Conclusion and recommendations</w:t>
            </w:r>
          </w:p>
        </w:tc>
        <w:tc>
          <w:tcPr>
            <w:tcW w:w="1123" w:type="dxa"/>
            <w:tcMar>
              <w:top w:w="80" w:type="dxa"/>
              <w:left w:w="80" w:type="dxa"/>
              <w:bottom w:w="80" w:type="dxa"/>
              <w:right w:w="80" w:type="dxa"/>
            </w:tcMar>
            <w:vAlign w:val="center"/>
          </w:tcPr>
          <w:p w14:paraId="445EB6CB" w14:textId="77777777" w:rsidR="00A96D10" w:rsidRDefault="00A96D10" w:rsidP="00D9289E"/>
        </w:tc>
        <w:tc>
          <w:tcPr>
            <w:tcW w:w="1123" w:type="dxa"/>
            <w:tcMar>
              <w:top w:w="80" w:type="dxa"/>
              <w:left w:w="80" w:type="dxa"/>
              <w:bottom w:w="80" w:type="dxa"/>
              <w:right w:w="80" w:type="dxa"/>
            </w:tcMar>
            <w:vAlign w:val="center"/>
          </w:tcPr>
          <w:p w14:paraId="00976ADB" w14:textId="77777777" w:rsidR="00A96D10" w:rsidRDefault="00A96D10" w:rsidP="00D9289E"/>
        </w:tc>
        <w:tc>
          <w:tcPr>
            <w:tcW w:w="1123" w:type="dxa"/>
            <w:tcMar>
              <w:top w:w="80" w:type="dxa"/>
              <w:left w:w="80" w:type="dxa"/>
              <w:bottom w:w="80" w:type="dxa"/>
              <w:right w:w="80" w:type="dxa"/>
            </w:tcMar>
            <w:vAlign w:val="center"/>
          </w:tcPr>
          <w:p w14:paraId="4BEB169E" w14:textId="77777777" w:rsidR="00A96D10" w:rsidRDefault="00A96D10" w:rsidP="00D9289E"/>
        </w:tc>
        <w:tc>
          <w:tcPr>
            <w:tcW w:w="1123" w:type="dxa"/>
            <w:tcMar>
              <w:top w:w="80" w:type="dxa"/>
              <w:left w:w="80" w:type="dxa"/>
              <w:bottom w:w="80" w:type="dxa"/>
              <w:right w:w="80" w:type="dxa"/>
            </w:tcMar>
            <w:vAlign w:val="center"/>
          </w:tcPr>
          <w:p w14:paraId="14CF9B0C" w14:textId="77777777" w:rsidR="00A96D10" w:rsidRDefault="00A96D10" w:rsidP="00D9289E"/>
        </w:tc>
        <w:tc>
          <w:tcPr>
            <w:tcW w:w="1123" w:type="dxa"/>
            <w:shd w:val="clear" w:color="auto" w:fill="EE0000"/>
            <w:tcMar>
              <w:top w:w="80" w:type="dxa"/>
              <w:left w:w="80" w:type="dxa"/>
              <w:bottom w:w="80" w:type="dxa"/>
              <w:right w:w="80" w:type="dxa"/>
            </w:tcMar>
            <w:vAlign w:val="center"/>
          </w:tcPr>
          <w:p w14:paraId="7B7BCCA9" w14:textId="77777777" w:rsidR="00A96D10" w:rsidRDefault="00A96D10" w:rsidP="00D9289E"/>
        </w:tc>
      </w:tr>
      <w:tr w:rsidR="00A96D10" w14:paraId="18612108" w14:textId="77777777" w:rsidTr="00A96D10">
        <w:trPr>
          <w:jc w:val="center"/>
        </w:trPr>
        <w:tc>
          <w:tcPr>
            <w:tcW w:w="3672" w:type="dxa"/>
            <w:tcMar>
              <w:top w:w="80" w:type="dxa"/>
              <w:left w:w="80" w:type="dxa"/>
              <w:bottom w:w="80" w:type="dxa"/>
              <w:right w:w="80" w:type="dxa"/>
            </w:tcMar>
            <w:vAlign w:val="center"/>
          </w:tcPr>
          <w:p w14:paraId="336DF225" w14:textId="77777777" w:rsidR="00A96D10" w:rsidRDefault="00A96D10" w:rsidP="00D9289E">
            <w:r>
              <w:rPr>
                <w:sz w:val="18"/>
              </w:rPr>
              <w:t>Editing, proofreading and referencing</w:t>
            </w:r>
          </w:p>
        </w:tc>
        <w:tc>
          <w:tcPr>
            <w:tcW w:w="1123" w:type="dxa"/>
            <w:tcMar>
              <w:top w:w="80" w:type="dxa"/>
              <w:left w:w="80" w:type="dxa"/>
              <w:bottom w:w="80" w:type="dxa"/>
              <w:right w:w="80" w:type="dxa"/>
            </w:tcMar>
            <w:vAlign w:val="center"/>
          </w:tcPr>
          <w:p w14:paraId="1BEF3FC6" w14:textId="77777777" w:rsidR="00A96D10" w:rsidRDefault="00A96D10" w:rsidP="00D9289E"/>
        </w:tc>
        <w:tc>
          <w:tcPr>
            <w:tcW w:w="1123" w:type="dxa"/>
            <w:tcMar>
              <w:top w:w="80" w:type="dxa"/>
              <w:left w:w="80" w:type="dxa"/>
              <w:bottom w:w="80" w:type="dxa"/>
              <w:right w:w="80" w:type="dxa"/>
            </w:tcMar>
            <w:vAlign w:val="center"/>
          </w:tcPr>
          <w:p w14:paraId="446E4999" w14:textId="77777777" w:rsidR="00A96D10" w:rsidRDefault="00A96D10" w:rsidP="00D9289E"/>
        </w:tc>
        <w:tc>
          <w:tcPr>
            <w:tcW w:w="1123" w:type="dxa"/>
            <w:tcMar>
              <w:top w:w="80" w:type="dxa"/>
              <w:left w:w="80" w:type="dxa"/>
              <w:bottom w:w="80" w:type="dxa"/>
              <w:right w:w="80" w:type="dxa"/>
            </w:tcMar>
            <w:vAlign w:val="center"/>
          </w:tcPr>
          <w:p w14:paraId="560A5509" w14:textId="77777777" w:rsidR="00A96D10" w:rsidRDefault="00A96D10" w:rsidP="00D9289E"/>
        </w:tc>
        <w:tc>
          <w:tcPr>
            <w:tcW w:w="1123" w:type="dxa"/>
            <w:tcMar>
              <w:top w:w="80" w:type="dxa"/>
              <w:left w:w="80" w:type="dxa"/>
              <w:bottom w:w="80" w:type="dxa"/>
              <w:right w:w="80" w:type="dxa"/>
            </w:tcMar>
            <w:vAlign w:val="center"/>
          </w:tcPr>
          <w:p w14:paraId="656D2E08" w14:textId="77777777" w:rsidR="00A96D10" w:rsidRDefault="00A96D10" w:rsidP="00D9289E"/>
        </w:tc>
        <w:tc>
          <w:tcPr>
            <w:tcW w:w="1123" w:type="dxa"/>
            <w:shd w:val="clear" w:color="auto" w:fill="EE0000"/>
            <w:tcMar>
              <w:top w:w="80" w:type="dxa"/>
              <w:left w:w="80" w:type="dxa"/>
              <w:bottom w:w="80" w:type="dxa"/>
              <w:right w:w="80" w:type="dxa"/>
            </w:tcMar>
            <w:vAlign w:val="center"/>
          </w:tcPr>
          <w:p w14:paraId="288BDB19" w14:textId="77777777" w:rsidR="00A96D10" w:rsidRDefault="00A96D10" w:rsidP="00D9289E"/>
        </w:tc>
      </w:tr>
    </w:tbl>
    <w:p w14:paraId="613CE64D" w14:textId="77777777" w:rsidR="00B96719" w:rsidRDefault="00B96719" w:rsidP="00B96719">
      <w:pPr>
        <w:spacing w:line="360" w:lineRule="auto"/>
        <w:jc w:val="both"/>
        <w:rPr>
          <w:rFonts w:ascii="Arial" w:hAnsi="Arial" w:cs="Arial"/>
          <w:b/>
          <w:bCs/>
        </w:rPr>
      </w:pPr>
    </w:p>
    <w:p w14:paraId="785C133A" w14:textId="77777777" w:rsidR="00735308" w:rsidRDefault="00735308" w:rsidP="00B96719">
      <w:pPr>
        <w:spacing w:line="360" w:lineRule="auto"/>
        <w:jc w:val="both"/>
        <w:rPr>
          <w:rFonts w:ascii="Arial" w:hAnsi="Arial" w:cs="Arial"/>
          <w:b/>
          <w:bCs/>
        </w:rPr>
      </w:pPr>
      <w:r>
        <w:rPr>
          <w:rFonts w:ascii="Arial" w:hAnsi="Arial" w:cs="Arial"/>
          <w:b/>
          <w:bCs/>
        </w:rPr>
        <w:t>Conclusion of Chapter 3</w:t>
      </w:r>
    </w:p>
    <w:p w14:paraId="7F5A908D" w14:textId="77777777" w:rsidR="002070B4" w:rsidRDefault="00AE2DFA" w:rsidP="002D5860">
      <w:pPr>
        <w:spacing w:line="360" w:lineRule="auto"/>
        <w:jc w:val="both"/>
      </w:pPr>
      <w:r>
        <w:rPr>
          <w:rFonts w:ascii="Arial" w:hAnsi="Arial" w:cs="Arial"/>
        </w:rPr>
        <w:t>Overall, the study adopts an interpretivist, inductive and qualitative secondary design. Systematic searching, screening and thematic analysis will support a transparent synthesis of evidence. The approach aligns with the research questions and is achievable without primary data collection.</w:t>
      </w:r>
    </w:p>
    <w:p w14:paraId="5068746C" w14:textId="491071E8" w:rsidR="004278A6" w:rsidRPr="00F80B00" w:rsidRDefault="004278A6" w:rsidP="00F80B00">
      <w:pPr>
        <w:pStyle w:val="ListParagraph"/>
        <w:pageBreakBefore/>
        <w:numPr>
          <w:ilvl w:val="0"/>
          <w:numId w:val="2"/>
        </w:numPr>
        <w:spacing w:after="0" w:line="240" w:lineRule="auto"/>
        <w:rPr>
          <w:rFonts w:ascii="Calibri" w:hAnsi="Calibri" w:cs="Calibri"/>
          <w:b/>
          <w:bCs/>
          <w:color w:val="000000" w:themeColor="text1"/>
          <w:sz w:val="28"/>
          <w:szCs w:val="28"/>
        </w:rPr>
      </w:pPr>
      <w:r w:rsidRPr="00F80B00">
        <w:rPr>
          <w:rFonts w:ascii="Calibri" w:hAnsi="Calibri" w:cs="Calibri"/>
          <w:b/>
          <w:bCs/>
          <w:color w:val="000000" w:themeColor="text1"/>
          <w:sz w:val="28"/>
          <w:szCs w:val="28"/>
        </w:rPr>
        <w:lastRenderedPageBreak/>
        <w:t xml:space="preserve">References </w:t>
      </w:r>
    </w:p>
    <w:p w14:paraId="52472F2C" w14:textId="77777777" w:rsidR="00901A3B" w:rsidRDefault="00901A3B" w:rsidP="00B96719">
      <w:pPr>
        <w:spacing w:line="360" w:lineRule="auto"/>
        <w:jc w:val="both"/>
        <w:rPr>
          <w:rFonts w:ascii="Arial" w:hAnsi="Arial" w:cs="Arial"/>
        </w:rPr>
      </w:pPr>
    </w:p>
    <w:p w14:paraId="0FE97FF5" w14:textId="77777777" w:rsidR="00901A3B" w:rsidRDefault="00901A3B" w:rsidP="00B96719">
      <w:pPr>
        <w:spacing w:line="360" w:lineRule="auto"/>
        <w:jc w:val="both"/>
        <w:rPr>
          <w:rFonts w:ascii="Arial" w:hAnsi="Arial" w:cs="Arial"/>
        </w:rPr>
      </w:pPr>
      <w:r w:rsidRPr="00901A3B">
        <w:rPr>
          <w:rFonts w:ascii="Arial" w:hAnsi="Arial" w:cs="Arial"/>
        </w:rPr>
        <w:t xml:space="preserve">Adams, J., Khan, H.T.A. and Raeside, R. (2014) </w:t>
      </w:r>
      <w:r w:rsidRPr="00901A3B">
        <w:rPr>
          <w:rFonts w:ascii="Arial" w:hAnsi="Arial" w:cs="Arial"/>
          <w:i/>
          <w:iCs/>
        </w:rPr>
        <w:t>Research Methods for Business and Social Science Students</w:t>
      </w:r>
      <w:r w:rsidRPr="00901A3B">
        <w:rPr>
          <w:rFonts w:ascii="Arial" w:hAnsi="Arial" w:cs="Arial"/>
        </w:rPr>
        <w:t>. 2nd ed. Los Angeles: SAGE Publications.</w:t>
      </w:r>
    </w:p>
    <w:p w14:paraId="0BDE8CBC" w14:textId="77777777" w:rsidR="00B96719" w:rsidRDefault="00B96719" w:rsidP="00B96719">
      <w:pPr>
        <w:spacing w:line="360" w:lineRule="auto"/>
        <w:jc w:val="both"/>
        <w:rPr>
          <w:rFonts w:ascii="Arial" w:hAnsi="Arial" w:cs="Arial"/>
        </w:rPr>
      </w:pPr>
      <w:r w:rsidRPr="004A7BA9">
        <w:rPr>
          <w:rFonts w:ascii="Arial" w:hAnsi="Arial" w:cs="Arial"/>
        </w:rPr>
        <w:t xml:space="preserve">Bloom, N., Han, R. and Liang, J. (2024) ‘Hybrid working from home improves retention without damaging performance’, </w:t>
      </w:r>
      <w:r w:rsidRPr="004A7BA9">
        <w:rPr>
          <w:rFonts w:ascii="Arial" w:hAnsi="Arial" w:cs="Arial"/>
          <w:i/>
          <w:iCs/>
        </w:rPr>
        <w:t>Nature</w:t>
      </w:r>
      <w:r w:rsidRPr="004A7BA9">
        <w:rPr>
          <w:rFonts w:ascii="Arial" w:hAnsi="Arial" w:cs="Arial"/>
        </w:rPr>
        <w:t>, 630, pp. 920–925.</w:t>
      </w:r>
    </w:p>
    <w:p w14:paraId="73C9BAA5" w14:textId="77777777" w:rsidR="00901A3B" w:rsidRPr="004A7BA9" w:rsidRDefault="00901A3B" w:rsidP="00B96719">
      <w:pPr>
        <w:spacing w:line="360" w:lineRule="auto"/>
        <w:jc w:val="both"/>
        <w:rPr>
          <w:rFonts w:ascii="Arial" w:hAnsi="Arial" w:cs="Arial"/>
        </w:rPr>
      </w:pPr>
      <w:r w:rsidRPr="00901A3B">
        <w:rPr>
          <w:rFonts w:ascii="Arial" w:hAnsi="Arial" w:cs="Arial"/>
        </w:rPr>
        <w:t xml:space="preserve">Braun, V. and Clarke, V. (2006) ‘Using thematic analysis in psychology’, </w:t>
      </w:r>
      <w:r w:rsidRPr="00901A3B">
        <w:rPr>
          <w:rFonts w:ascii="Arial" w:hAnsi="Arial" w:cs="Arial"/>
          <w:i/>
          <w:iCs/>
        </w:rPr>
        <w:t>Qualitative Research in Psychology</w:t>
      </w:r>
      <w:r w:rsidRPr="00901A3B">
        <w:rPr>
          <w:rFonts w:ascii="Arial" w:hAnsi="Arial" w:cs="Arial"/>
        </w:rPr>
        <w:t xml:space="preserve">, 3(2), pp. 77–101. </w:t>
      </w:r>
      <w:proofErr w:type="spellStart"/>
      <w:r w:rsidRPr="00901A3B">
        <w:rPr>
          <w:rFonts w:ascii="Arial" w:hAnsi="Arial" w:cs="Arial"/>
        </w:rPr>
        <w:t>doi</w:t>
      </w:r>
      <w:proofErr w:type="spellEnd"/>
      <w:r w:rsidRPr="00901A3B">
        <w:rPr>
          <w:rFonts w:ascii="Arial" w:hAnsi="Arial" w:cs="Arial"/>
        </w:rPr>
        <w:t>: 10.1191/1478088706qp063oa.</w:t>
      </w:r>
    </w:p>
    <w:p w14:paraId="1D0A4E8B" w14:textId="77777777" w:rsidR="00B96719" w:rsidRPr="004A7BA9" w:rsidRDefault="00B96719" w:rsidP="00B96719">
      <w:pPr>
        <w:spacing w:line="360" w:lineRule="auto"/>
        <w:jc w:val="both"/>
        <w:rPr>
          <w:rFonts w:ascii="Arial" w:hAnsi="Arial" w:cs="Arial"/>
        </w:rPr>
      </w:pPr>
      <w:r w:rsidRPr="004A7BA9">
        <w:rPr>
          <w:rFonts w:ascii="Arial" w:hAnsi="Arial" w:cs="Arial"/>
        </w:rPr>
        <w:t xml:space="preserve">Daft, R.L. and Lengel, R.H. (1986) ‘Organizational information requirements, media richness and structural design’, </w:t>
      </w:r>
      <w:r w:rsidRPr="004A7BA9">
        <w:rPr>
          <w:rFonts w:ascii="Arial" w:hAnsi="Arial" w:cs="Arial"/>
          <w:i/>
          <w:iCs/>
        </w:rPr>
        <w:t>Management Science</w:t>
      </w:r>
      <w:r w:rsidRPr="004A7BA9">
        <w:rPr>
          <w:rFonts w:ascii="Arial" w:hAnsi="Arial" w:cs="Arial"/>
        </w:rPr>
        <w:t>, 32(5), pp. 554–571.</w:t>
      </w:r>
    </w:p>
    <w:p w14:paraId="2F73F50D" w14:textId="77777777" w:rsidR="00B96719" w:rsidRPr="004A7BA9" w:rsidRDefault="00B96719" w:rsidP="00B96719">
      <w:pPr>
        <w:spacing w:line="360" w:lineRule="auto"/>
        <w:jc w:val="both"/>
        <w:rPr>
          <w:rFonts w:ascii="Arial" w:hAnsi="Arial" w:cs="Arial"/>
        </w:rPr>
      </w:pPr>
      <w:r w:rsidRPr="004A7BA9">
        <w:rPr>
          <w:rFonts w:ascii="Arial" w:hAnsi="Arial" w:cs="Arial"/>
        </w:rPr>
        <w:t xml:space="preserve">Davis, F.D. (1989) ‘Perceived usefulness, perceived ease of use, and user acceptance of information technology’, </w:t>
      </w:r>
      <w:r w:rsidRPr="004A7BA9">
        <w:rPr>
          <w:rFonts w:ascii="Arial" w:hAnsi="Arial" w:cs="Arial"/>
          <w:i/>
          <w:iCs/>
        </w:rPr>
        <w:t>MIS Quarterly</w:t>
      </w:r>
      <w:r w:rsidRPr="004A7BA9">
        <w:rPr>
          <w:rFonts w:ascii="Arial" w:hAnsi="Arial" w:cs="Arial"/>
        </w:rPr>
        <w:t>, 13(3), pp. 319–340.</w:t>
      </w:r>
    </w:p>
    <w:p w14:paraId="0E8CC34D" w14:textId="77777777" w:rsidR="00B96719" w:rsidRDefault="00B96719" w:rsidP="00B96719">
      <w:pPr>
        <w:spacing w:line="360" w:lineRule="auto"/>
        <w:jc w:val="both"/>
        <w:rPr>
          <w:rFonts w:ascii="Arial" w:hAnsi="Arial" w:cs="Arial"/>
        </w:rPr>
      </w:pPr>
      <w:r w:rsidRPr="004A7BA9">
        <w:rPr>
          <w:rFonts w:ascii="Arial" w:hAnsi="Arial" w:cs="Arial"/>
        </w:rPr>
        <w:t xml:space="preserve">Neumayr, T., </w:t>
      </w:r>
      <w:proofErr w:type="spellStart"/>
      <w:r w:rsidRPr="004A7BA9">
        <w:rPr>
          <w:rFonts w:ascii="Arial" w:hAnsi="Arial" w:cs="Arial"/>
        </w:rPr>
        <w:t>Saatçi</w:t>
      </w:r>
      <w:proofErr w:type="spellEnd"/>
      <w:r w:rsidRPr="004A7BA9">
        <w:rPr>
          <w:rFonts w:ascii="Arial" w:hAnsi="Arial" w:cs="Arial"/>
        </w:rPr>
        <w:t xml:space="preserve">, B., Rintel, S., Klokmose, C.N. and Augstein, M. (2022) ‘What was hybrid? A systematic review of hybrid collaboration and meetings research’, </w:t>
      </w:r>
      <w:r w:rsidRPr="004A7BA9">
        <w:rPr>
          <w:rFonts w:ascii="Arial" w:hAnsi="Arial" w:cs="Arial"/>
          <w:i/>
          <w:iCs/>
        </w:rPr>
        <w:t>Proceedings of the ACM on Human-Computer Interaction</w:t>
      </w:r>
      <w:r w:rsidRPr="004A7BA9">
        <w:rPr>
          <w:rFonts w:ascii="Arial" w:hAnsi="Arial" w:cs="Arial"/>
        </w:rPr>
        <w:t>, 6(CSCW2), pp. 1–37.</w:t>
      </w:r>
    </w:p>
    <w:p w14:paraId="492D10B4" w14:textId="77777777" w:rsidR="00901A3B" w:rsidRPr="004A7BA9" w:rsidRDefault="00901A3B" w:rsidP="00B96719">
      <w:pPr>
        <w:spacing w:line="360" w:lineRule="auto"/>
        <w:jc w:val="both"/>
        <w:rPr>
          <w:rFonts w:ascii="Arial" w:hAnsi="Arial" w:cs="Arial"/>
        </w:rPr>
      </w:pPr>
      <w:r w:rsidRPr="00901A3B">
        <w:rPr>
          <w:rFonts w:ascii="Arial" w:hAnsi="Arial" w:cs="Arial"/>
        </w:rPr>
        <w:t xml:space="preserve">Saunders, M.N.K., Lewis, P. and Thornhill, A. (2019) </w:t>
      </w:r>
      <w:r w:rsidRPr="00901A3B">
        <w:rPr>
          <w:rFonts w:ascii="Arial" w:hAnsi="Arial" w:cs="Arial"/>
          <w:i/>
          <w:iCs/>
        </w:rPr>
        <w:t>Research Methods for Business Students</w:t>
      </w:r>
      <w:r w:rsidRPr="00901A3B">
        <w:rPr>
          <w:rFonts w:ascii="Arial" w:hAnsi="Arial" w:cs="Arial"/>
        </w:rPr>
        <w:t>. 8th ed. Harlow: Pearson.</w:t>
      </w:r>
    </w:p>
    <w:p w14:paraId="60E697EA" w14:textId="77777777" w:rsidR="00B96719" w:rsidRPr="004A7BA9" w:rsidRDefault="00B96719" w:rsidP="00B96719">
      <w:pPr>
        <w:spacing w:line="360" w:lineRule="auto"/>
        <w:jc w:val="both"/>
        <w:rPr>
          <w:rFonts w:ascii="Arial" w:hAnsi="Arial" w:cs="Arial"/>
        </w:rPr>
      </w:pPr>
      <w:proofErr w:type="spellStart"/>
      <w:r w:rsidRPr="004A7BA9">
        <w:rPr>
          <w:rFonts w:ascii="Arial" w:hAnsi="Arial" w:cs="Arial"/>
        </w:rPr>
        <w:t>Saatçi</w:t>
      </w:r>
      <w:proofErr w:type="spellEnd"/>
      <w:r w:rsidRPr="004A7BA9">
        <w:rPr>
          <w:rFonts w:ascii="Arial" w:hAnsi="Arial" w:cs="Arial"/>
        </w:rPr>
        <w:t xml:space="preserve">, B., Akyüz, K., Rintel, S. and Klokmose, C.N. (2020) ‘(Re)configuring hybrid meetings: moving from user-centred design to meeting-centred design’, </w:t>
      </w:r>
      <w:r w:rsidRPr="004A7BA9">
        <w:rPr>
          <w:rFonts w:ascii="Arial" w:hAnsi="Arial" w:cs="Arial"/>
          <w:i/>
          <w:iCs/>
        </w:rPr>
        <w:t>Computer Supported Cooperative Work</w:t>
      </w:r>
      <w:r w:rsidRPr="004A7BA9">
        <w:rPr>
          <w:rFonts w:ascii="Arial" w:hAnsi="Arial" w:cs="Arial"/>
        </w:rPr>
        <w:t>, 29(6), pp. 769–794.</w:t>
      </w:r>
    </w:p>
    <w:p w14:paraId="095ED3A3" w14:textId="77777777" w:rsidR="00B96719" w:rsidRPr="004A7BA9" w:rsidRDefault="00B96719" w:rsidP="00B96719">
      <w:pPr>
        <w:spacing w:line="360" w:lineRule="auto"/>
        <w:jc w:val="both"/>
        <w:rPr>
          <w:rFonts w:ascii="Arial" w:hAnsi="Arial" w:cs="Arial"/>
        </w:rPr>
      </w:pPr>
      <w:r w:rsidRPr="004A7BA9">
        <w:rPr>
          <w:rFonts w:ascii="Arial" w:hAnsi="Arial" w:cs="Arial"/>
        </w:rPr>
        <w:t xml:space="preserve">Yang, L. et al. (2022) ‘The effects of remote work on collaboration among information workers’, </w:t>
      </w:r>
      <w:r w:rsidRPr="004A7BA9">
        <w:rPr>
          <w:rFonts w:ascii="Arial" w:hAnsi="Arial" w:cs="Arial"/>
          <w:i/>
          <w:iCs/>
        </w:rPr>
        <w:t>Nature Human Behaviour</w:t>
      </w:r>
      <w:r w:rsidRPr="004A7BA9">
        <w:rPr>
          <w:rFonts w:ascii="Arial" w:hAnsi="Arial" w:cs="Arial"/>
        </w:rPr>
        <w:t>, 6, pp. 43–54.</w:t>
      </w:r>
    </w:p>
    <w:p w14:paraId="15E9CFB6" w14:textId="77777777" w:rsidR="00B96719" w:rsidRPr="00B96719" w:rsidRDefault="00B96719" w:rsidP="00B96719">
      <w:pPr>
        <w:spacing w:after="0" w:line="240" w:lineRule="auto"/>
        <w:rPr>
          <w:rFonts w:ascii="Calibri" w:hAnsi="Calibri" w:cs="Calibri"/>
          <w:b/>
          <w:bCs/>
          <w:color w:val="000000" w:themeColor="text1"/>
        </w:rPr>
      </w:pPr>
    </w:p>
    <w:sectPr w:rsidR="00B96719" w:rsidRPr="00B967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777E4"/>
    <w:multiLevelType w:val="multilevel"/>
    <w:tmpl w:val="5DFC03C8"/>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C54126"/>
    <w:multiLevelType w:val="multilevel"/>
    <w:tmpl w:val="00D42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5624F1"/>
    <w:multiLevelType w:val="hybridMultilevel"/>
    <w:tmpl w:val="CC6CFC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2205136">
    <w:abstractNumId w:val="2"/>
  </w:num>
  <w:num w:numId="2" w16cid:durableId="1002123628">
    <w:abstractNumId w:val="0"/>
  </w:num>
  <w:num w:numId="3" w16cid:durableId="12971050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020"/>
    <w:rsid w:val="002070B4"/>
    <w:rsid w:val="00236442"/>
    <w:rsid w:val="002B4F29"/>
    <w:rsid w:val="002D5860"/>
    <w:rsid w:val="003708AA"/>
    <w:rsid w:val="00385594"/>
    <w:rsid w:val="003F40DB"/>
    <w:rsid w:val="004278A6"/>
    <w:rsid w:val="00442ED3"/>
    <w:rsid w:val="004C1194"/>
    <w:rsid w:val="005E2C55"/>
    <w:rsid w:val="00624E48"/>
    <w:rsid w:val="006802E6"/>
    <w:rsid w:val="00735308"/>
    <w:rsid w:val="00816842"/>
    <w:rsid w:val="00843B61"/>
    <w:rsid w:val="00901A3B"/>
    <w:rsid w:val="00A22227"/>
    <w:rsid w:val="00A36EE1"/>
    <w:rsid w:val="00A96D10"/>
    <w:rsid w:val="00AA6C14"/>
    <w:rsid w:val="00B96719"/>
    <w:rsid w:val="00BB0903"/>
    <w:rsid w:val="00BD6C4F"/>
    <w:rsid w:val="00BF551C"/>
    <w:rsid w:val="00C006B0"/>
    <w:rsid w:val="00C5204A"/>
    <w:rsid w:val="00D02C93"/>
    <w:rsid w:val="00D93020"/>
    <w:rsid w:val="00DA01DE"/>
    <w:rsid w:val="00F80B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291AF"/>
  <w15:chartTrackingRefBased/>
  <w15:docId w15:val="{CA648D39-B2CB-4961-8D2C-BB6ECB894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0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30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30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30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30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30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30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30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30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0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30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30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30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30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30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30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30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3020"/>
    <w:rPr>
      <w:rFonts w:eastAsiaTheme="majorEastAsia" w:cstheme="majorBidi"/>
      <w:color w:val="272727" w:themeColor="text1" w:themeTint="D8"/>
    </w:rPr>
  </w:style>
  <w:style w:type="paragraph" w:styleId="Title">
    <w:name w:val="Title"/>
    <w:basedOn w:val="Normal"/>
    <w:next w:val="Normal"/>
    <w:link w:val="TitleChar"/>
    <w:uiPriority w:val="10"/>
    <w:qFormat/>
    <w:rsid w:val="00D930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30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30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30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3020"/>
    <w:pPr>
      <w:spacing w:before="160"/>
      <w:jc w:val="center"/>
    </w:pPr>
    <w:rPr>
      <w:i/>
      <w:iCs/>
      <w:color w:val="404040" w:themeColor="text1" w:themeTint="BF"/>
    </w:rPr>
  </w:style>
  <w:style w:type="character" w:customStyle="1" w:styleId="QuoteChar">
    <w:name w:val="Quote Char"/>
    <w:basedOn w:val="DefaultParagraphFont"/>
    <w:link w:val="Quote"/>
    <w:uiPriority w:val="29"/>
    <w:rsid w:val="00D93020"/>
    <w:rPr>
      <w:i/>
      <w:iCs/>
      <w:color w:val="404040" w:themeColor="text1" w:themeTint="BF"/>
    </w:rPr>
  </w:style>
  <w:style w:type="paragraph" w:styleId="ListParagraph">
    <w:name w:val="List Paragraph"/>
    <w:basedOn w:val="Normal"/>
    <w:uiPriority w:val="34"/>
    <w:qFormat/>
    <w:rsid w:val="00D93020"/>
    <w:pPr>
      <w:ind w:left="720"/>
      <w:contextualSpacing/>
    </w:pPr>
  </w:style>
  <w:style w:type="character" w:styleId="IntenseEmphasis">
    <w:name w:val="Intense Emphasis"/>
    <w:basedOn w:val="DefaultParagraphFont"/>
    <w:uiPriority w:val="21"/>
    <w:qFormat/>
    <w:rsid w:val="00D93020"/>
    <w:rPr>
      <w:i/>
      <w:iCs/>
      <w:color w:val="0F4761" w:themeColor="accent1" w:themeShade="BF"/>
    </w:rPr>
  </w:style>
  <w:style w:type="paragraph" w:styleId="IntenseQuote">
    <w:name w:val="Intense Quote"/>
    <w:basedOn w:val="Normal"/>
    <w:next w:val="Normal"/>
    <w:link w:val="IntenseQuoteChar"/>
    <w:uiPriority w:val="30"/>
    <w:qFormat/>
    <w:rsid w:val="00D930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3020"/>
    <w:rPr>
      <w:i/>
      <w:iCs/>
      <w:color w:val="0F4761" w:themeColor="accent1" w:themeShade="BF"/>
    </w:rPr>
  </w:style>
  <w:style w:type="character" w:styleId="IntenseReference">
    <w:name w:val="Intense Reference"/>
    <w:basedOn w:val="DefaultParagraphFont"/>
    <w:uiPriority w:val="32"/>
    <w:qFormat/>
    <w:rsid w:val="00D9302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1531</Words>
  <Characters>8728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Sorin Dascalu</cp:lastModifiedBy>
  <cp:revision>3</cp:revision>
  <dcterms:created xsi:type="dcterms:W3CDTF">2026-08-14T14:05:00Z</dcterms:created>
  <dcterms:modified xsi:type="dcterms:W3CDTF">2026-08-18T19:19:00Z</dcterms:modified>
</cp:coreProperties>
</file>