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06753605"/>
        <w:docPartObj>
          <w:docPartGallery w:val="Cover Pages"/>
          <w:docPartUnique/>
        </w:docPartObj>
      </w:sdtPr>
      <w:sdtContent>
        <w:p w14:paraId="68401D1F" w14:textId="2CD086B7" w:rsidR="00A7757E" w:rsidRPr="00A7757E" w:rsidRDefault="00A7757E" w:rsidP="00A7757E">
          <w:pPr>
            <w:jc w:val="center"/>
            <w:rPr>
              <w:sz w:val="32"/>
              <w:szCs w:val="36"/>
            </w:rPr>
          </w:pPr>
          <w:r w:rsidRPr="00A7757E">
            <w:rPr>
              <w:sz w:val="32"/>
              <w:szCs w:val="36"/>
            </w:rPr>
            <w:t>Module Code and Title:</w:t>
          </w:r>
        </w:p>
        <w:p w14:paraId="622969AD" w14:textId="7F2A0BD9" w:rsidR="00A7757E" w:rsidRPr="00A7757E" w:rsidRDefault="00A7757E" w:rsidP="00A7757E">
          <w:pPr>
            <w:jc w:val="center"/>
            <w:rPr>
              <w:sz w:val="32"/>
              <w:szCs w:val="36"/>
            </w:rPr>
          </w:pPr>
          <w:r w:rsidRPr="00A7757E">
            <w:rPr>
              <w:sz w:val="32"/>
              <w:szCs w:val="36"/>
            </w:rPr>
            <w:t xml:space="preserve">BMSE4009D Social Enterprise: Theory and </w:t>
          </w:r>
          <w:proofErr w:type="spellStart"/>
          <w:r w:rsidRPr="00A7757E">
            <w:rPr>
              <w:sz w:val="32"/>
              <w:szCs w:val="36"/>
            </w:rPr>
            <w:t>Practise</w:t>
          </w:r>
          <w:proofErr w:type="spellEnd"/>
        </w:p>
        <w:p w14:paraId="53128378" w14:textId="5C982FAC" w:rsidR="00A7757E" w:rsidRPr="00A7757E" w:rsidRDefault="00A7757E" w:rsidP="00BD0CF0">
          <w:pPr>
            <w:jc w:val="center"/>
            <w:rPr>
              <w:sz w:val="32"/>
              <w:szCs w:val="36"/>
            </w:rPr>
          </w:pPr>
          <w:r w:rsidRPr="00A7757E">
            <w:rPr>
              <w:sz w:val="32"/>
              <w:szCs w:val="36"/>
            </w:rPr>
            <w:t>Assessment One</w:t>
          </w:r>
          <w:r w:rsidR="00BD0CF0" w:rsidRPr="00BD0CF0">
            <w:rPr>
              <w:sz w:val="32"/>
              <w:szCs w:val="36"/>
            </w:rPr>
            <w:t xml:space="preserve"> </w:t>
          </w:r>
          <w:r w:rsidR="00BD0CF0" w:rsidRPr="00A7757E">
            <w:rPr>
              <w:sz w:val="32"/>
              <w:szCs w:val="36"/>
            </w:rPr>
            <w:t>Essay</w:t>
          </w:r>
        </w:p>
        <w:p w14:paraId="375C5596" w14:textId="5CBB6CDA" w:rsidR="00140495" w:rsidRPr="00BD0CF0" w:rsidRDefault="00BD0CF0" w:rsidP="00BD0CF0">
          <w:pPr>
            <w:jc w:val="center"/>
            <w:rPr>
              <w:sz w:val="32"/>
              <w:szCs w:val="36"/>
            </w:rPr>
          </w:pPr>
          <w:r w:rsidRPr="00BD0CF0">
            <w:rPr>
              <w:sz w:val="32"/>
              <w:szCs w:val="36"/>
            </w:rPr>
            <w:t>BMSE 4009 DENISA ALEXANDRA PARIS</w:t>
          </w:r>
        </w:p>
        <w:p w14:paraId="480BEF13" w14:textId="17BD7488" w:rsidR="00140495" w:rsidRPr="00A7757E" w:rsidRDefault="00140495" w:rsidP="00A7757E">
          <w:pPr>
            <w:jc w:val="center"/>
            <w:rPr>
              <w:sz w:val="32"/>
              <w:szCs w:val="36"/>
            </w:rPr>
          </w:pPr>
          <w:r w:rsidRPr="00140495">
            <w:rPr>
              <w:sz w:val="32"/>
              <w:szCs w:val="36"/>
            </w:rPr>
            <w:t>Exploring Opportunities and Challenges Facing Social Enterprises in the Modern UK Economy</w:t>
          </w:r>
        </w:p>
        <w:p w14:paraId="0A34567B" w14:textId="495C0922" w:rsidR="00A7757E" w:rsidRDefault="00A7757E">
          <w:pPr>
            <w:rPr>
              <w:rFonts w:eastAsiaTheme="majorEastAsia" w:cs="Times New Roman"/>
              <w:b/>
              <w:bCs/>
              <w:color w:val="2F5496" w:themeColor="accent1" w:themeShade="BF"/>
              <w:sz w:val="32"/>
              <w:szCs w:val="44"/>
            </w:rPr>
          </w:pPr>
          <w:r>
            <w:br w:type="page"/>
          </w:r>
        </w:p>
      </w:sdtContent>
    </w:sdt>
    <w:p w14:paraId="0C3B398F" w14:textId="277D3A5A" w:rsidR="00A7757E" w:rsidRPr="00A7757E" w:rsidRDefault="00A7757E" w:rsidP="00A7757E">
      <w:pPr>
        <w:pStyle w:val="Heading1"/>
      </w:pPr>
      <w:r w:rsidRPr="00A7757E">
        <w:lastRenderedPageBreak/>
        <w:t xml:space="preserve">Introduction </w:t>
      </w:r>
    </w:p>
    <w:p w14:paraId="571BD60D" w14:textId="58A0DE87" w:rsidR="00A7757E" w:rsidRDefault="00A7757E" w:rsidP="00A7757E">
      <w:r w:rsidRPr="00A7757E">
        <w:t xml:space="preserve">A social enterprise refers to a business </w:t>
      </w:r>
      <w:proofErr w:type="spellStart"/>
      <w:r w:rsidRPr="00A7757E">
        <w:t>organi</w:t>
      </w:r>
      <w:r w:rsidR="001B4669">
        <w:t>s</w:t>
      </w:r>
      <w:r w:rsidRPr="00A7757E">
        <w:t>ation</w:t>
      </w:r>
      <w:proofErr w:type="spellEnd"/>
      <w:r w:rsidRPr="00A7757E">
        <w:t xml:space="preserve">, which strives to achieve social or environmental </w:t>
      </w:r>
      <w:proofErr w:type="gramStart"/>
      <w:r w:rsidRPr="00A7757E">
        <w:t>good</w:t>
      </w:r>
      <w:proofErr w:type="gramEnd"/>
      <w:r w:rsidRPr="00A7757E">
        <w:t xml:space="preserve"> along with generating </w:t>
      </w:r>
      <w:proofErr w:type="gramStart"/>
      <w:r w:rsidRPr="00A7757E">
        <w:t>a profit</w:t>
      </w:r>
      <w:proofErr w:type="gramEnd"/>
      <w:r w:rsidRPr="00A7757E">
        <w:t xml:space="preserve"> through trade. It is </w:t>
      </w:r>
      <w:proofErr w:type="gramStart"/>
      <w:r w:rsidRPr="00A7757E">
        <w:t>placed</w:t>
      </w:r>
      <w:proofErr w:type="gramEnd"/>
      <w:r w:rsidRPr="00A7757E">
        <w:t xml:space="preserve"> between the charity and the business model as it incorporates a social mission with </w:t>
      </w:r>
      <w:proofErr w:type="gramStart"/>
      <w:r w:rsidRPr="00A7757E">
        <w:t>the commercial</w:t>
      </w:r>
      <w:proofErr w:type="gramEnd"/>
      <w:r w:rsidRPr="00A7757E">
        <w:t xml:space="preserve"> activity. Social enterprises have increasingly been the economy of the United Kingdom as it assists in solving various problems like the poverty problem, unemployment, homelessness, and environmental problems. They promote the local regeneration and offer employment to the lower classes as well as promote sustainability. UK </w:t>
      </w:r>
      <w:proofErr w:type="gramStart"/>
      <w:r w:rsidRPr="00A7757E">
        <w:t>is considered to be</w:t>
      </w:r>
      <w:proofErr w:type="gramEnd"/>
      <w:r w:rsidRPr="00A7757E">
        <w:t xml:space="preserve"> </w:t>
      </w:r>
      <w:proofErr w:type="gramStart"/>
      <w:r w:rsidRPr="00A7757E">
        <w:t>on</w:t>
      </w:r>
      <w:proofErr w:type="gramEnd"/>
      <w:r w:rsidRPr="00A7757E">
        <w:t xml:space="preserve"> the forefront of the intense in this area and the government policies coupled with the community support made the </w:t>
      </w:r>
      <w:proofErr w:type="gramStart"/>
      <w:r w:rsidRPr="00A7757E">
        <w:t>sector to</w:t>
      </w:r>
      <w:proofErr w:type="gramEnd"/>
      <w:r w:rsidRPr="00A7757E">
        <w:t xml:space="preserve"> prosper. This essay discusses the major opportunities and threats of social enterprises in UK using a SWOT analysis framework. Each part is an explanation of one of the four components of the SWOT strengths, weaknesses, opportunities and threats and builds on both the academic theory and provided examples like The Big Issue, Divine Chocolate and Belu Water.</w:t>
      </w:r>
    </w:p>
    <w:p w14:paraId="5C8820A1" w14:textId="77777777" w:rsidR="006453AC" w:rsidRDefault="006453AC" w:rsidP="006453AC">
      <w:pPr>
        <w:keepNext/>
        <w:jc w:val="center"/>
      </w:pPr>
      <w:r>
        <w:fldChar w:fldCharType="begin"/>
      </w:r>
      <w:r>
        <w:instrText xml:space="preserve"> INCLUDEPICTURE "https://ied.eu/wp-content/uploads/2019/07/social-enterprises.jpg" \* MERGEFORMATINET </w:instrText>
      </w:r>
      <w:r>
        <w:fldChar w:fldCharType="separate"/>
      </w:r>
      <w:r>
        <w:rPr>
          <w:noProof/>
        </w:rPr>
        <w:drawing>
          <wp:inline distT="0" distB="0" distL="0" distR="0" wp14:anchorId="4B1EDE22" wp14:editId="5027EE60">
            <wp:extent cx="5731510" cy="3639820"/>
            <wp:effectExtent l="0" t="0" r="0" b="5080"/>
            <wp:docPr id="1807798966" name="Picture 1" descr="Project Updates | Tips for opening a Social enterprise | I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ject Updates | Tips for opening a Social enterprise | I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639820"/>
                    </a:xfrm>
                    <a:prstGeom prst="rect">
                      <a:avLst/>
                    </a:prstGeom>
                    <a:noFill/>
                    <a:ln>
                      <a:noFill/>
                    </a:ln>
                  </pic:spPr>
                </pic:pic>
              </a:graphicData>
            </a:graphic>
          </wp:inline>
        </w:drawing>
      </w:r>
      <w:r>
        <w:fldChar w:fldCharType="end"/>
      </w:r>
    </w:p>
    <w:p w14:paraId="1A80F7D7" w14:textId="4C61A054" w:rsidR="006453AC" w:rsidRPr="00A7757E" w:rsidRDefault="006453AC" w:rsidP="006453AC">
      <w:pPr>
        <w:pStyle w:val="Caption"/>
        <w:jc w:val="center"/>
      </w:pPr>
      <w:r>
        <w:t xml:space="preserve">Figure </w:t>
      </w:r>
      <w:fldSimple w:instr=" SEQ Figure \* ARABIC ">
        <w:r w:rsidR="002B227F">
          <w:rPr>
            <w:noProof/>
          </w:rPr>
          <w:t>1</w:t>
        </w:r>
      </w:fldSimple>
      <w:r>
        <w:t>: Social Enterprises (Santos, Pache, and Birkholz, 2015)</w:t>
      </w:r>
    </w:p>
    <w:p w14:paraId="61EF85EA" w14:textId="77777777" w:rsidR="00A7757E" w:rsidRPr="00A7757E" w:rsidRDefault="00A7757E" w:rsidP="00A7757E"/>
    <w:p w14:paraId="06A082D4" w14:textId="77777777" w:rsidR="00A7757E" w:rsidRDefault="00A7757E">
      <w:r>
        <w:br w:type="page"/>
      </w:r>
    </w:p>
    <w:p w14:paraId="109702B8" w14:textId="360C0820" w:rsidR="00A7757E" w:rsidRPr="00A7757E" w:rsidRDefault="00A7757E" w:rsidP="00A7757E">
      <w:pPr>
        <w:pStyle w:val="Heading1"/>
      </w:pPr>
      <w:r>
        <w:lastRenderedPageBreak/>
        <w:t>Strengths of Social Enterprises</w:t>
      </w:r>
    </w:p>
    <w:p w14:paraId="20516CE9" w14:textId="77777777" w:rsidR="002B227F" w:rsidRDefault="00A7757E" w:rsidP="00A7757E">
      <w:r w:rsidRPr="00A7757E">
        <w:t xml:space="preserve">One of the greatest advantages of social enterprises is their dual mission that is the synthesis of social purpose and financial sustainability. Social enterprises are an income-generating business, as opposed to charities, which depend on donations, but social needs are taken care of (Santos, Pache and Birkholz, 2015). By means of this hybrid model, they </w:t>
      </w:r>
      <w:proofErr w:type="gramStart"/>
      <w:r w:rsidRPr="00A7757E">
        <w:t>are able to</w:t>
      </w:r>
      <w:proofErr w:type="gramEnd"/>
      <w:r w:rsidRPr="00A7757E">
        <w:t xml:space="preserve"> gain autonomy and strength. As an example, The Big Issue Group helps homeless people sell magazines and receive a stable income. Not only does this make such people financially stable but it also gives them a feeling of self-confidence and independence. High trust levels of </w:t>
      </w:r>
      <w:proofErr w:type="gramStart"/>
      <w:r w:rsidRPr="00A7757E">
        <w:t>the society</w:t>
      </w:r>
      <w:proofErr w:type="gramEnd"/>
      <w:r w:rsidRPr="00A7757E">
        <w:t xml:space="preserve"> also favor social enterprises. They are perceived to be more ethical than </w:t>
      </w:r>
      <w:proofErr w:type="gramStart"/>
      <w:r w:rsidRPr="00A7757E">
        <w:t>profit oriented</w:t>
      </w:r>
      <w:proofErr w:type="gramEnd"/>
      <w:r w:rsidRPr="00A7757E">
        <w:t xml:space="preserve"> corporations because they are transparent and aim at benefiting communities (</w:t>
      </w:r>
      <w:proofErr w:type="spellStart"/>
      <w:r w:rsidRPr="00A7757E">
        <w:t>Defourny</w:t>
      </w:r>
      <w:proofErr w:type="spellEnd"/>
      <w:r w:rsidRPr="00A7757E">
        <w:t xml:space="preserve"> and Nyssens, 2017). This confidence results in good loyalty among customers, and interaction with the community. One of such strengths </w:t>
      </w:r>
      <w:proofErr w:type="gramStart"/>
      <w:r w:rsidRPr="00A7757E">
        <w:t>is in</w:t>
      </w:r>
      <w:proofErr w:type="gramEnd"/>
      <w:r w:rsidRPr="00A7757E">
        <w:t xml:space="preserve"> Divine Chocolate. Ghana cocoa farmers own 44 percent of the </w:t>
      </w:r>
      <w:proofErr w:type="gramStart"/>
      <w:r w:rsidRPr="00A7757E">
        <w:t>company</w:t>
      </w:r>
      <w:proofErr w:type="gramEnd"/>
      <w:r w:rsidRPr="00A7757E">
        <w:t xml:space="preserve"> and this allows the producers to receive a good portion of their profits and this makes customers perceive that they are making an ethical purchase. </w:t>
      </w:r>
    </w:p>
    <w:p w14:paraId="1FBEB073" w14:textId="77777777" w:rsidR="002B227F" w:rsidRDefault="002B227F" w:rsidP="002B227F">
      <w:pPr>
        <w:keepNext/>
        <w:jc w:val="center"/>
      </w:pPr>
      <w:r>
        <w:lastRenderedPageBreak/>
        <w:fldChar w:fldCharType="begin"/>
      </w:r>
      <w:r>
        <w:instrText xml:space="preserve"> INCLUDEPICTURE "https://img.freepik.com/free-vector/hand-drawn-innovative-idea-illustrated_52683-76699.jpg?semt=ais_hybrid&amp;w=740&amp;q=80" \* MERGEFORMATINET </w:instrText>
      </w:r>
      <w:r>
        <w:fldChar w:fldCharType="separate"/>
      </w:r>
      <w:r>
        <w:rPr>
          <w:noProof/>
        </w:rPr>
        <w:drawing>
          <wp:inline distT="0" distB="0" distL="0" distR="0" wp14:anchorId="1E177EFA" wp14:editId="68153512">
            <wp:extent cx="5731510" cy="4772660"/>
            <wp:effectExtent l="0" t="0" r="0" b="2540"/>
            <wp:docPr id="1204740835" name="Picture 2" descr="Innovation Images - Free Download on Freepi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novation Images - Free Download on Freepi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772660"/>
                    </a:xfrm>
                    <a:prstGeom prst="rect">
                      <a:avLst/>
                    </a:prstGeom>
                    <a:noFill/>
                    <a:ln>
                      <a:noFill/>
                    </a:ln>
                  </pic:spPr>
                </pic:pic>
              </a:graphicData>
            </a:graphic>
          </wp:inline>
        </w:drawing>
      </w:r>
      <w:r>
        <w:fldChar w:fldCharType="end"/>
      </w:r>
    </w:p>
    <w:p w14:paraId="2058BEF6" w14:textId="32AE7F6E" w:rsidR="002B227F" w:rsidRDefault="002B227F" w:rsidP="002B227F">
      <w:pPr>
        <w:pStyle w:val="Caption"/>
        <w:jc w:val="center"/>
      </w:pPr>
      <w:r>
        <w:t xml:space="preserve">Figure </w:t>
      </w:r>
      <w:fldSimple w:instr=" SEQ Figure \* ARABIC ">
        <w:r>
          <w:rPr>
            <w:noProof/>
          </w:rPr>
          <w:t>2</w:t>
        </w:r>
      </w:fldSimple>
      <w:r>
        <w:t xml:space="preserve">: </w:t>
      </w:r>
      <w:proofErr w:type="spellStart"/>
      <w:r>
        <w:t>Organisational</w:t>
      </w:r>
      <w:proofErr w:type="spellEnd"/>
      <w:r>
        <w:t xml:space="preserve"> Innovation (Phillips et al., 2015)</w:t>
      </w:r>
    </w:p>
    <w:p w14:paraId="0C5003D8" w14:textId="6ECBED3A" w:rsidR="00A7757E" w:rsidRPr="00A7757E" w:rsidRDefault="00A7757E" w:rsidP="00A7757E">
      <w:r w:rsidRPr="00A7757E">
        <w:t xml:space="preserve">The other strength is their ability to be innovative and flexible. The social enterprises are also likely to be nearby communities and </w:t>
      </w:r>
      <w:proofErr w:type="gramStart"/>
      <w:r w:rsidRPr="00A7757E">
        <w:t>places</w:t>
      </w:r>
      <w:proofErr w:type="gramEnd"/>
      <w:r w:rsidRPr="00A7757E">
        <w:t xml:space="preserve"> they </w:t>
      </w:r>
      <w:proofErr w:type="gramStart"/>
      <w:r w:rsidRPr="00A7757E">
        <w:t>work</w:t>
      </w:r>
      <w:proofErr w:type="gramEnd"/>
      <w:r w:rsidRPr="00A7757E">
        <w:t xml:space="preserve"> and this enables them to develop fast and innovative solutions to societal issues (Phillips et al., 2015). The government of the UK has also contributed towards policy and funding structures towards the development of social enterprises. Programs like Big Society Capital and the Social Value Act 2012 encourage the development of social business through the further encouragement of public bodies to think about the wider social outputs involved when granting potential contracts. Social Enterprise UK (2023) claims that the industry boosts the economy by approximately 60 billion and more than two million people are employed by the sector. Comprehensively, social business in the UK is robust given the fact that it applies both profit mix and purposefulness, generates social trust, and is supported by the policy. These properties render them effective instruments of sustainable and inclusive economic development (Wry and York, 2017).</w:t>
      </w:r>
    </w:p>
    <w:p w14:paraId="74B03561" w14:textId="77777777" w:rsidR="00A7757E" w:rsidRPr="00A7757E" w:rsidRDefault="00A7757E" w:rsidP="00A7757E"/>
    <w:p w14:paraId="4A9606BB" w14:textId="0172A35F" w:rsidR="00A7757E" w:rsidRPr="00A7757E" w:rsidRDefault="00A7757E" w:rsidP="00A7757E">
      <w:pPr>
        <w:pStyle w:val="Heading1"/>
      </w:pPr>
      <w:r>
        <w:t>Weaknesses of Social Enterprises</w:t>
      </w:r>
    </w:p>
    <w:p w14:paraId="788D19FC" w14:textId="656C2A27" w:rsidR="00A7757E" w:rsidRPr="00A7757E" w:rsidRDefault="00A7757E" w:rsidP="00A7757E">
      <w:proofErr w:type="gramStart"/>
      <w:r w:rsidRPr="00A7757E">
        <w:t>In spite of</w:t>
      </w:r>
      <w:proofErr w:type="gramEnd"/>
      <w:r w:rsidRPr="00A7757E">
        <w:t xml:space="preserve"> their success, social enterprises equally have internal lapses that may make them restrain their successes. A challenge of accessing finance is one of the major ones. Most of them depend on short term grants or small investments, which is difficult to predict long term growth (Rawhouser, Cummings and Newbert, 2019). Conventional banks tend to perceive social enterprises to be risky customers since they do not want to </w:t>
      </w:r>
      <w:proofErr w:type="spellStart"/>
      <w:r w:rsidRPr="00A7757E">
        <w:t>maximise</w:t>
      </w:r>
      <w:proofErr w:type="spellEnd"/>
      <w:r w:rsidRPr="00A7757E">
        <w:t xml:space="preserve"> shareholder returns but reinvest profits back into the business. Indicatively, The Eden Project in Cornwall, which is among the most renowned environmental attraction sites in the UK, has not always coped with high maintenance and financial strains in as much as it is popular. The conflict between social and financial goals is also another weakness. It is not always an easy task to balance mission and market. Managers might need to </w:t>
      </w:r>
      <w:proofErr w:type="gramStart"/>
      <w:r w:rsidRPr="00A7757E">
        <w:t>make a decision</w:t>
      </w:r>
      <w:proofErr w:type="gramEnd"/>
      <w:r w:rsidRPr="00A7757E">
        <w:t xml:space="preserve"> between being ethical and surviving finances (Santos, Pache and Birkholz, 2015). A clear example of this can be observed in the collapse of Jamie Oliver restaurants chain that </w:t>
      </w:r>
      <w:proofErr w:type="gramStart"/>
      <w:r w:rsidRPr="00A7757E">
        <w:t>were</w:t>
      </w:r>
      <w:proofErr w:type="gramEnd"/>
      <w:r w:rsidRPr="00A7757E">
        <w:t xml:space="preserve"> already successfully functioning five years ago in 2019. Though it has been very effective in training disadvantaged youth in the culinary field, </w:t>
      </w:r>
      <w:proofErr w:type="gramStart"/>
      <w:r w:rsidRPr="00A7757E">
        <w:t>the end result</w:t>
      </w:r>
      <w:proofErr w:type="gramEnd"/>
      <w:r w:rsidRPr="00A7757E">
        <w:t xml:space="preserve"> of high costs and competition in the market enabled it to close thus demonstrating how challenging it can be to operate </w:t>
      </w:r>
      <w:proofErr w:type="gramStart"/>
      <w:r w:rsidRPr="00A7757E">
        <w:t>and also</w:t>
      </w:r>
      <w:proofErr w:type="gramEnd"/>
      <w:r w:rsidRPr="00A7757E">
        <w:t xml:space="preserve"> have a social impact. It is also difficult to measure the social impact. The financial outcomes are simple to monitor whereas social worth is more difficult to measure (Wry and York, 2017). In the absence of transparent impact data, it will be hard to attract investors or </w:t>
      </w:r>
      <w:proofErr w:type="gramStart"/>
      <w:r w:rsidRPr="00A7757E">
        <w:t>demonstrating</w:t>
      </w:r>
      <w:proofErr w:type="gramEnd"/>
      <w:r w:rsidRPr="00A7757E">
        <w:t xml:space="preserve"> success to stakeholders (Rawhouser, Cummings and Newbert, 2019). Finally, not all social enterprises are professional and experienced in business. Smaller </w:t>
      </w:r>
      <w:proofErr w:type="spellStart"/>
      <w:r w:rsidRPr="00A7757E">
        <w:t>organisations</w:t>
      </w:r>
      <w:proofErr w:type="spellEnd"/>
      <w:r w:rsidRPr="00A7757E">
        <w:t xml:space="preserve">, </w:t>
      </w:r>
      <w:proofErr w:type="gramStart"/>
      <w:r w:rsidRPr="00A7757E">
        <w:t>especially,</w:t>
      </w:r>
      <w:proofErr w:type="gramEnd"/>
      <w:r w:rsidRPr="00A7757E">
        <w:t xml:space="preserve"> require volunteers and might not possess managerial knowledge to expand (Gupta et al., 2020). </w:t>
      </w:r>
    </w:p>
    <w:p w14:paraId="582AC185" w14:textId="77777777" w:rsidR="00A7757E" w:rsidRPr="00A7757E" w:rsidRDefault="00A7757E" w:rsidP="00A7757E"/>
    <w:p w14:paraId="1F7D2164" w14:textId="011E32B1" w:rsidR="00A7757E" w:rsidRPr="00A7757E" w:rsidRDefault="00A7757E" w:rsidP="00A7757E">
      <w:pPr>
        <w:pStyle w:val="Heading1"/>
      </w:pPr>
      <w:r>
        <w:t>Opportunities for Social Enterprises</w:t>
      </w:r>
    </w:p>
    <w:p w14:paraId="1E76C263" w14:textId="2CAC34A3" w:rsidR="00A7757E" w:rsidRPr="00A7757E" w:rsidRDefault="00A7757E" w:rsidP="00A7757E">
      <w:r w:rsidRPr="00A7757E">
        <w:t xml:space="preserve">The social enterprises also have mounting chances of development and intensifying their influence in the UK. Ethical consumerism is one of the opportunities that has arisen. British customers are growing to </w:t>
      </w:r>
      <w:proofErr w:type="spellStart"/>
      <w:r w:rsidRPr="00A7757E">
        <w:t>favour</w:t>
      </w:r>
      <w:proofErr w:type="spellEnd"/>
      <w:r w:rsidRPr="00A7757E">
        <w:t xml:space="preserve"> any </w:t>
      </w:r>
      <w:proofErr w:type="spellStart"/>
      <w:r w:rsidRPr="00A7757E">
        <w:t>organisation</w:t>
      </w:r>
      <w:proofErr w:type="spellEnd"/>
      <w:r w:rsidRPr="00A7757E">
        <w:t xml:space="preserve"> that conserves the environment or upholds </w:t>
      </w:r>
      <w:r w:rsidRPr="00A7757E">
        <w:lastRenderedPageBreak/>
        <w:t>social justice (</w:t>
      </w:r>
      <w:proofErr w:type="spellStart"/>
      <w:r w:rsidRPr="00A7757E">
        <w:t>Calic</w:t>
      </w:r>
      <w:proofErr w:type="spellEnd"/>
      <w:r w:rsidRPr="00A7757E">
        <w:t xml:space="preserve"> and Mosakowski, 2016). This leaves room within which social enterprises can be able to establish loyalty to customers. Belu Water is a great example. The company gives its profits back to WaterAid to finance its initiatives on clean water projects in third world countries. The popular brand of its ethical brand has gained popularity amongst hotels, restaurants and consumers who are more concerned about sustainability. The other opportunity can be seen through government support. Public Services (Social Value) Act 2012 supports the idea in which the public sector </w:t>
      </w:r>
      <w:proofErr w:type="spellStart"/>
      <w:r w:rsidRPr="00A7757E">
        <w:t>organisations</w:t>
      </w:r>
      <w:proofErr w:type="spellEnd"/>
      <w:r w:rsidRPr="00A7757E">
        <w:t xml:space="preserve"> adopt the social and environmental value as a factor in procurement decisions. This enables social enterprises to secure more contracts and provide services to the people in an effective manner. Besides this, ethical finance has become more accessible, through Big Society Capital and the like, social investment funds. Emerging possibilities in </w:t>
      </w:r>
      <w:proofErr w:type="gramStart"/>
      <w:r w:rsidRPr="00A7757E">
        <w:t>the technological</w:t>
      </w:r>
      <w:proofErr w:type="gramEnd"/>
      <w:r w:rsidRPr="00A7757E">
        <w:t xml:space="preserve"> advancement are also available. Crowdfunding and online marketing and digital platforms have been used by social enterprises to raise funds and reach their supporters (</w:t>
      </w:r>
      <w:proofErr w:type="spellStart"/>
      <w:r w:rsidRPr="00A7757E">
        <w:t>Calic</w:t>
      </w:r>
      <w:proofErr w:type="spellEnd"/>
      <w:r w:rsidRPr="00A7757E">
        <w:t xml:space="preserve"> and Mosakowski, 2016). This is also enabled by technology that facilitates more effective communication and openness which can be used to instill trust and to target younger people. The other prospect would be collaborations with non-government companies (Ridley-Duff and Bull, 2019). Social enterprises have a variety of large corporations as their corporate social responsibility partners (Phillips et al., 2015). Social Bite in Scotland is an example, partnering with companies and government agencies to address the issues of homelessness by training and housing them. Lastly, new prospects of social enterprises to become leaders in constructing a more justifiable economy emerge due to the post-COVID recovery time and emphasis on environmental sustainability (</w:t>
      </w:r>
      <w:proofErr w:type="spellStart"/>
      <w:r w:rsidRPr="00A7757E">
        <w:t>Stirzaker</w:t>
      </w:r>
      <w:proofErr w:type="spellEnd"/>
      <w:r w:rsidRPr="00A7757E">
        <w:t xml:space="preserve"> et al., 2021). </w:t>
      </w:r>
    </w:p>
    <w:p w14:paraId="4D0C0743" w14:textId="77777777" w:rsidR="00A7757E" w:rsidRPr="00A7757E" w:rsidRDefault="00A7757E" w:rsidP="00A7757E"/>
    <w:p w14:paraId="7123C605" w14:textId="0CE7920C" w:rsidR="00A7757E" w:rsidRPr="00A7757E" w:rsidRDefault="00A7757E" w:rsidP="00A7757E">
      <w:pPr>
        <w:pStyle w:val="Heading1"/>
      </w:pPr>
      <w:r>
        <w:t xml:space="preserve">Threats to Social Enterprises </w:t>
      </w:r>
    </w:p>
    <w:p w14:paraId="04708F27" w14:textId="33144BC9" w:rsidR="00A7757E" w:rsidRPr="00A7757E" w:rsidRDefault="00A7757E" w:rsidP="00A7757E">
      <w:r w:rsidRPr="00A7757E">
        <w:t xml:space="preserve">Even </w:t>
      </w:r>
      <w:proofErr w:type="gramStart"/>
      <w:r w:rsidRPr="00A7757E">
        <w:t>though,</w:t>
      </w:r>
      <w:proofErr w:type="gramEnd"/>
      <w:r w:rsidRPr="00A7757E">
        <w:t xml:space="preserve"> the environment </w:t>
      </w:r>
      <w:proofErr w:type="gramStart"/>
      <w:r w:rsidRPr="00A7757E">
        <w:t>at</w:t>
      </w:r>
      <w:proofErr w:type="gramEnd"/>
      <w:r w:rsidRPr="00A7757E">
        <w:t xml:space="preserve"> the UK is largely conducive, there are </w:t>
      </w:r>
      <w:proofErr w:type="gramStart"/>
      <w:r w:rsidRPr="00A7757E">
        <w:t>a number of</w:t>
      </w:r>
      <w:proofErr w:type="gramEnd"/>
      <w:r w:rsidRPr="00A7757E">
        <w:t xml:space="preserve"> threats that may disrupt the development of </w:t>
      </w:r>
      <w:proofErr w:type="gramStart"/>
      <w:r w:rsidRPr="00A7757E">
        <w:t>the social</w:t>
      </w:r>
      <w:proofErr w:type="gramEnd"/>
      <w:r w:rsidRPr="00A7757E">
        <w:t xml:space="preserve"> enterprises. Competition by the private sector and charitable ones is one of the problematic aspects. With increased number of firms embracing the social responsibility objectives, the distinction between a social enterprise and a normal business has been blurred. This may create a mission drift effect as the social enterprises undergo the pressure to be more commercially oriented to stay in business (</w:t>
      </w:r>
      <w:proofErr w:type="spellStart"/>
      <w:r w:rsidRPr="00A7757E">
        <w:t>Saebi</w:t>
      </w:r>
      <w:proofErr w:type="spellEnd"/>
      <w:r w:rsidRPr="00A7757E">
        <w:t xml:space="preserve">, </w:t>
      </w:r>
      <w:r w:rsidRPr="00A7757E">
        <w:lastRenderedPageBreak/>
        <w:t xml:space="preserve">Foss and Linder, 2019). Another risk is </w:t>
      </w:r>
      <w:proofErr w:type="gramStart"/>
      <w:r w:rsidRPr="00A7757E">
        <w:t>the economic</w:t>
      </w:r>
      <w:proofErr w:type="gramEnd"/>
      <w:r w:rsidRPr="00A7757E">
        <w:t xml:space="preserve"> instability. The inflation and cost-of-living crisis have decreased </w:t>
      </w:r>
      <w:proofErr w:type="gramStart"/>
      <w:r w:rsidRPr="00A7757E">
        <w:t>the consumer</w:t>
      </w:r>
      <w:proofErr w:type="gramEnd"/>
      <w:r w:rsidRPr="00A7757E">
        <w:t xml:space="preserve"> spending and state sector budgets. In cases of government contracts, a significant number of social enterprises do not have the funds they need (Rey-Martí, Ribeiro-Soriano and Palacios-</w:t>
      </w:r>
      <w:proofErr w:type="spellStart"/>
      <w:r w:rsidRPr="00A7757E">
        <w:t>Marquès</w:t>
      </w:r>
      <w:proofErr w:type="spellEnd"/>
      <w:r w:rsidRPr="00A7757E">
        <w:t xml:space="preserve">, 2016). Cultural barriers and technological barriers are also present. The problem with a social enterprise is that many people are not aware of what it does, which hinders interaction with customers (Gupta et al., 2020). Meanwhile, smaller </w:t>
      </w:r>
      <w:proofErr w:type="spellStart"/>
      <w:r w:rsidRPr="00A7757E">
        <w:t>organisations</w:t>
      </w:r>
      <w:proofErr w:type="spellEnd"/>
      <w:r w:rsidRPr="00A7757E">
        <w:t xml:space="preserve"> do not always have digital resources at their disposal to compete online. An example that is relevant is The Co-operative Group and has been reported to have endured governance as well as financial challenges that have tarnished its image. This brings out the fact that even established social businesses are susceptible to outside influences. According to the institutional theory, political, cultural and market systems have a significant effect on the social enterprise (</w:t>
      </w:r>
      <w:proofErr w:type="spellStart"/>
      <w:r w:rsidRPr="00A7757E">
        <w:t>Saebi</w:t>
      </w:r>
      <w:proofErr w:type="spellEnd"/>
      <w:r w:rsidRPr="00A7757E">
        <w:t xml:space="preserve">, Foss and Linder, 2019). </w:t>
      </w:r>
    </w:p>
    <w:p w14:paraId="6D307CD8" w14:textId="77777777" w:rsidR="00A7757E" w:rsidRPr="00A7757E" w:rsidRDefault="00A7757E" w:rsidP="00A7757E"/>
    <w:p w14:paraId="51C1F2EF" w14:textId="77777777" w:rsidR="00A7757E" w:rsidRDefault="00A7757E">
      <w:r>
        <w:br w:type="page"/>
      </w:r>
    </w:p>
    <w:p w14:paraId="3DE8E00D" w14:textId="1D0B3376" w:rsidR="00A7757E" w:rsidRPr="00A7757E" w:rsidRDefault="00A7757E" w:rsidP="00A7757E">
      <w:pPr>
        <w:pStyle w:val="Heading1"/>
      </w:pPr>
      <w:r>
        <w:lastRenderedPageBreak/>
        <w:t>Conclusion</w:t>
      </w:r>
    </w:p>
    <w:p w14:paraId="0E016C76" w14:textId="06F3A447" w:rsidR="00A7757E" w:rsidRDefault="00A7757E" w:rsidP="00A7757E">
      <w:r w:rsidRPr="00A7757E">
        <w:t xml:space="preserve">In conclusion, social enterprises in the UK are important to alleviate social and environmental issues and help the economic inclusion. As it is indicated in the SWOT analysis, their key strengths are the fact that they can combine profit and purpose, establish trust in their community, and innovate. However, they have weaknesses which include lack of access to finance, inability to gauge impact and lack of managerial capacity. There are opportunities in ethical consumerism, digital innovation and enabling government policy but there are constant threats brought about by economic uncertainty and competition. </w:t>
      </w:r>
      <w:proofErr w:type="gramStart"/>
      <w:r w:rsidRPr="00A7757E">
        <w:t>In order to</w:t>
      </w:r>
      <w:proofErr w:type="gramEnd"/>
      <w:r w:rsidRPr="00A7757E">
        <w:t xml:space="preserve"> succeed in the long-run, social enterprises need to improve their financial management and invest in leadership resources as well as build superior mechanisms to monitor social impact. Nevertheless, </w:t>
      </w:r>
      <w:proofErr w:type="gramStart"/>
      <w:r w:rsidRPr="00A7757E">
        <w:t>in spite of</w:t>
      </w:r>
      <w:proofErr w:type="gramEnd"/>
      <w:r w:rsidRPr="00A7757E">
        <w:t xml:space="preserve"> those obstacles, they are stakeholders </w:t>
      </w:r>
      <w:proofErr w:type="gramStart"/>
      <w:r w:rsidRPr="00A7757E">
        <w:t>towards</w:t>
      </w:r>
      <w:proofErr w:type="gramEnd"/>
      <w:r w:rsidRPr="00A7757E">
        <w:t xml:space="preserve"> achieving a more sustainable and fair UK economy.</w:t>
      </w:r>
    </w:p>
    <w:p w14:paraId="4BF1E6C6" w14:textId="77777777" w:rsidR="00A7757E" w:rsidRDefault="00A7757E">
      <w:r>
        <w:br w:type="page"/>
      </w:r>
    </w:p>
    <w:p w14:paraId="2437ACF9" w14:textId="652B82AF" w:rsidR="00E40FCA" w:rsidRDefault="00A7757E" w:rsidP="00A7757E">
      <w:pPr>
        <w:pStyle w:val="Heading1"/>
      </w:pPr>
      <w:r>
        <w:lastRenderedPageBreak/>
        <w:t>References</w:t>
      </w:r>
    </w:p>
    <w:p w14:paraId="57AE5983" w14:textId="77777777" w:rsidR="00A7757E" w:rsidRPr="00A7757E" w:rsidRDefault="00A7757E" w:rsidP="00A7757E">
      <w:pPr>
        <w:pStyle w:val="NormalWeb"/>
        <w:spacing w:line="360" w:lineRule="auto"/>
        <w:jc w:val="both"/>
        <w:rPr>
          <w:rFonts w:ascii="Calibri" w:hAnsi="Calibri" w:cs="Calibri"/>
        </w:rPr>
      </w:pPr>
      <w:r w:rsidRPr="00A7757E">
        <w:rPr>
          <w:rFonts w:ascii="Calibri" w:hAnsi="Calibri" w:cs="Calibri"/>
        </w:rPr>
        <w:t xml:space="preserve">Calic, G. and Mosakowski, E., 2016. </w:t>
      </w:r>
      <w:r w:rsidRPr="00A7757E">
        <w:rPr>
          <w:rStyle w:val="Emphasis"/>
          <w:rFonts w:ascii="Calibri" w:eastAsiaTheme="majorEastAsia" w:hAnsi="Calibri" w:cs="Calibri"/>
        </w:rPr>
        <w:t>Kicking off social entrepreneurship: How a sustainability orientation influences crowdfunding success</w:t>
      </w:r>
      <w:r w:rsidRPr="00A7757E">
        <w:rPr>
          <w:rFonts w:ascii="Calibri" w:hAnsi="Calibri" w:cs="Calibri"/>
        </w:rPr>
        <w:t xml:space="preserve">. </w:t>
      </w:r>
      <w:r w:rsidRPr="00A7757E">
        <w:rPr>
          <w:rStyle w:val="Emphasis"/>
          <w:rFonts w:ascii="Calibri" w:eastAsiaTheme="majorEastAsia" w:hAnsi="Calibri" w:cs="Calibri"/>
        </w:rPr>
        <w:t>Journal of Management Studies</w:t>
      </w:r>
      <w:r w:rsidRPr="00A7757E">
        <w:rPr>
          <w:rFonts w:ascii="Calibri" w:hAnsi="Calibri" w:cs="Calibri"/>
        </w:rPr>
        <w:t>, 53(5), pp.738–767.</w:t>
      </w:r>
    </w:p>
    <w:p w14:paraId="56ACDB4B" w14:textId="77777777" w:rsidR="00A7757E" w:rsidRPr="00A7757E" w:rsidRDefault="00A7757E" w:rsidP="00A7757E">
      <w:pPr>
        <w:pStyle w:val="NormalWeb"/>
        <w:spacing w:line="360" w:lineRule="auto"/>
        <w:jc w:val="both"/>
        <w:rPr>
          <w:rFonts w:ascii="Calibri" w:hAnsi="Calibri" w:cs="Calibri"/>
        </w:rPr>
      </w:pPr>
      <w:r w:rsidRPr="00A7757E">
        <w:rPr>
          <w:rFonts w:ascii="Calibri" w:hAnsi="Calibri" w:cs="Calibri"/>
        </w:rPr>
        <w:t xml:space="preserve">Defourny, J. and Nyssens, M., 2017. </w:t>
      </w:r>
      <w:r w:rsidRPr="00A7757E">
        <w:rPr>
          <w:rStyle w:val="Emphasis"/>
          <w:rFonts w:ascii="Calibri" w:eastAsiaTheme="majorEastAsia" w:hAnsi="Calibri" w:cs="Calibri"/>
        </w:rPr>
        <w:t>Fundamentals for an international typology of social enterprise models</w:t>
      </w:r>
      <w:r w:rsidRPr="00A7757E">
        <w:rPr>
          <w:rFonts w:ascii="Calibri" w:hAnsi="Calibri" w:cs="Calibri"/>
        </w:rPr>
        <w:t xml:space="preserve">. </w:t>
      </w:r>
      <w:r w:rsidRPr="00A7757E">
        <w:rPr>
          <w:rStyle w:val="Emphasis"/>
          <w:rFonts w:ascii="Calibri" w:eastAsiaTheme="majorEastAsia" w:hAnsi="Calibri" w:cs="Calibri"/>
        </w:rPr>
        <w:t>VOLUNTAS: International Journal of Voluntary and Nonprofit Organizations</w:t>
      </w:r>
      <w:r w:rsidRPr="00A7757E">
        <w:rPr>
          <w:rFonts w:ascii="Calibri" w:hAnsi="Calibri" w:cs="Calibri"/>
        </w:rPr>
        <w:t>, 28(6), pp.2469–2497.</w:t>
      </w:r>
    </w:p>
    <w:p w14:paraId="4065AAE1" w14:textId="77777777" w:rsidR="00A7757E" w:rsidRPr="00A7757E" w:rsidRDefault="00A7757E" w:rsidP="00A7757E">
      <w:pPr>
        <w:pStyle w:val="NormalWeb"/>
        <w:spacing w:line="360" w:lineRule="auto"/>
        <w:jc w:val="both"/>
        <w:rPr>
          <w:rFonts w:ascii="Calibri" w:hAnsi="Calibri" w:cs="Calibri"/>
        </w:rPr>
      </w:pPr>
      <w:r w:rsidRPr="00A7757E">
        <w:rPr>
          <w:rFonts w:ascii="Calibri" w:hAnsi="Calibri" w:cs="Calibri"/>
        </w:rPr>
        <w:t xml:space="preserve">Gupta, P., Chauhan, S., Paul, J. and Jaiswal, M.P., 2020. </w:t>
      </w:r>
      <w:r w:rsidRPr="00A7757E">
        <w:rPr>
          <w:rStyle w:val="Emphasis"/>
          <w:rFonts w:ascii="Calibri" w:eastAsiaTheme="majorEastAsia" w:hAnsi="Calibri" w:cs="Calibri"/>
        </w:rPr>
        <w:t>Social entrepreneurship research: A review and future research agenda</w:t>
      </w:r>
      <w:r w:rsidRPr="00A7757E">
        <w:rPr>
          <w:rFonts w:ascii="Calibri" w:hAnsi="Calibri" w:cs="Calibri"/>
        </w:rPr>
        <w:t xml:space="preserve">. </w:t>
      </w:r>
      <w:r w:rsidRPr="00A7757E">
        <w:rPr>
          <w:rStyle w:val="Emphasis"/>
          <w:rFonts w:ascii="Calibri" w:eastAsiaTheme="majorEastAsia" w:hAnsi="Calibri" w:cs="Calibri"/>
        </w:rPr>
        <w:t>Journal of Business Research</w:t>
      </w:r>
      <w:r w:rsidRPr="00A7757E">
        <w:rPr>
          <w:rFonts w:ascii="Calibri" w:hAnsi="Calibri" w:cs="Calibri"/>
        </w:rPr>
        <w:t>, 113, pp.209–229.</w:t>
      </w:r>
    </w:p>
    <w:p w14:paraId="17596364" w14:textId="77777777" w:rsidR="00A7757E" w:rsidRPr="00A7757E" w:rsidRDefault="00A7757E" w:rsidP="00A7757E">
      <w:pPr>
        <w:pStyle w:val="NormalWeb"/>
        <w:spacing w:line="360" w:lineRule="auto"/>
        <w:jc w:val="both"/>
        <w:rPr>
          <w:rFonts w:ascii="Calibri" w:hAnsi="Calibri" w:cs="Calibri"/>
        </w:rPr>
      </w:pPr>
      <w:r w:rsidRPr="00A7757E">
        <w:rPr>
          <w:rFonts w:ascii="Calibri" w:hAnsi="Calibri" w:cs="Calibri"/>
        </w:rPr>
        <w:t xml:space="preserve">Kuratko, D.F. and Hodgetts, R.M., 2017. </w:t>
      </w:r>
      <w:r w:rsidRPr="00A7757E">
        <w:rPr>
          <w:rStyle w:val="Emphasis"/>
          <w:rFonts w:ascii="Calibri" w:eastAsiaTheme="majorEastAsia" w:hAnsi="Calibri" w:cs="Calibri"/>
        </w:rPr>
        <w:t>Entrepreneurship: Theory, process, practice</w:t>
      </w:r>
      <w:r w:rsidRPr="00A7757E">
        <w:rPr>
          <w:rFonts w:ascii="Calibri" w:hAnsi="Calibri" w:cs="Calibri"/>
        </w:rPr>
        <w:t>. Boston: Cengage Learning.</w:t>
      </w:r>
    </w:p>
    <w:p w14:paraId="5B46AB26" w14:textId="77777777" w:rsidR="00A7757E" w:rsidRPr="00A7757E" w:rsidRDefault="00A7757E" w:rsidP="00A7757E">
      <w:pPr>
        <w:pStyle w:val="NormalWeb"/>
        <w:spacing w:line="360" w:lineRule="auto"/>
        <w:jc w:val="both"/>
        <w:rPr>
          <w:rFonts w:ascii="Calibri" w:hAnsi="Calibri" w:cs="Calibri"/>
        </w:rPr>
      </w:pPr>
      <w:r w:rsidRPr="00A7757E">
        <w:rPr>
          <w:rFonts w:ascii="Calibri" w:hAnsi="Calibri" w:cs="Calibri"/>
        </w:rPr>
        <w:t xml:space="preserve">Phillips, W., Lee, H., Ghobadian, A., O’Regan, N. and James, P., 2015. </w:t>
      </w:r>
      <w:r w:rsidRPr="00A7757E">
        <w:rPr>
          <w:rStyle w:val="Emphasis"/>
          <w:rFonts w:ascii="Calibri" w:eastAsiaTheme="majorEastAsia" w:hAnsi="Calibri" w:cs="Calibri"/>
        </w:rPr>
        <w:t>Social innovation and social entrepreneurship: A systematic review</w:t>
      </w:r>
      <w:r w:rsidRPr="00A7757E">
        <w:rPr>
          <w:rFonts w:ascii="Calibri" w:hAnsi="Calibri" w:cs="Calibri"/>
        </w:rPr>
        <w:t xml:space="preserve">. </w:t>
      </w:r>
      <w:r w:rsidRPr="00A7757E">
        <w:rPr>
          <w:rStyle w:val="Emphasis"/>
          <w:rFonts w:ascii="Calibri" w:eastAsiaTheme="majorEastAsia" w:hAnsi="Calibri" w:cs="Calibri"/>
        </w:rPr>
        <w:t>Group &amp; Organization Management</w:t>
      </w:r>
      <w:r w:rsidRPr="00A7757E">
        <w:rPr>
          <w:rFonts w:ascii="Calibri" w:hAnsi="Calibri" w:cs="Calibri"/>
        </w:rPr>
        <w:t>, 40(3), pp.428–461.</w:t>
      </w:r>
    </w:p>
    <w:p w14:paraId="4120B702" w14:textId="77777777" w:rsidR="00A7757E" w:rsidRPr="00A7757E" w:rsidRDefault="00A7757E" w:rsidP="00A7757E">
      <w:pPr>
        <w:pStyle w:val="NormalWeb"/>
        <w:spacing w:line="360" w:lineRule="auto"/>
        <w:jc w:val="both"/>
        <w:rPr>
          <w:rFonts w:ascii="Calibri" w:hAnsi="Calibri" w:cs="Calibri"/>
        </w:rPr>
      </w:pPr>
      <w:r w:rsidRPr="00A7757E">
        <w:rPr>
          <w:rFonts w:ascii="Calibri" w:hAnsi="Calibri" w:cs="Calibri"/>
        </w:rPr>
        <w:t xml:space="preserve">Rawhouser, H., Cummings, M. and Newbert, S.L., 2019. </w:t>
      </w:r>
      <w:r w:rsidRPr="00A7757E">
        <w:rPr>
          <w:rStyle w:val="Emphasis"/>
          <w:rFonts w:ascii="Calibri" w:eastAsiaTheme="majorEastAsia" w:hAnsi="Calibri" w:cs="Calibri"/>
        </w:rPr>
        <w:t>Social impact measurement: Current approaches and future directions for social entrepreneurship research</w:t>
      </w:r>
      <w:r w:rsidRPr="00A7757E">
        <w:rPr>
          <w:rFonts w:ascii="Calibri" w:hAnsi="Calibri" w:cs="Calibri"/>
        </w:rPr>
        <w:t xml:space="preserve">. </w:t>
      </w:r>
      <w:r w:rsidRPr="00A7757E">
        <w:rPr>
          <w:rStyle w:val="Emphasis"/>
          <w:rFonts w:ascii="Calibri" w:eastAsiaTheme="majorEastAsia" w:hAnsi="Calibri" w:cs="Calibri"/>
        </w:rPr>
        <w:t>Entrepreneurship Theory and Practice</w:t>
      </w:r>
      <w:r w:rsidRPr="00A7757E">
        <w:rPr>
          <w:rFonts w:ascii="Calibri" w:hAnsi="Calibri" w:cs="Calibri"/>
        </w:rPr>
        <w:t>, 43(1), pp.82–115.</w:t>
      </w:r>
    </w:p>
    <w:p w14:paraId="1F199847" w14:textId="77777777" w:rsidR="00A7757E" w:rsidRPr="00A7757E" w:rsidRDefault="00A7757E" w:rsidP="00A7757E">
      <w:pPr>
        <w:pStyle w:val="NormalWeb"/>
        <w:spacing w:line="360" w:lineRule="auto"/>
        <w:jc w:val="both"/>
        <w:rPr>
          <w:rFonts w:ascii="Calibri" w:hAnsi="Calibri" w:cs="Calibri"/>
        </w:rPr>
      </w:pPr>
      <w:r w:rsidRPr="00A7757E">
        <w:rPr>
          <w:rFonts w:ascii="Calibri" w:hAnsi="Calibri" w:cs="Calibri"/>
        </w:rPr>
        <w:t xml:space="preserve">Rey-Martí, A., Ribeiro-Soriano, D. and Palacios-Marqués, D., 2016. </w:t>
      </w:r>
      <w:r w:rsidRPr="00A7757E">
        <w:rPr>
          <w:rStyle w:val="Emphasis"/>
          <w:rFonts w:ascii="Calibri" w:eastAsiaTheme="majorEastAsia" w:hAnsi="Calibri" w:cs="Calibri"/>
        </w:rPr>
        <w:t>A bibliometric analysis of social entrepreneurship</w:t>
      </w:r>
      <w:r w:rsidRPr="00A7757E">
        <w:rPr>
          <w:rFonts w:ascii="Calibri" w:hAnsi="Calibri" w:cs="Calibri"/>
        </w:rPr>
        <w:t xml:space="preserve">. </w:t>
      </w:r>
      <w:r w:rsidRPr="00A7757E">
        <w:rPr>
          <w:rStyle w:val="Emphasis"/>
          <w:rFonts w:ascii="Calibri" w:eastAsiaTheme="majorEastAsia" w:hAnsi="Calibri" w:cs="Calibri"/>
        </w:rPr>
        <w:t>Journal of Business Research</w:t>
      </w:r>
      <w:r w:rsidRPr="00A7757E">
        <w:rPr>
          <w:rFonts w:ascii="Calibri" w:hAnsi="Calibri" w:cs="Calibri"/>
        </w:rPr>
        <w:t>, 69(5), pp.1651–1655.</w:t>
      </w:r>
    </w:p>
    <w:p w14:paraId="33F39963" w14:textId="77777777" w:rsidR="00A7757E" w:rsidRPr="00A7757E" w:rsidRDefault="00A7757E" w:rsidP="00A7757E">
      <w:pPr>
        <w:pStyle w:val="NormalWeb"/>
        <w:spacing w:line="360" w:lineRule="auto"/>
        <w:jc w:val="both"/>
        <w:rPr>
          <w:rFonts w:ascii="Calibri" w:hAnsi="Calibri" w:cs="Calibri"/>
        </w:rPr>
      </w:pPr>
      <w:r w:rsidRPr="00A7757E">
        <w:rPr>
          <w:rFonts w:ascii="Calibri" w:hAnsi="Calibri" w:cs="Calibri"/>
        </w:rPr>
        <w:t xml:space="preserve">Ridley-Duff, R. and Bull, M., 2019. </w:t>
      </w:r>
      <w:r w:rsidRPr="00A7757E">
        <w:rPr>
          <w:rStyle w:val="Emphasis"/>
          <w:rFonts w:ascii="Calibri" w:eastAsiaTheme="majorEastAsia" w:hAnsi="Calibri" w:cs="Calibri"/>
        </w:rPr>
        <w:t>Understanding social enterprise: Theory and practice</w:t>
      </w:r>
      <w:r w:rsidRPr="00A7757E">
        <w:rPr>
          <w:rFonts w:ascii="Calibri" w:hAnsi="Calibri" w:cs="Calibri"/>
        </w:rPr>
        <w:t>. London: Sage.</w:t>
      </w:r>
    </w:p>
    <w:p w14:paraId="23502A48" w14:textId="77777777" w:rsidR="00A7757E" w:rsidRPr="00A7757E" w:rsidRDefault="00A7757E" w:rsidP="00A7757E">
      <w:pPr>
        <w:pStyle w:val="NormalWeb"/>
        <w:spacing w:line="360" w:lineRule="auto"/>
        <w:jc w:val="both"/>
        <w:rPr>
          <w:rFonts w:ascii="Calibri" w:hAnsi="Calibri" w:cs="Calibri"/>
        </w:rPr>
      </w:pPr>
      <w:r w:rsidRPr="00A7757E">
        <w:rPr>
          <w:rFonts w:ascii="Calibri" w:hAnsi="Calibri" w:cs="Calibri"/>
        </w:rPr>
        <w:t xml:space="preserve">Saebi, T., Foss, N.J. and Linder, S., 2019. </w:t>
      </w:r>
      <w:r w:rsidRPr="00A7757E">
        <w:rPr>
          <w:rStyle w:val="Emphasis"/>
          <w:rFonts w:ascii="Calibri" w:eastAsiaTheme="majorEastAsia" w:hAnsi="Calibri" w:cs="Calibri"/>
        </w:rPr>
        <w:t>Social entrepreneurship research: Past achievements and future promises</w:t>
      </w:r>
      <w:r w:rsidRPr="00A7757E">
        <w:rPr>
          <w:rFonts w:ascii="Calibri" w:hAnsi="Calibri" w:cs="Calibri"/>
        </w:rPr>
        <w:t xml:space="preserve">. </w:t>
      </w:r>
      <w:r w:rsidRPr="00A7757E">
        <w:rPr>
          <w:rStyle w:val="Emphasis"/>
          <w:rFonts w:ascii="Calibri" w:eastAsiaTheme="majorEastAsia" w:hAnsi="Calibri" w:cs="Calibri"/>
        </w:rPr>
        <w:t>Journal of Management</w:t>
      </w:r>
      <w:r w:rsidRPr="00A7757E">
        <w:rPr>
          <w:rFonts w:ascii="Calibri" w:hAnsi="Calibri" w:cs="Calibri"/>
        </w:rPr>
        <w:t>, 45(1), pp.70–95.</w:t>
      </w:r>
    </w:p>
    <w:p w14:paraId="5572D24A" w14:textId="77777777" w:rsidR="00A7757E" w:rsidRPr="00A7757E" w:rsidRDefault="00A7757E" w:rsidP="00A7757E">
      <w:pPr>
        <w:pStyle w:val="NormalWeb"/>
        <w:spacing w:line="360" w:lineRule="auto"/>
        <w:jc w:val="both"/>
        <w:rPr>
          <w:rFonts w:ascii="Calibri" w:hAnsi="Calibri" w:cs="Calibri"/>
        </w:rPr>
      </w:pPr>
      <w:r w:rsidRPr="00A7757E">
        <w:rPr>
          <w:rFonts w:ascii="Calibri" w:hAnsi="Calibri" w:cs="Calibri"/>
        </w:rPr>
        <w:lastRenderedPageBreak/>
        <w:t xml:space="preserve">Santos, F., Pache, A.C. and Birkholz, C., 2015. </w:t>
      </w:r>
      <w:r w:rsidRPr="00A7757E">
        <w:rPr>
          <w:rStyle w:val="Emphasis"/>
          <w:rFonts w:ascii="Calibri" w:eastAsiaTheme="majorEastAsia" w:hAnsi="Calibri" w:cs="Calibri"/>
        </w:rPr>
        <w:t>Making hybrids work: Aligning business models and organisational design for social enterprises</w:t>
      </w:r>
      <w:r w:rsidRPr="00A7757E">
        <w:rPr>
          <w:rFonts w:ascii="Calibri" w:hAnsi="Calibri" w:cs="Calibri"/>
        </w:rPr>
        <w:t xml:space="preserve">. </w:t>
      </w:r>
      <w:r w:rsidRPr="00A7757E">
        <w:rPr>
          <w:rStyle w:val="Emphasis"/>
          <w:rFonts w:ascii="Calibri" w:eastAsiaTheme="majorEastAsia" w:hAnsi="Calibri" w:cs="Calibri"/>
        </w:rPr>
        <w:t>California Management Review</w:t>
      </w:r>
      <w:r w:rsidRPr="00A7757E">
        <w:rPr>
          <w:rFonts w:ascii="Calibri" w:hAnsi="Calibri" w:cs="Calibri"/>
        </w:rPr>
        <w:t>, 57(3), pp.36–58.</w:t>
      </w:r>
    </w:p>
    <w:p w14:paraId="30FA3B53" w14:textId="77777777" w:rsidR="00A7757E" w:rsidRPr="00A7757E" w:rsidRDefault="00A7757E" w:rsidP="00A7757E">
      <w:pPr>
        <w:pStyle w:val="NormalWeb"/>
        <w:spacing w:line="360" w:lineRule="auto"/>
        <w:jc w:val="both"/>
        <w:rPr>
          <w:rFonts w:ascii="Calibri" w:hAnsi="Calibri" w:cs="Calibri"/>
        </w:rPr>
      </w:pPr>
      <w:r w:rsidRPr="00A7757E">
        <w:rPr>
          <w:rFonts w:ascii="Calibri" w:hAnsi="Calibri" w:cs="Calibri"/>
        </w:rPr>
        <w:t xml:space="preserve">Stirzaker, R., Galloway, L., Muhonen, J. and Christopoulos, D., 2021. </w:t>
      </w:r>
      <w:r w:rsidRPr="00A7757E">
        <w:rPr>
          <w:rStyle w:val="Emphasis"/>
          <w:rFonts w:ascii="Calibri" w:eastAsiaTheme="majorEastAsia" w:hAnsi="Calibri" w:cs="Calibri"/>
        </w:rPr>
        <w:t>The drivers of social entrepreneurship: Agency, context, compassion and opportunism</w:t>
      </w:r>
      <w:r w:rsidRPr="00A7757E">
        <w:rPr>
          <w:rFonts w:ascii="Calibri" w:hAnsi="Calibri" w:cs="Calibri"/>
        </w:rPr>
        <w:t xml:space="preserve">. </w:t>
      </w:r>
      <w:r w:rsidRPr="00A7757E">
        <w:rPr>
          <w:rStyle w:val="Emphasis"/>
          <w:rFonts w:ascii="Calibri" w:eastAsiaTheme="majorEastAsia" w:hAnsi="Calibri" w:cs="Calibri"/>
        </w:rPr>
        <w:t>International Journal of Entrepreneurial Behavior &amp; Research</w:t>
      </w:r>
      <w:r w:rsidRPr="00A7757E">
        <w:rPr>
          <w:rFonts w:ascii="Calibri" w:hAnsi="Calibri" w:cs="Calibri"/>
        </w:rPr>
        <w:t>, 27(6), pp.1381–1402.</w:t>
      </w:r>
    </w:p>
    <w:p w14:paraId="0AC29BD9" w14:textId="77777777" w:rsidR="00A7757E" w:rsidRPr="00A7757E" w:rsidRDefault="00A7757E" w:rsidP="00A7757E">
      <w:pPr>
        <w:pStyle w:val="NormalWeb"/>
        <w:spacing w:line="360" w:lineRule="auto"/>
        <w:jc w:val="both"/>
        <w:rPr>
          <w:rFonts w:ascii="Calibri" w:hAnsi="Calibri" w:cs="Calibri"/>
        </w:rPr>
      </w:pPr>
      <w:r w:rsidRPr="00A7757E">
        <w:rPr>
          <w:rFonts w:ascii="Calibri" w:hAnsi="Calibri" w:cs="Calibri"/>
        </w:rPr>
        <w:t xml:space="preserve">Wry, T. and York, J.G., 2017. </w:t>
      </w:r>
      <w:r w:rsidRPr="00A7757E">
        <w:rPr>
          <w:rStyle w:val="Emphasis"/>
          <w:rFonts w:ascii="Calibri" w:eastAsiaTheme="majorEastAsia" w:hAnsi="Calibri" w:cs="Calibri"/>
        </w:rPr>
        <w:t>An identity-based approach to social enterprise</w:t>
      </w:r>
      <w:r w:rsidRPr="00A7757E">
        <w:rPr>
          <w:rFonts w:ascii="Calibri" w:hAnsi="Calibri" w:cs="Calibri"/>
        </w:rPr>
        <w:t xml:space="preserve">. </w:t>
      </w:r>
      <w:r w:rsidRPr="00A7757E">
        <w:rPr>
          <w:rStyle w:val="Emphasis"/>
          <w:rFonts w:ascii="Calibri" w:eastAsiaTheme="majorEastAsia" w:hAnsi="Calibri" w:cs="Calibri"/>
        </w:rPr>
        <w:t>Academy of Management Review</w:t>
      </w:r>
      <w:r w:rsidRPr="00A7757E">
        <w:rPr>
          <w:rFonts w:ascii="Calibri" w:hAnsi="Calibri" w:cs="Calibri"/>
        </w:rPr>
        <w:t>, 42(3), pp.437–460.</w:t>
      </w:r>
    </w:p>
    <w:p w14:paraId="52CD7B76" w14:textId="77777777" w:rsidR="00A7757E" w:rsidRPr="00A7757E" w:rsidRDefault="00A7757E" w:rsidP="00A7757E"/>
    <w:sectPr w:rsidR="00A7757E" w:rsidRPr="00A7757E" w:rsidSect="00A7757E">
      <w:footerReference w:type="even"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D8C477" w14:textId="77777777" w:rsidR="002F4FEE" w:rsidRDefault="002F4FEE" w:rsidP="0056426F">
      <w:pPr>
        <w:spacing w:after="0" w:line="240" w:lineRule="auto"/>
      </w:pPr>
      <w:r>
        <w:separator/>
      </w:r>
    </w:p>
  </w:endnote>
  <w:endnote w:type="continuationSeparator" w:id="0">
    <w:p w14:paraId="1E8CDC62" w14:textId="77777777" w:rsidR="002F4FEE" w:rsidRDefault="002F4FEE" w:rsidP="005642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02954302"/>
      <w:docPartObj>
        <w:docPartGallery w:val="Page Numbers (Bottom of Page)"/>
        <w:docPartUnique/>
      </w:docPartObj>
    </w:sdtPr>
    <w:sdtContent>
      <w:p w14:paraId="5AB1911C" w14:textId="7766F843" w:rsidR="0056426F" w:rsidRDefault="0056426F" w:rsidP="00CF07B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19C94D92" w14:textId="77777777" w:rsidR="0056426F" w:rsidRDefault="0056426F" w:rsidP="0056426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39147391"/>
      <w:docPartObj>
        <w:docPartGallery w:val="Page Numbers (Bottom of Page)"/>
        <w:docPartUnique/>
      </w:docPartObj>
    </w:sdtPr>
    <w:sdtContent>
      <w:p w14:paraId="0E1CF19F" w14:textId="0CDEE1DE" w:rsidR="0056426F" w:rsidRDefault="0056426F" w:rsidP="00CF07B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139D218E" w14:textId="77777777" w:rsidR="0056426F" w:rsidRDefault="0056426F" w:rsidP="0056426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3DE915" w14:textId="77777777" w:rsidR="002F4FEE" w:rsidRDefault="002F4FEE" w:rsidP="0056426F">
      <w:pPr>
        <w:spacing w:after="0" w:line="240" w:lineRule="auto"/>
      </w:pPr>
      <w:r>
        <w:separator/>
      </w:r>
    </w:p>
  </w:footnote>
  <w:footnote w:type="continuationSeparator" w:id="0">
    <w:p w14:paraId="5F3C3CE2" w14:textId="77777777" w:rsidR="002F4FEE" w:rsidRDefault="002F4FEE" w:rsidP="005642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484526"/>
    <w:multiLevelType w:val="hybridMultilevel"/>
    <w:tmpl w:val="6128B0EC"/>
    <w:lvl w:ilvl="0" w:tplc="04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3EAB6837"/>
    <w:multiLevelType w:val="multilevel"/>
    <w:tmpl w:val="04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 w15:restartNumberingAfterBreak="0">
    <w:nsid w:val="6F01517F"/>
    <w:multiLevelType w:val="hybridMultilevel"/>
    <w:tmpl w:val="5AEA3E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80748057">
    <w:abstractNumId w:val="2"/>
  </w:num>
  <w:num w:numId="2" w16cid:durableId="263878628">
    <w:abstractNumId w:val="0"/>
  </w:num>
  <w:num w:numId="3" w16cid:durableId="1852210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757E"/>
    <w:rsid w:val="00051363"/>
    <w:rsid w:val="00140495"/>
    <w:rsid w:val="001B4669"/>
    <w:rsid w:val="002B227F"/>
    <w:rsid w:val="002F4FEE"/>
    <w:rsid w:val="003F40D0"/>
    <w:rsid w:val="0056426F"/>
    <w:rsid w:val="005718FF"/>
    <w:rsid w:val="006427E2"/>
    <w:rsid w:val="006453AC"/>
    <w:rsid w:val="0065757D"/>
    <w:rsid w:val="006603EC"/>
    <w:rsid w:val="00712DE1"/>
    <w:rsid w:val="007B3C8B"/>
    <w:rsid w:val="007F62D7"/>
    <w:rsid w:val="009A6952"/>
    <w:rsid w:val="009E6913"/>
    <w:rsid w:val="00A7757E"/>
    <w:rsid w:val="00AA50CF"/>
    <w:rsid w:val="00AC3381"/>
    <w:rsid w:val="00B10002"/>
    <w:rsid w:val="00BD0CF0"/>
    <w:rsid w:val="00C44DAC"/>
    <w:rsid w:val="00C62A5B"/>
    <w:rsid w:val="00DD7539"/>
    <w:rsid w:val="00E40FCA"/>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7F3898"/>
  <w15:chartTrackingRefBased/>
  <w15:docId w15:val="{B5A3C020-A0B2-C940-8B1A-59F5A0DA39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Vrinda"/>
        <w:kern w:val="2"/>
        <w:sz w:val="24"/>
        <w:szCs w:val="30"/>
        <w:lang w:val="en-US" w:eastAsia="en-US" w:bidi="bn-IN"/>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757E"/>
    <w:rPr>
      <w:rFonts w:ascii="Calibri" w:hAnsi="Calibri" w:cs="Calibri"/>
    </w:rPr>
  </w:style>
  <w:style w:type="paragraph" w:styleId="Heading1">
    <w:name w:val="heading 1"/>
    <w:basedOn w:val="Normal"/>
    <w:next w:val="Normal"/>
    <w:link w:val="Heading1Char"/>
    <w:autoRedefine/>
    <w:uiPriority w:val="9"/>
    <w:qFormat/>
    <w:rsid w:val="00712DE1"/>
    <w:pPr>
      <w:keepNext/>
      <w:keepLines/>
      <w:spacing w:before="360" w:after="80"/>
      <w:outlineLvl w:val="0"/>
    </w:pPr>
    <w:rPr>
      <w:rFonts w:eastAsiaTheme="majorEastAsia" w:cs="Times New Roman"/>
      <w:b/>
      <w:bCs/>
      <w:color w:val="2F5496" w:themeColor="accent1" w:themeShade="BF"/>
      <w:sz w:val="32"/>
      <w:szCs w:val="44"/>
    </w:rPr>
  </w:style>
  <w:style w:type="paragraph" w:styleId="Heading2">
    <w:name w:val="heading 2"/>
    <w:basedOn w:val="Normal"/>
    <w:next w:val="Normal"/>
    <w:link w:val="Heading2Char"/>
    <w:autoRedefine/>
    <w:uiPriority w:val="9"/>
    <w:unhideWhenUsed/>
    <w:qFormat/>
    <w:rsid w:val="00712DE1"/>
    <w:pPr>
      <w:keepNext/>
      <w:keepLines/>
      <w:spacing w:before="160" w:after="80"/>
      <w:outlineLvl w:val="1"/>
    </w:pPr>
    <w:rPr>
      <w:rFonts w:eastAsiaTheme="majorEastAsia" w:cstheme="majorBidi"/>
      <w:b/>
      <w:color w:val="2F5496" w:themeColor="accent1" w:themeShade="BF"/>
      <w:sz w:val="28"/>
      <w:szCs w:val="40"/>
    </w:rPr>
  </w:style>
  <w:style w:type="paragraph" w:styleId="Heading3">
    <w:name w:val="heading 3"/>
    <w:basedOn w:val="Normal"/>
    <w:next w:val="Normal"/>
    <w:link w:val="Heading3Char"/>
    <w:uiPriority w:val="9"/>
    <w:semiHidden/>
    <w:unhideWhenUsed/>
    <w:qFormat/>
    <w:rsid w:val="00A7757E"/>
    <w:pPr>
      <w:keepNext/>
      <w:keepLines/>
      <w:spacing w:before="160" w:after="80"/>
      <w:outlineLvl w:val="2"/>
    </w:pPr>
    <w:rPr>
      <w:rFonts w:asciiTheme="minorHAnsi" w:eastAsiaTheme="majorEastAsia" w:hAnsiTheme="minorHAnsi" w:cstheme="majorBidi"/>
      <w:color w:val="2F5496" w:themeColor="accent1" w:themeShade="BF"/>
      <w:sz w:val="28"/>
      <w:szCs w:val="35"/>
    </w:rPr>
  </w:style>
  <w:style w:type="paragraph" w:styleId="Heading4">
    <w:name w:val="heading 4"/>
    <w:basedOn w:val="Normal"/>
    <w:next w:val="Normal"/>
    <w:link w:val="Heading4Char"/>
    <w:uiPriority w:val="9"/>
    <w:semiHidden/>
    <w:unhideWhenUsed/>
    <w:qFormat/>
    <w:rsid w:val="00A7757E"/>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7757E"/>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A7757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7757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7757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7757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2DE1"/>
    <w:rPr>
      <w:rFonts w:eastAsiaTheme="majorEastAsia" w:cs="Times New Roman"/>
      <w:b/>
      <w:bCs/>
      <w:color w:val="2F5496" w:themeColor="accent1" w:themeShade="BF"/>
      <w:sz w:val="32"/>
      <w:szCs w:val="44"/>
    </w:rPr>
  </w:style>
  <w:style w:type="character" w:customStyle="1" w:styleId="Heading2Char">
    <w:name w:val="Heading 2 Char"/>
    <w:basedOn w:val="DefaultParagraphFont"/>
    <w:link w:val="Heading2"/>
    <w:uiPriority w:val="9"/>
    <w:rsid w:val="00712DE1"/>
    <w:rPr>
      <w:rFonts w:eastAsiaTheme="majorEastAsia" w:cstheme="majorBidi"/>
      <w:b/>
      <w:color w:val="2F5496" w:themeColor="accent1" w:themeShade="BF"/>
      <w:sz w:val="28"/>
      <w:szCs w:val="40"/>
    </w:rPr>
  </w:style>
  <w:style w:type="character" w:customStyle="1" w:styleId="Heading3Char">
    <w:name w:val="Heading 3 Char"/>
    <w:basedOn w:val="DefaultParagraphFont"/>
    <w:link w:val="Heading3"/>
    <w:uiPriority w:val="9"/>
    <w:semiHidden/>
    <w:rsid w:val="00A7757E"/>
    <w:rPr>
      <w:rFonts w:asciiTheme="minorHAnsi" w:eastAsiaTheme="majorEastAsia" w:hAnsiTheme="minorHAnsi" w:cstheme="majorBidi"/>
      <w:color w:val="2F5496" w:themeColor="accent1" w:themeShade="BF"/>
      <w:sz w:val="28"/>
      <w:szCs w:val="35"/>
      <w:lang w:val="en-GB"/>
    </w:rPr>
  </w:style>
  <w:style w:type="character" w:customStyle="1" w:styleId="Heading4Char">
    <w:name w:val="Heading 4 Char"/>
    <w:basedOn w:val="DefaultParagraphFont"/>
    <w:link w:val="Heading4"/>
    <w:uiPriority w:val="9"/>
    <w:semiHidden/>
    <w:rsid w:val="00A7757E"/>
    <w:rPr>
      <w:rFonts w:asciiTheme="minorHAnsi" w:eastAsiaTheme="majorEastAsia" w:hAnsiTheme="minorHAnsi"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A7757E"/>
    <w:rPr>
      <w:rFonts w:asciiTheme="minorHAnsi" w:eastAsiaTheme="majorEastAsia" w:hAnsiTheme="minorHAnsi" w:cstheme="majorBidi"/>
      <w:color w:val="2F5496" w:themeColor="accent1" w:themeShade="BF"/>
      <w:lang w:val="en-GB"/>
    </w:rPr>
  </w:style>
  <w:style w:type="character" w:customStyle="1" w:styleId="Heading6Char">
    <w:name w:val="Heading 6 Char"/>
    <w:basedOn w:val="DefaultParagraphFont"/>
    <w:link w:val="Heading6"/>
    <w:uiPriority w:val="9"/>
    <w:semiHidden/>
    <w:rsid w:val="00A7757E"/>
    <w:rPr>
      <w:rFonts w:asciiTheme="minorHAnsi" w:eastAsiaTheme="majorEastAsia" w:hAnsiTheme="minorHAnsi" w:cstheme="majorBidi"/>
      <w:i/>
      <w:iCs/>
      <w:color w:val="595959" w:themeColor="text1" w:themeTint="A6"/>
      <w:lang w:val="en-GB"/>
    </w:rPr>
  </w:style>
  <w:style w:type="character" w:customStyle="1" w:styleId="Heading7Char">
    <w:name w:val="Heading 7 Char"/>
    <w:basedOn w:val="DefaultParagraphFont"/>
    <w:link w:val="Heading7"/>
    <w:uiPriority w:val="9"/>
    <w:semiHidden/>
    <w:rsid w:val="00A7757E"/>
    <w:rPr>
      <w:rFonts w:asciiTheme="minorHAnsi" w:eastAsiaTheme="majorEastAsia" w:hAnsiTheme="minorHAnsi" w:cstheme="majorBidi"/>
      <w:color w:val="595959" w:themeColor="text1" w:themeTint="A6"/>
      <w:lang w:val="en-GB"/>
    </w:rPr>
  </w:style>
  <w:style w:type="character" w:customStyle="1" w:styleId="Heading8Char">
    <w:name w:val="Heading 8 Char"/>
    <w:basedOn w:val="DefaultParagraphFont"/>
    <w:link w:val="Heading8"/>
    <w:uiPriority w:val="9"/>
    <w:semiHidden/>
    <w:rsid w:val="00A7757E"/>
    <w:rPr>
      <w:rFonts w:asciiTheme="minorHAnsi" w:eastAsiaTheme="majorEastAsia" w:hAnsiTheme="minorHAnsi" w:cstheme="majorBidi"/>
      <w:i/>
      <w:iCs/>
      <w:color w:val="272727" w:themeColor="text1" w:themeTint="D8"/>
      <w:lang w:val="en-GB"/>
    </w:rPr>
  </w:style>
  <w:style w:type="character" w:customStyle="1" w:styleId="Heading9Char">
    <w:name w:val="Heading 9 Char"/>
    <w:basedOn w:val="DefaultParagraphFont"/>
    <w:link w:val="Heading9"/>
    <w:uiPriority w:val="9"/>
    <w:semiHidden/>
    <w:rsid w:val="00A7757E"/>
    <w:rPr>
      <w:rFonts w:asciiTheme="minorHAnsi" w:eastAsiaTheme="majorEastAsia" w:hAnsiTheme="minorHAnsi" w:cstheme="majorBidi"/>
      <w:color w:val="272727" w:themeColor="text1" w:themeTint="D8"/>
      <w:lang w:val="en-GB"/>
    </w:rPr>
  </w:style>
  <w:style w:type="paragraph" w:styleId="Title">
    <w:name w:val="Title"/>
    <w:basedOn w:val="Normal"/>
    <w:next w:val="Normal"/>
    <w:link w:val="TitleChar"/>
    <w:uiPriority w:val="10"/>
    <w:qFormat/>
    <w:rsid w:val="00A7757E"/>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A7757E"/>
    <w:rPr>
      <w:rFonts w:asciiTheme="majorHAnsi" w:eastAsiaTheme="majorEastAsia" w:hAnsiTheme="majorHAnsi" w:cstheme="majorBidi"/>
      <w:spacing w:val="-10"/>
      <w:kern w:val="28"/>
      <w:sz w:val="56"/>
      <w:szCs w:val="71"/>
      <w:lang w:val="en-GB"/>
    </w:rPr>
  </w:style>
  <w:style w:type="paragraph" w:styleId="Subtitle">
    <w:name w:val="Subtitle"/>
    <w:basedOn w:val="Normal"/>
    <w:next w:val="Normal"/>
    <w:link w:val="SubtitleChar"/>
    <w:uiPriority w:val="11"/>
    <w:qFormat/>
    <w:rsid w:val="00A7757E"/>
    <w:pPr>
      <w:numPr>
        <w:ilvl w:val="1"/>
      </w:numPr>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A7757E"/>
    <w:rPr>
      <w:rFonts w:asciiTheme="minorHAnsi" w:eastAsiaTheme="majorEastAsia" w:hAnsiTheme="minorHAnsi" w:cstheme="majorBidi"/>
      <w:color w:val="595959" w:themeColor="text1" w:themeTint="A6"/>
      <w:spacing w:val="15"/>
      <w:sz w:val="28"/>
      <w:szCs w:val="35"/>
      <w:lang w:val="en-GB"/>
    </w:rPr>
  </w:style>
  <w:style w:type="paragraph" w:styleId="Quote">
    <w:name w:val="Quote"/>
    <w:basedOn w:val="Normal"/>
    <w:next w:val="Normal"/>
    <w:link w:val="QuoteChar"/>
    <w:uiPriority w:val="29"/>
    <w:qFormat/>
    <w:rsid w:val="00A7757E"/>
    <w:pPr>
      <w:spacing w:before="160"/>
      <w:jc w:val="center"/>
    </w:pPr>
    <w:rPr>
      <w:i/>
      <w:iCs/>
      <w:color w:val="404040" w:themeColor="text1" w:themeTint="BF"/>
    </w:rPr>
  </w:style>
  <w:style w:type="character" w:customStyle="1" w:styleId="QuoteChar">
    <w:name w:val="Quote Char"/>
    <w:basedOn w:val="DefaultParagraphFont"/>
    <w:link w:val="Quote"/>
    <w:uiPriority w:val="29"/>
    <w:rsid w:val="00A7757E"/>
    <w:rPr>
      <w:i/>
      <w:iCs/>
      <w:color w:val="404040" w:themeColor="text1" w:themeTint="BF"/>
      <w:lang w:val="en-GB"/>
    </w:rPr>
  </w:style>
  <w:style w:type="paragraph" w:styleId="ListParagraph">
    <w:name w:val="List Paragraph"/>
    <w:basedOn w:val="Normal"/>
    <w:uiPriority w:val="34"/>
    <w:qFormat/>
    <w:rsid w:val="00A7757E"/>
    <w:pPr>
      <w:ind w:left="720"/>
      <w:contextualSpacing/>
    </w:pPr>
  </w:style>
  <w:style w:type="character" w:styleId="IntenseEmphasis">
    <w:name w:val="Intense Emphasis"/>
    <w:basedOn w:val="DefaultParagraphFont"/>
    <w:uiPriority w:val="21"/>
    <w:qFormat/>
    <w:rsid w:val="00A7757E"/>
    <w:rPr>
      <w:i/>
      <w:iCs/>
      <w:color w:val="2F5496" w:themeColor="accent1" w:themeShade="BF"/>
    </w:rPr>
  </w:style>
  <w:style w:type="paragraph" w:styleId="IntenseQuote">
    <w:name w:val="Intense Quote"/>
    <w:basedOn w:val="Normal"/>
    <w:next w:val="Normal"/>
    <w:link w:val="IntenseQuoteChar"/>
    <w:uiPriority w:val="30"/>
    <w:qFormat/>
    <w:rsid w:val="00A7757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7757E"/>
    <w:rPr>
      <w:i/>
      <w:iCs/>
      <w:color w:val="2F5496" w:themeColor="accent1" w:themeShade="BF"/>
      <w:lang w:val="en-GB"/>
    </w:rPr>
  </w:style>
  <w:style w:type="character" w:styleId="IntenseReference">
    <w:name w:val="Intense Reference"/>
    <w:basedOn w:val="DefaultParagraphFont"/>
    <w:uiPriority w:val="32"/>
    <w:qFormat/>
    <w:rsid w:val="00A7757E"/>
    <w:rPr>
      <w:b/>
      <w:bCs/>
      <w:smallCaps/>
      <w:color w:val="2F5496" w:themeColor="accent1" w:themeShade="BF"/>
      <w:spacing w:val="5"/>
    </w:rPr>
  </w:style>
  <w:style w:type="paragraph" w:styleId="NormalWeb">
    <w:name w:val="Normal (Web)"/>
    <w:basedOn w:val="Normal"/>
    <w:uiPriority w:val="99"/>
    <w:semiHidden/>
    <w:unhideWhenUsed/>
    <w:rsid w:val="00A7757E"/>
    <w:pPr>
      <w:spacing w:before="100" w:beforeAutospacing="1" w:after="100" w:afterAutospacing="1" w:line="240" w:lineRule="auto"/>
      <w:jc w:val="left"/>
    </w:pPr>
    <w:rPr>
      <w:rFonts w:ascii="Times New Roman" w:eastAsia="Times New Roman" w:hAnsi="Times New Roman" w:cs="Times New Roman"/>
      <w:kern w:val="0"/>
      <w:szCs w:val="24"/>
      <w:lang w:eastAsia="en-GB"/>
      <w14:ligatures w14:val="none"/>
    </w:rPr>
  </w:style>
  <w:style w:type="character" w:styleId="Emphasis">
    <w:name w:val="Emphasis"/>
    <w:basedOn w:val="DefaultParagraphFont"/>
    <w:uiPriority w:val="20"/>
    <w:qFormat/>
    <w:rsid w:val="00A7757E"/>
    <w:rPr>
      <w:i/>
      <w:iCs/>
    </w:rPr>
  </w:style>
  <w:style w:type="paragraph" w:styleId="NoSpacing">
    <w:name w:val="No Spacing"/>
    <w:link w:val="NoSpacingChar"/>
    <w:uiPriority w:val="1"/>
    <w:qFormat/>
    <w:rsid w:val="00A7757E"/>
    <w:pPr>
      <w:spacing w:after="0" w:line="240" w:lineRule="auto"/>
      <w:jc w:val="left"/>
    </w:pPr>
    <w:rPr>
      <w:rFonts w:asciiTheme="minorHAnsi" w:eastAsiaTheme="minorEastAsia" w:hAnsiTheme="minorHAnsi" w:cstheme="minorBidi"/>
      <w:kern w:val="0"/>
      <w:sz w:val="22"/>
      <w:szCs w:val="22"/>
      <w:lang w:eastAsia="zh-CN" w:bidi="ar-SA"/>
      <w14:ligatures w14:val="none"/>
    </w:rPr>
  </w:style>
  <w:style w:type="character" w:customStyle="1" w:styleId="NoSpacingChar">
    <w:name w:val="No Spacing Char"/>
    <w:basedOn w:val="DefaultParagraphFont"/>
    <w:link w:val="NoSpacing"/>
    <w:uiPriority w:val="1"/>
    <w:rsid w:val="00A7757E"/>
    <w:rPr>
      <w:rFonts w:asciiTheme="minorHAnsi" w:eastAsiaTheme="minorEastAsia" w:hAnsiTheme="minorHAnsi" w:cstheme="minorBidi"/>
      <w:kern w:val="0"/>
      <w:sz w:val="22"/>
      <w:szCs w:val="22"/>
      <w:lang w:val="en-US" w:eastAsia="zh-CN" w:bidi="ar-SA"/>
      <w14:ligatures w14:val="none"/>
    </w:rPr>
  </w:style>
  <w:style w:type="paragraph" w:styleId="Caption">
    <w:name w:val="caption"/>
    <w:basedOn w:val="Normal"/>
    <w:next w:val="Normal"/>
    <w:uiPriority w:val="35"/>
    <w:unhideWhenUsed/>
    <w:qFormat/>
    <w:rsid w:val="006453AC"/>
    <w:pPr>
      <w:spacing w:after="200" w:line="240" w:lineRule="auto"/>
    </w:pPr>
    <w:rPr>
      <w:i/>
      <w:iCs/>
      <w:color w:val="44546A" w:themeColor="text2"/>
      <w:sz w:val="18"/>
      <w:szCs w:val="22"/>
    </w:rPr>
  </w:style>
  <w:style w:type="paragraph" w:styleId="Footer">
    <w:name w:val="footer"/>
    <w:basedOn w:val="Normal"/>
    <w:link w:val="FooterChar"/>
    <w:uiPriority w:val="99"/>
    <w:unhideWhenUsed/>
    <w:rsid w:val="005642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426F"/>
    <w:rPr>
      <w:rFonts w:ascii="Calibri" w:hAnsi="Calibri" w:cs="Calibri"/>
      <w:lang w:val="en-US"/>
    </w:rPr>
  </w:style>
  <w:style w:type="character" w:styleId="PageNumber">
    <w:name w:val="page number"/>
    <w:basedOn w:val="DefaultParagraphFont"/>
    <w:uiPriority w:val="99"/>
    <w:semiHidden/>
    <w:unhideWhenUsed/>
    <w:rsid w:val="005642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10</Pages>
  <Words>1942</Words>
  <Characters>11072</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MyPC</dc:creator>
  <cp:keywords/>
  <dc:description/>
  <cp:lastModifiedBy>Lilian Catanoi (1705361)</cp:lastModifiedBy>
  <cp:revision>2</cp:revision>
  <dcterms:created xsi:type="dcterms:W3CDTF">2025-10-31T19:24:00Z</dcterms:created>
  <dcterms:modified xsi:type="dcterms:W3CDTF">2025-10-31T19:24:00Z</dcterms:modified>
</cp:coreProperties>
</file>