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masis MT Pro" w:hAnsi="Amasis MT Pro"/>
          <w:sz w:val="2"/>
        </w:rPr>
        <w:id w:val="-445783067"/>
        <w:docPartObj>
          <w:docPartGallery w:val="Cover Pages"/>
          <w:docPartUnique/>
        </w:docPartObj>
      </w:sdtPr>
      <w:sdtEndPr>
        <w:rPr>
          <w:rFonts w:eastAsiaTheme="minorHAnsi"/>
          <w:sz w:val="22"/>
        </w:rPr>
      </w:sdtEndPr>
      <w:sdtContent>
        <w:p w14:paraId="535C8912" w14:textId="7ECA78A7" w:rsidR="00261154" w:rsidRPr="00BB5D59" w:rsidRDefault="00261154" w:rsidP="00F32D18">
          <w:pPr>
            <w:pStyle w:val="Frspaiere"/>
            <w:rPr>
              <w:rFonts w:ascii="Amasis MT Pro" w:hAnsi="Amasis MT Pro"/>
              <w:sz w:val="2"/>
            </w:rPr>
          </w:pPr>
        </w:p>
        <w:p w14:paraId="6BB75609" w14:textId="77777777" w:rsidR="00F32D18" w:rsidRDefault="00BB5D59" w:rsidP="00F32D18">
          <w:pPr>
            <w:rPr>
              <w:rFonts w:ascii="Amasis MT Pro" w:hAnsi="Amasis MT Pro"/>
              <w:b/>
              <w:bCs/>
              <w:caps/>
              <w:color w:val="156082" w:themeColor="accent1"/>
              <w:sz w:val="40"/>
              <w:szCs w:val="40"/>
            </w:rPr>
          </w:pPr>
          <w:r w:rsidRPr="00BB5D59">
            <w:rPr>
              <w:rFonts w:ascii="Amasis MT Pro" w:hAnsi="Amasis MT Pro"/>
              <w:b/>
              <w:bCs/>
              <w:caps/>
              <w:color w:val="156082" w:themeColor="accent1"/>
              <w:sz w:val="40"/>
              <w:szCs w:val="40"/>
            </w:rPr>
            <w:t>Certificate of Higher Education in</w:t>
          </w:r>
          <w:r w:rsidRPr="00BB5D59">
            <w:rPr>
              <w:rFonts w:ascii="Amasis MT Pro" w:hAnsi="Amasis MT Pro"/>
              <w:b/>
              <w:bCs/>
              <w:caps/>
              <w:color w:val="156082" w:themeColor="accent1"/>
              <w:sz w:val="40"/>
              <w:szCs w:val="40"/>
            </w:rPr>
            <w:br/>
            <w:t>Employability Skills</w:t>
          </w:r>
        </w:p>
        <w:p w14:paraId="6101DEC5" w14:textId="77777777" w:rsidR="00F32D18" w:rsidRDefault="00BB5D59" w:rsidP="00F32D18">
          <w:pPr>
            <w:rPr>
              <w:rFonts w:ascii="Amasis MT Pro" w:hAnsi="Amasis MT Pro"/>
              <w:b/>
              <w:bCs/>
              <w:caps/>
              <w:color w:val="156082" w:themeColor="accent1"/>
              <w:sz w:val="40"/>
              <w:szCs w:val="40"/>
            </w:rPr>
          </w:pPr>
          <w:r w:rsidRPr="00BB5D59">
            <w:rPr>
              <w:rFonts w:ascii="Amasis MT Pro" w:hAnsi="Amasis MT Pro"/>
              <w:b/>
              <w:bCs/>
              <w:caps/>
              <w:color w:val="156082" w:themeColor="accent1"/>
              <w:sz w:val="40"/>
              <w:szCs w:val="40"/>
            </w:rPr>
            <w:br/>
            <w:t>LEVEL 4</w:t>
          </w:r>
        </w:p>
        <w:p w14:paraId="7417547F" w14:textId="77777777" w:rsidR="00F32D18" w:rsidRDefault="00BB5D59" w:rsidP="00F32D18">
          <w:pPr>
            <w:rPr>
              <w:rFonts w:ascii="Amasis MT Pro" w:hAnsi="Amasis MT Pro"/>
              <w:b/>
              <w:bCs/>
              <w:caps/>
              <w:color w:val="156082" w:themeColor="accent1"/>
              <w:sz w:val="40"/>
              <w:szCs w:val="40"/>
            </w:rPr>
          </w:pPr>
          <w:r w:rsidRPr="00BB5D59">
            <w:rPr>
              <w:rFonts w:ascii="Amasis MT Pro" w:hAnsi="Amasis MT Pro"/>
              <w:b/>
              <w:bCs/>
              <w:caps/>
              <w:color w:val="156082" w:themeColor="accent1"/>
              <w:sz w:val="40"/>
              <w:szCs w:val="40"/>
            </w:rPr>
            <w:br/>
            <w:t>Academic Skills for the Digital Era</w:t>
          </w:r>
          <w:r w:rsidRPr="00BB5D59">
            <w:rPr>
              <w:rFonts w:ascii="Amasis MT Pro" w:hAnsi="Amasis MT Pro"/>
              <w:b/>
              <w:bCs/>
              <w:caps/>
              <w:color w:val="156082" w:themeColor="accent1"/>
              <w:sz w:val="40"/>
              <w:szCs w:val="40"/>
            </w:rPr>
            <w:br/>
            <w:t>(BMSW4013)</w:t>
          </w:r>
        </w:p>
        <w:p w14:paraId="42F9AF13" w14:textId="520F71B4" w:rsidR="00F32D18" w:rsidRDefault="00BB5D59" w:rsidP="00F32D18">
          <w:pPr>
            <w:rPr>
              <w:rFonts w:ascii="Amasis MT Pro" w:hAnsi="Amasis MT Pro"/>
              <w:b/>
              <w:bCs/>
              <w:caps/>
              <w:color w:val="156082" w:themeColor="accent1"/>
              <w:sz w:val="40"/>
              <w:szCs w:val="40"/>
            </w:rPr>
          </w:pPr>
          <w:r w:rsidRPr="00BB5D59">
            <w:rPr>
              <w:rFonts w:ascii="Amasis MT Pro" w:hAnsi="Amasis MT Pro"/>
              <w:b/>
              <w:bCs/>
              <w:caps/>
              <w:color w:val="156082" w:themeColor="accent1"/>
              <w:sz w:val="40"/>
              <w:szCs w:val="40"/>
            </w:rPr>
            <w:br/>
            <w:t>Module Lead: Ffion Cumberpatch</w:t>
          </w:r>
          <w:r w:rsidRPr="00BB5D59">
            <w:rPr>
              <w:rFonts w:ascii="Amasis MT Pro" w:hAnsi="Amasis MT Pro"/>
              <w:b/>
              <w:bCs/>
              <w:caps/>
              <w:color w:val="156082" w:themeColor="accent1"/>
              <w:sz w:val="40"/>
              <w:szCs w:val="40"/>
            </w:rPr>
            <w:br/>
            <w:t xml:space="preserve">Email: </w:t>
          </w:r>
          <w:hyperlink r:id="rId5" w:history="1">
            <w:r w:rsidR="00F32D18" w:rsidRPr="00EF3939">
              <w:rPr>
                <w:rStyle w:val="Hyperlink"/>
                <w:rFonts w:ascii="Amasis MT Pro" w:hAnsi="Amasis MT Pro"/>
                <w:b/>
                <w:bCs/>
                <w:caps/>
                <w:sz w:val="40"/>
                <w:szCs w:val="40"/>
              </w:rPr>
              <w:t>F.cumberpatch@uwtsd.ac.uk</w:t>
            </w:r>
          </w:hyperlink>
        </w:p>
        <w:p w14:paraId="3691AC79" w14:textId="3E119123" w:rsidR="00BB5D59" w:rsidRPr="00BB5D59" w:rsidRDefault="00BB5D59" w:rsidP="00F32D18">
          <w:pPr>
            <w:rPr>
              <w:rFonts w:ascii="Amasis MT Pro" w:hAnsi="Amasis MT Pro"/>
              <w:b/>
              <w:bCs/>
              <w:caps/>
              <w:color w:val="156082" w:themeColor="accent1"/>
              <w:sz w:val="40"/>
              <w:szCs w:val="40"/>
            </w:rPr>
          </w:pPr>
          <w:r w:rsidRPr="00BB5D59">
            <w:rPr>
              <w:rFonts w:ascii="Amasis MT Pro" w:hAnsi="Amasis MT Pro"/>
              <w:b/>
              <w:bCs/>
              <w:caps/>
              <w:color w:val="156082" w:themeColor="accent1"/>
              <w:sz w:val="40"/>
              <w:szCs w:val="40"/>
            </w:rPr>
            <w:br/>
            <w:t>2024 - 2025</w:t>
          </w:r>
        </w:p>
        <w:p w14:paraId="05632CA6" w14:textId="1B2A1D47" w:rsidR="00261154" w:rsidRPr="00BB5D59" w:rsidRDefault="00261154" w:rsidP="00F32D18">
          <w:pPr>
            <w:rPr>
              <w:rFonts w:ascii="Amasis MT Pro" w:hAnsi="Amasis MT Pro"/>
            </w:rPr>
          </w:pPr>
        </w:p>
      </w:sdtContent>
    </w:sdt>
    <w:p w14:paraId="5498937E" w14:textId="77777777" w:rsidR="00BB5D59" w:rsidRPr="00BB5D59" w:rsidRDefault="00BB5D59" w:rsidP="00F32D18">
      <w:pPr>
        <w:ind w:left="-284" w:firstLine="284"/>
        <w:rPr>
          <w:rFonts w:ascii="Amasis MT Pro" w:hAnsi="Amasis MT Pro" w:cs="Arial"/>
          <w:b/>
          <w:bCs/>
          <w:sz w:val="24"/>
          <w:szCs w:val="24"/>
        </w:rPr>
      </w:pPr>
    </w:p>
    <w:p w14:paraId="6949AC7F" w14:textId="7E26A9B3" w:rsidR="00BB5D59" w:rsidRPr="00BB5D59" w:rsidRDefault="00BB5D59" w:rsidP="00F32D18">
      <w:pPr>
        <w:ind w:left="-284" w:firstLine="284"/>
        <w:rPr>
          <w:rFonts w:ascii="Amasis MT Pro" w:hAnsi="Amasis MT Pro" w:cs="Arial"/>
          <w:b/>
          <w:bCs/>
          <w:sz w:val="24"/>
          <w:szCs w:val="24"/>
        </w:rPr>
      </w:pPr>
    </w:p>
    <w:p w14:paraId="18CF5A25" w14:textId="4CF6ED36" w:rsidR="00BB5D59" w:rsidRDefault="00BB5D59" w:rsidP="00D66A8E">
      <w:pPr>
        <w:ind w:left="-284" w:firstLine="284"/>
        <w:jc w:val="both"/>
        <w:rPr>
          <w:rFonts w:ascii="Arial" w:hAnsi="Arial" w:cs="Arial"/>
          <w:b/>
          <w:bCs/>
          <w:sz w:val="24"/>
          <w:szCs w:val="24"/>
        </w:rPr>
      </w:pPr>
    </w:p>
    <w:p w14:paraId="5C557844" w14:textId="40285733" w:rsidR="00BB5D59" w:rsidRDefault="00BB5D59" w:rsidP="00D66A8E">
      <w:pPr>
        <w:ind w:left="-284" w:firstLine="284"/>
        <w:jc w:val="both"/>
        <w:rPr>
          <w:rFonts w:ascii="Arial" w:hAnsi="Arial" w:cs="Arial"/>
          <w:b/>
          <w:bCs/>
          <w:sz w:val="24"/>
          <w:szCs w:val="24"/>
        </w:rPr>
      </w:pPr>
    </w:p>
    <w:p w14:paraId="00A96969" w14:textId="52D0BB17" w:rsidR="00BB5D59" w:rsidRDefault="00BB5D59" w:rsidP="00D66A8E">
      <w:pPr>
        <w:ind w:left="-284" w:firstLine="284"/>
        <w:jc w:val="both"/>
        <w:rPr>
          <w:rFonts w:ascii="Arial" w:hAnsi="Arial" w:cs="Arial"/>
          <w:b/>
          <w:bCs/>
          <w:sz w:val="24"/>
          <w:szCs w:val="24"/>
        </w:rPr>
      </w:pPr>
    </w:p>
    <w:p w14:paraId="1BF42401" w14:textId="39B1DEB2" w:rsidR="00BB5D59" w:rsidRDefault="00F32D18" w:rsidP="00D66A8E">
      <w:pPr>
        <w:ind w:left="-284" w:firstLine="284"/>
        <w:jc w:val="both"/>
        <w:rPr>
          <w:rFonts w:ascii="Arial" w:hAnsi="Arial" w:cs="Arial"/>
          <w:b/>
          <w:bCs/>
          <w:sz w:val="24"/>
          <w:szCs w:val="24"/>
        </w:rPr>
      </w:pPr>
      <w:r w:rsidRPr="00BB5D59">
        <w:rPr>
          <w:rFonts w:ascii="Amasis MT Pro" w:hAnsi="Amasis MT Pro"/>
          <w:noProof/>
        </w:rPr>
        <mc:AlternateContent>
          <mc:Choice Requires="wps">
            <w:drawing>
              <wp:anchor distT="0" distB="0" distL="114300" distR="114300" simplePos="0" relativeHeight="251659264" behindDoc="0" locked="0" layoutInCell="1" allowOverlap="1" wp14:anchorId="5BEB5C26" wp14:editId="615417D0">
                <wp:simplePos x="0" y="0"/>
                <wp:positionH relativeFrom="page">
                  <wp:posOffset>674609</wp:posOffset>
                </wp:positionH>
                <wp:positionV relativeFrom="margin">
                  <wp:posOffset>6443724</wp:posOffset>
                </wp:positionV>
                <wp:extent cx="5943600" cy="374904"/>
                <wp:effectExtent l="0" t="0" r="0" b="2540"/>
                <wp:wrapNone/>
                <wp:docPr id="69" name="Casetă text 67"/>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C4E459" w14:textId="6B3DC3D9" w:rsidR="00F32D18" w:rsidRDefault="00F32D18" w:rsidP="00F32D18">
                            <w:pPr>
                              <w:pStyle w:val="Frspaiere"/>
                              <w:rPr>
                                <w:color w:val="156082" w:themeColor="accent1"/>
                                <w:sz w:val="36"/>
                                <w:szCs w:val="36"/>
                              </w:rPr>
                            </w:pPr>
                            <w:r w:rsidRPr="00F32D18">
                              <w:rPr>
                                <w:color w:val="156082" w:themeColor="accent1"/>
                                <w:sz w:val="36"/>
                                <w:szCs w:val="36"/>
                              </w:rPr>
                              <w:t>Dumitru Alexandru Gheorghe</w:t>
                            </w:r>
                          </w:p>
                          <w:p w14:paraId="78ADDF84" w14:textId="77B92B73" w:rsidR="00261154" w:rsidRDefault="00F32D18" w:rsidP="00F32D18">
                            <w:pPr>
                              <w:pStyle w:val="Frspaiere"/>
                              <w:rPr>
                                <w:color w:val="156082" w:themeColor="accent1"/>
                                <w:sz w:val="36"/>
                                <w:szCs w:val="36"/>
                              </w:rPr>
                            </w:pPr>
                            <w:sdt>
                              <w:sdtPr>
                                <w:rPr>
                                  <w:color w:val="156082" w:themeColor="accent1"/>
                                  <w:sz w:val="36"/>
                                  <w:szCs w:val="36"/>
                                </w:rPr>
                                <w:alias w:val="Școală"/>
                                <w:tag w:val="Școală"/>
                                <w:id w:val="1850680582"/>
                                <w:dataBinding w:prefixMappings="xmlns:ns0='http://schemas.openxmlformats.org/officeDocument/2006/extended-properties' " w:xpath="/ns0:Properties[1]/ns0:Company[1]" w:storeItemID="{6668398D-A668-4E3E-A5EB-62B293D839F1}"/>
                                <w:text/>
                              </w:sdtPr>
                              <w:sdtContent>
                                <w:r w:rsidRPr="00F32D18">
                                  <w:rPr>
                                    <w:color w:val="156082" w:themeColor="accent1"/>
                                    <w:sz w:val="36"/>
                                    <w:szCs w:val="36"/>
                                  </w:rPr>
                                  <w:t>student id:2422619</w:t>
                                </w:r>
                              </w:sdtContent>
                            </w:sdt>
                          </w:p>
                          <w:sdt>
                            <w:sdtPr>
                              <w:rPr>
                                <w:color w:val="156082" w:themeColor="accent1"/>
                                <w:sz w:val="36"/>
                                <w:szCs w:val="36"/>
                              </w:rPr>
                              <w:alias w:val="Curs"/>
                              <w:tag w:val="Curs"/>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4164CEC1" w14:textId="26108A56" w:rsidR="00261154" w:rsidRDefault="00F32D18">
                                <w:pPr>
                                  <w:pStyle w:val="Frspaiere"/>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BEB5C26" id="_x0000_t202" coordsize="21600,21600" o:spt="202" path="m,l,21600r21600,l21600,xe">
                <v:stroke joinstyle="miter"/>
                <v:path gradientshapeok="t" o:connecttype="rect"/>
              </v:shapetype>
              <v:shape id="Casetă text 67" o:spid="_x0000_s1026" type="#_x0000_t202" style="position:absolute;left:0;text-align:left;margin-left:53.1pt;margin-top:507.4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" filled="f" stroked="f" strokeweight=".5pt">
                <v:textbox style="mso-fit-shape-to-text:t" inset="0,0,0,0">
                  <w:txbxContent>
                    <w:p w14:paraId="15C4E459" w14:textId="6B3DC3D9" w:rsidR="00F32D18" w:rsidRDefault="00F32D18" w:rsidP="00F32D18">
                      <w:pPr>
                        <w:pStyle w:val="Frspaiere"/>
                        <w:rPr>
                          <w:color w:val="156082" w:themeColor="accent1"/>
                          <w:sz w:val="36"/>
                          <w:szCs w:val="36"/>
                        </w:rPr>
                      </w:pPr>
                      <w:r w:rsidRPr="00F32D18">
                        <w:rPr>
                          <w:color w:val="156082" w:themeColor="accent1"/>
                          <w:sz w:val="36"/>
                          <w:szCs w:val="36"/>
                        </w:rPr>
                        <w:t>Dumitru Alexandru Gheorghe</w:t>
                      </w:r>
                    </w:p>
                    <w:p w14:paraId="78ADDF84" w14:textId="77B92B73" w:rsidR="00261154" w:rsidRDefault="00F32D18" w:rsidP="00F32D18">
                      <w:pPr>
                        <w:pStyle w:val="Frspaiere"/>
                        <w:rPr>
                          <w:color w:val="156082" w:themeColor="accent1"/>
                          <w:sz w:val="36"/>
                          <w:szCs w:val="36"/>
                        </w:rPr>
                      </w:pPr>
                      <w:sdt>
                        <w:sdtPr>
                          <w:rPr>
                            <w:color w:val="156082" w:themeColor="accent1"/>
                            <w:sz w:val="36"/>
                            <w:szCs w:val="36"/>
                          </w:rPr>
                          <w:alias w:val="Școală"/>
                          <w:tag w:val="Școală"/>
                          <w:id w:val="1850680582"/>
                          <w:dataBinding w:prefixMappings="xmlns:ns0='http://schemas.openxmlformats.org/officeDocument/2006/extended-properties' " w:xpath="/ns0:Properties[1]/ns0:Company[1]" w:storeItemID="{6668398D-A668-4E3E-A5EB-62B293D839F1}"/>
                          <w:text/>
                        </w:sdtPr>
                        <w:sdtContent>
                          <w:r w:rsidRPr="00F32D18">
                            <w:rPr>
                              <w:color w:val="156082" w:themeColor="accent1"/>
                              <w:sz w:val="36"/>
                              <w:szCs w:val="36"/>
                            </w:rPr>
                            <w:t>student id:2422619</w:t>
                          </w:r>
                        </w:sdtContent>
                      </w:sdt>
                    </w:p>
                    <w:sdt>
                      <w:sdtPr>
                        <w:rPr>
                          <w:color w:val="156082" w:themeColor="accent1"/>
                          <w:sz w:val="36"/>
                          <w:szCs w:val="36"/>
                        </w:rPr>
                        <w:alias w:val="Curs"/>
                        <w:tag w:val="Curs"/>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4164CEC1" w14:textId="26108A56" w:rsidR="00261154" w:rsidRDefault="00F32D18">
                          <w:pPr>
                            <w:pStyle w:val="Frspaiere"/>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p>
    <w:p w14:paraId="68CA2F4E" w14:textId="73488F39" w:rsidR="00BB5D59" w:rsidRDefault="00BB5D59" w:rsidP="00D66A8E">
      <w:pPr>
        <w:ind w:left="-284" w:firstLine="284"/>
        <w:jc w:val="both"/>
        <w:rPr>
          <w:rFonts w:ascii="Arial" w:hAnsi="Arial" w:cs="Arial"/>
          <w:b/>
          <w:bCs/>
          <w:sz w:val="24"/>
          <w:szCs w:val="24"/>
        </w:rPr>
      </w:pPr>
    </w:p>
    <w:p w14:paraId="35449723" w14:textId="08FB89B3" w:rsidR="00BB5D59" w:rsidRDefault="00BB5D59" w:rsidP="00D66A8E">
      <w:pPr>
        <w:ind w:left="-284" w:firstLine="284"/>
        <w:jc w:val="both"/>
        <w:rPr>
          <w:rFonts w:ascii="Arial" w:hAnsi="Arial" w:cs="Arial"/>
          <w:b/>
          <w:bCs/>
          <w:sz w:val="24"/>
          <w:szCs w:val="24"/>
        </w:rPr>
      </w:pPr>
    </w:p>
    <w:p w14:paraId="408055E9" w14:textId="55A46D02" w:rsidR="00BB5D59" w:rsidRDefault="00BB5D59" w:rsidP="00D66A8E">
      <w:pPr>
        <w:ind w:left="-284" w:firstLine="284"/>
        <w:jc w:val="both"/>
        <w:rPr>
          <w:rFonts w:ascii="Arial" w:hAnsi="Arial" w:cs="Arial"/>
          <w:b/>
          <w:bCs/>
          <w:sz w:val="24"/>
          <w:szCs w:val="24"/>
        </w:rPr>
      </w:pPr>
    </w:p>
    <w:p w14:paraId="6359FD98" w14:textId="7ABFA6F9" w:rsidR="00BB5D59" w:rsidRDefault="00BB5D59" w:rsidP="00D66A8E">
      <w:pPr>
        <w:ind w:left="-284" w:firstLine="284"/>
        <w:jc w:val="both"/>
        <w:rPr>
          <w:rFonts w:ascii="Arial" w:hAnsi="Arial" w:cs="Arial"/>
          <w:b/>
          <w:bCs/>
          <w:sz w:val="24"/>
          <w:szCs w:val="24"/>
        </w:rPr>
      </w:pPr>
    </w:p>
    <w:p w14:paraId="77009FFA" w14:textId="1C78AB0D" w:rsidR="00BB5D59" w:rsidRDefault="00BB5D59" w:rsidP="00D66A8E">
      <w:pPr>
        <w:ind w:left="-284" w:firstLine="284"/>
        <w:jc w:val="both"/>
        <w:rPr>
          <w:rFonts w:ascii="Arial" w:hAnsi="Arial" w:cs="Arial"/>
          <w:b/>
          <w:bCs/>
          <w:sz w:val="24"/>
          <w:szCs w:val="24"/>
        </w:rPr>
      </w:pPr>
    </w:p>
    <w:p w14:paraId="007103FB" w14:textId="77777777" w:rsidR="00BB5D59" w:rsidRDefault="00BB5D59" w:rsidP="00D66A8E">
      <w:pPr>
        <w:ind w:left="-284" w:firstLine="284"/>
        <w:jc w:val="both"/>
        <w:rPr>
          <w:rFonts w:ascii="Arial" w:hAnsi="Arial" w:cs="Arial"/>
          <w:b/>
          <w:bCs/>
          <w:sz w:val="24"/>
          <w:szCs w:val="24"/>
        </w:rPr>
      </w:pPr>
    </w:p>
    <w:p w14:paraId="7A92C0CE" w14:textId="7946795E" w:rsidR="00BB5D59" w:rsidRDefault="00BB5D59" w:rsidP="00BB5D59">
      <w:pPr>
        <w:tabs>
          <w:tab w:val="left" w:pos="8079"/>
        </w:tabs>
        <w:ind w:left="-284" w:firstLine="284"/>
        <w:jc w:val="both"/>
        <w:rPr>
          <w:rFonts w:ascii="Arial" w:hAnsi="Arial" w:cs="Arial"/>
          <w:b/>
          <w:bCs/>
          <w:sz w:val="24"/>
          <w:szCs w:val="24"/>
        </w:rPr>
      </w:pPr>
      <w:r>
        <w:rPr>
          <w:rFonts w:ascii="Arial" w:hAnsi="Arial" w:cs="Arial"/>
          <w:b/>
          <w:bCs/>
          <w:sz w:val="24"/>
          <w:szCs w:val="24"/>
        </w:rPr>
        <w:tab/>
      </w:r>
    </w:p>
    <w:p w14:paraId="2AA9CDDB" w14:textId="77777777" w:rsidR="00F32D18" w:rsidRDefault="00F32D18" w:rsidP="00F32D18">
      <w:pPr>
        <w:tabs>
          <w:tab w:val="left" w:pos="5797"/>
        </w:tabs>
        <w:jc w:val="both"/>
        <w:rPr>
          <w:rFonts w:ascii="Arial" w:hAnsi="Arial" w:cs="Arial"/>
          <w:b/>
          <w:bCs/>
          <w:sz w:val="24"/>
          <w:szCs w:val="24"/>
        </w:rPr>
      </w:pPr>
    </w:p>
    <w:p w14:paraId="00F3AEAF" w14:textId="346C0F9A" w:rsidR="00F32D18" w:rsidRDefault="00F32D18" w:rsidP="00F32D18">
      <w:pPr>
        <w:tabs>
          <w:tab w:val="left" w:pos="5797"/>
        </w:tabs>
        <w:jc w:val="both"/>
        <w:rPr>
          <w:rFonts w:ascii="Arial" w:hAnsi="Arial" w:cs="Arial"/>
          <w:b/>
          <w:bCs/>
          <w:sz w:val="24"/>
          <w:szCs w:val="24"/>
        </w:rPr>
      </w:pPr>
      <w:r>
        <w:rPr>
          <w:rFonts w:ascii="Arial" w:hAnsi="Arial" w:cs="Arial"/>
          <w:b/>
          <w:bCs/>
          <w:sz w:val="24"/>
          <w:szCs w:val="24"/>
        </w:rPr>
        <w:lastRenderedPageBreak/>
        <w:t xml:space="preserve">Dr.Hart case study </w:t>
      </w:r>
    </w:p>
    <w:p w14:paraId="2BD9EBA6" w14:textId="77777777" w:rsidR="00F32D18" w:rsidRDefault="00F32D18" w:rsidP="00F32D18">
      <w:pPr>
        <w:tabs>
          <w:tab w:val="left" w:pos="5797"/>
        </w:tabs>
        <w:jc w:val="both"/>
        <w:rPr>
          <w:rFonts w:ascii="Arial" w:hAnsi="Arial" w:cs="Arial"/>
          <w:b/>
          <w:bCs/>
          <w:sz w:val="24"/>
          <w:szCs w:val="24"/>
        </w:rPr>
      </w:pPr>
    </w:p>
    <w:p w14:paraId="5331778F" w14:textId="3B8F3BBE" w:rsidR="00D66A8E" w:rsidRPr="00F32D18" w:rsidRDefault="00D66A8E" w:rsidP="00F32D18">
      <w:pPr>
        <w:tabs>
          <w:tab w:val="left" w:pos="5797"/>
        </w:tabs>
        <w:jc w:val="both"/>
        <w:rPr>
          <w:rFonts w:ascii="Arial" w:hAnsi="Arial" w:cs="Arial"/>
          <w:b/>
          <w:bCs/>
          <w:sz w:val="24"/>
          <w:szCs w:val="24"/>
        </w:rPr>
      </w:pPr>
      <w:r w:rsidRPr="00D66A8E">
        <w:rPr>
          <w:rFonts w:ascii="Arial" w:hAnsi="Arial" w:cs="Arial"/>
          <w:b/>
          <w:bCs/>
          <w:sz w:val="24"/>
          <w:szCs w:val="24"/>
        </w:rPr>
        <w:t>Executive Summary</w:t>
      </w:r>
      <w:r w:rsidRPr="00D66A8E">
        <w:rPr>
          <w:rFonts w:ascii="Arial" w:hAnsi="Arial" w:cs="Arial"/>
          <w:sz w:val="24"/>
          <w:szCs w:val="24"/>
        </w:rPr>
        <w:t xml:space="preserve">; </w:t>
      </w:r>
      <w:r w:rsidRPr="00D66A8E">
        <w:rPr>
          <w:rFonts w:ascii="Arial" w:hAnsi="Arial" w:cs="Arial"/>
          <w:sz w:val="24"/>
          <w:szCs w:val="24"/>
        </w:rPr>
        <w:t xml:space="preserve"> </w:t>
      </w:r>
      <w:r w:rsidRPr="00D66A8E">
        <w:rPr>
          <w:rFonts w:ascii="Arial" w:hAnsi="Arial" w:cs="Arial"/>
          <w:sz w:val="24"/>
          <w:szCs w:val="24"/>
        </w:rPr>
        <w:t>also known as</w:t>
      </w:r>
    </w:p>
    <w:p w14:paraId="677B4BA0" w14:textId="77777777" w:rsidR="00D66A8E" w:rsidRDefault="00D66A8E" w:rsidP="00D66A8E">
      <w:pPr>
        <w:ind w:left="-284" w:firstLine="284"/>
        <w:jc w:val="both"/>
        <w:rPr>
          <w:rFonts w:ascii="Arial" w:hAnsi="Arial" w:cs="Arial"/>
          <w:sz w:val="24"/>
          <w:szCs w:val="24"/>
        </w:rPr>
      </w:pPr>
      <w:r w:rsidRPr="00D66A8E">
        <w:rPr>
          <w:rFonts w:ascii="Arial" w:hAnsi="Arial" w:cs="Arial"/>
          <w:sz w:val="24"/>
          <w:szCs w:val="24"/>
        </w:rPr>
        <w:t>This paper looks at the enigmatic disappearance of Senior Artificial Intelligence and Robotics Engineer Dr. Dana Hart of SynTech Labs. Expert in artificial intelligence ethics, Dr. Hart had voiced worries on the way AI was being used in systems of decision-making. The paper looks at her ethical conundrums, career background, likely reasons for her disappearance, and suggestions for more inquiry. Among the theories are those of occupational demands, safety issues, and possible outside hazards. Considered all through the study are ethical rules and intellectual criteria.</w:t>
      </w:r>
    </w:p>
    <w:p w14:paraId="16AEBB7A" w14:textId="77777777" w:rsidR="00D66A8E" w:rsidRDefault="00D66A8E" w:rsidP="00D66A8E">
      <w:pPr>
        <w:ind w:left="-284" w:firstLine="284"/>
        <w:jc w:val="both"/>
        <w:rPr>
          <w:rFonts w:ascii="Arial" w:hAnsi="Arial" w:cs="Arial"/>
          <w:sz w:val="24"/>
          <w:szCs w:val="24"/>
        </w:rPr>
      </w:pPr>
      <w:r w:rsidRPr="00D66A8E">
        <w:rPr>
          <w:rFonts w:ascii="Arial" w:hAnsi="Arial" w:cs="Arial"/>
          <w:b/>
          <w:bCs/>
          <w:sz w:val="24"/>
          <w:szCs w:val="24"/>
          <w:u w:val="single"/>
        </w:rPr>
        <w:t>Abstract.</w:t>
      </w:r>
    </w:p>
    <w:p w14:paraId="1255CC60" w14:textId="77777777" w:rsidR="00D66A8E" w:rsidRDefault="00D66A8E" w:rsidP="00D66A8E">
      <w:pPr>
        <w:ind w:left="-284" w:firstLine="284"/>
        <w:jc w:val="both"/>
        <w:rPr>
          <w:rFonts w:ascii="Arial" w:hAnsi="Arial" w:cs="Arial"/>
          <w:sz w:val="24"/>
          <w:szCs w:val="24"/>
        </w:rPr>
      </w:pPr>
      <w:r w:rsidRPr="00D66A8E">
        <w:rPr>
          <w:rFonts w:ascii="Arial" w:hAnsi="Arial" w:cs="Arial"/>
          <w:sz w:val="24"/>
          <w:szCs w:val="24"/>
        </w:rPr>
        <w:t>Artificial intelligence (AI) is transforming decision-making in many important fields, but its application begs major ethical questions. Examining Dr. Dana Hart's disappearance through the prism of AI ethics, with an eye towards hazards including dual-use dangers, accountability, and bias (O'Neil, 2016), This paper offers an examination of her studies, the events around her disappearance, and likely reasons. The results imply that researchers in artificial intelligence ethics could be at great danger and need for more robust protective policies.</w:t>
      </w:r>
    </w:p>
    <w:p w14:paraId="0DD9A123" w14:textId="77777777" w:rsidR="00D66A8E" w:rsidRDefault="00D66A8E" w:rsidP="00D66A8E">
      <w:pPr>
        <w:ind w:left="-284" w:firstLine="284"/>
        <w:jc w:val="both"/>
        <w:rPr>
          <w:rFonts w:ascii="Arial" w:hAnsi="Arial" w:cs="Arial"/>
          <w:sz w:val="24"/>
          <w:szCs w:val="24"/>
        </w:rPr>
      </w:pPr>
      <w:r w:rsidRPr="00D66A8E">
        <w:rPr>
          <w:rFonts w:ascii="Arial" w:hAnsi="Arial" w:cs="Arial"/>
          <w:b/>
          <w:bCs/>
          <w:sz w:val="24"/>
          <w:szCs w:val="24"/>
          <w:u w:val="single"/>
        </w:rPr>
        <w:t xml:space="preserve">Introduction </w:t>
      </w:r>
    </w:p>
    <w:p w14:paraId="315116A3" w14:textId="6A6DB585" w:rsidR="00D66A8E" w:rsidRPr="00D66A8E" w:rsidRDefault="00D66A8E" w:rsidP="00D66A8E">
      <w:pPr>
        <w:ind w:left="-284" w:firstLine="284"/>
        <w:jc w:val="both"/>
        <w:rPr>
          <w:rFonts w:ascii="Arial" w:hAnsi="Arial" w:cs="Arial"/>
          <w:sz w:val="24"/>
          <w:szCs w:val="24"/>
        </w:rPr>
      </w:pPr>
      <w:r w:rsidRPr="00D66A8E">
        <w:rPr>
          <w:rFonts w:ascii="Arial" w:hAnsi="Arial" w:cs="Arial"/>
          <w:sz w:val="24"/>
          <w:szCs w:val="24"/>
        </w:rPr>
        <w:t>Leading authority in artificial intelligence ethics, Dr. Dana Hart concentrated especially on the dangers of AI decision-making in high-stakes situations. Her studies exposed the possible risks of AI bias (O'Neil, 2016), lack of responsibility (Crawford, 2021), and its dual-use character in military and surveillance uses. Dr. Hart had expressed ethical questions about the use of artificial intelligence before she vanished, thereby maybe putting her in danger. This paper looks at her disappearance's likely causes as well as more general consequences for AI ethics.</w:t>
      </w:r>
    </w:p>
    <w:p w14:paraId="77C48731" w14:textId="77777777" w:rsidR="00D66A8E" w:rsidRPr="00105ECB" w:rsidRDefault="00D66A8E" w:rsidP="00D66A8E">
      <w:pPr>
        <w:ind w:hanging="284"/>
        <w:jc w:val="both"/>
        <w:rPr>
          <w:rFonts w:ascii="Arial" w:hAnsi="Arial" w:cs="Arial"/>
          <w:b/>
          <w:bCs/>
          <w:sz w:val="24"/>
          <w:szCs w:val="24"/>
          <w:u w:val="single"/>
        </w:rPr>
      </w:pPr>
      <w:r w:rsidRPr="00105ECB">
        <w:rPr>
          <w:rFonts w:ascii="Arial" w:hAnsi="Arial" w:cs="Arial"/>
          <w:b/>
          <w:bCs/>
          <w:sz w:val="24"/>
          <w:szCs w:val="24"/>
          <w:u w:val="single"/>
        </w:rPr>
        <w:t>The Ethical Risks</w:t>
      </w:r>
    </w:p>
    <w:p w14:paraId="7DA398DB" w14:textId="1F2B036D" w:rsidR="00D66A8E" w:rsidRPr="00D66A8E" w:rsidRDefault="00D66A8E" w:rsidP="00D66A8E">
      <w:pPr>
        <w:ind w:left="-284"/>
        <w:jc w:val="both"/>
        <w:rPr>
          <w:rFonts w:ascii="Arial" w:hAnsi="Arial" w:cs="Arial"/>
          <w:b/>
          <w:bCs/>
          <w:sz w:val="24"/>
          <w:szCs w:val="24"/>
          <w:u w:val="single"/>
        </w:rPr>
      </w:pPr>
      <w:r w:rsidRPr="00105ECB">
        <w:rPr>
          <w:rFonts w:ascii="Arial" w:hAnsi="Arial" w:cs="Arial"/>
          <w:b/>
          <w:bCs/>
          <w:sz w:val="24"/>
          <w:szCs w:val="24"/>
          <w:u w:val="single"/>
        </w:rPr>
        <w:t>Bias and Fairness</w:t>
      </w:r>
      <w:r>
        <w:rPr>
          <w:rFonts w:ascii="Arial" w:hAnsi="Arial" w:cs="Arial"/>
          <w:b/>
          <w:bCs/>
          <w:sz w:val="24"/>
          <w:szCs w:val="24"/>
          <w:u w:val="single"/>
        </w:rPr>
        <w:t xml:space="preserve"> </w:t>
      </w:r>
      <w:r w:rsidRPr="00D66A8E">
        <w:rPr>
          <w:rFonts w:ascii="Arial" w:hAnsi="Arial" w:cs="Arial"/>
          <w:sz w:val="24"/>
          <w:szCs w:val="24"/>
        </w:rPr>
        <w:t>Because of their training data, artificial intelligence systems have prejudices that provide discriminating results. Research by Dr. Hart underlined that in predictive policing, biassed datasets disproportionately target underprivileged populations, therefore perpetuating systematic inequities. Should she try to reveal such problems, she could have encountered strong resistance (O'Neil, 2016).</w:t>
      </w:r>
    </w:p>
    <w:p w14:paraId="6B807158" w14:textId="4E6954B5" w:rsidR="00D66A8E" w:rsidRPr="00D66A8E" w:rsidRDefault="00D66A8E" w:rsidP="00D66A8E">
      <w:pPr>
        <w:ind w:left="-284"/>
        <w:jc w:val="both"/>
        <w:rPr>
          <w:rFonts w:ascii="Arial" w:hAnsi="Arial" w:cs="Arial"/>
          <w:b/>
          <w:bCs/>
          <w:sz w:val="24"/>
          <w:szCs w:val="24"/>
          <w:u w:val="single"/>
        </w:rPr>
      </w:pPr>
      <w:r w:rsidRPr="00105ECB">
        <w:rPr>
          <w:rFonts w:ascii="Arial" w:hAnsi="Arial" w:cs="Arial"/>
          <w:b/>
          <w:bCs/>
          <w:sz w:val="24"/>
          <w:szCs w:val="24"/>
          <w:u w:val="single"/>
        </w:rPr>
        <w:t>Accountability and Responsibility</w:t>
      </w:r>
      <w:r>
        <w:rPr>
          <w:rFonts w:ascii="Arial" w:hAnsi="Arial" w:cs="Arial"/>
          <w:b/>
          <w:bCs/>
          <w:sz w:val="24"/>
          <w:szCs w:val="24"/>
          <w:u w:val="single"/>
        </w:rPr>
        <w:t xml:space="preserve"> </w:t>
      </w:r>
      <w:r w:rsidRPr="00D66A8E">
        <w:rPr>
          <w:rFonts w:ascii="Arial" w:hAnsi="Arial" w:cs="Arial"/>
          <w:sz w:val="24"/>
          <w:szCs w:val="24"/>
        </w:rPr>
        <w:t>Commonly referred to as the "black box," the opacity of artificial intelligence decision-making makes it challenging to assign accountability when systems fall short. In security and military artificial intelligence applications especially, where responsibility for life-altering decisions is vital (Crawford, 2021), this is very alarming. Dr. Hart promoted explainability in artificial intelligence, which would have run counter to corporate or political agendas.</w:t>
      </w:r>
    </w:p>
    <w:p w14:paraId="6AC87A2F" w14:textId="77777777" w:rsidR="00D66A8E" w:rsidRDefault="00D66A8E" w:rsidP="00D66A8E">
      <w:pPr>
        <w:ind w:left="-284"/>
        <w:jc w:val="both"/>
        <w:rPr>
          <w:rFonts w:ascii="Arial" w:hAnsi="Arial" w:cs="Arial"/>
          <w:b/>
          <w:bCs/>
          <w:sz w:val="24"/>
          <w:szCs w:val="24"/>
          <w:u w:val="single"/>
        </w:rPr>
      </w:pPr>
      <w:r w:rsidRPr="00105ECB">
        <w:rPr>
          <w:rFonts w:ascii="Arial" w:hAnsi="Arial" w:cs="Arial"/>
          <w:b/>
          <w:bCs/>
          <w:sz w:val="24"/>
          <w:szCs w:val="24"/>
          <w:u w:val="single"/>
        </w:rPr>
        <w:t>Misuse and Dual-Use Risks</w:t>
      </w:r>
    </w:p>
    <w:p w14:paraId="43F9E58F" w14:textId="39E39499" w:rsidR="00D66A8E" w:rsidRPr="00D66A8E" w:rsidRDefault="00D66A8E" w:rsidP="00D66A8E">
      <w:pPr>
        <w:ind w:left="-284"/>
        <w:jc w:val="both"/>
        <w:rPr>
          <w:rFonts w:ascii="Arial" w:hAnsi="Arial" w:cs="Arial"/>
          <w:b/>
          <w:bCs/>
          <w:sz w:val="24"/>
          <w:szCs w:val="24"/>
          <w:u w:val="single"/>
        </w:rPr>
      </w:pPr>
      <w:r w:rsidRPr="00D66A8E">
        <w:rPr>
          <w:rFonts w:ascii="Arial" w:hAnsi="Arial" w:cs="Arial"/>
          <w:sz w:val="24"/>
          <w:szCs w:val="24"/>
        </w:rPr>
        <w:t>Artificial intelligence can be used for good as well as bad. In cybersecurity, for instance, algorithms meant for threat detection might be turned towards cyberwarfare. Dr. Hart is a possible target for organisations profiting from unchecked AI developments since her most recent studies concentrated on avoiding such dual-use hazards.</w:t>
      </w:r>
    </w:p>
    <w:p w14:paraId="2236F646" w14:textId="77777777" w:rsidR="00D66A8E" w:rsidRPr="00D66A8E" w:rsidRDefault="00D66A8E" w:rsidP="00D66A8E">
      <w:pPr>
        <w:rPr>
          <w:rFonts w:ascii="Arial" w:hAnsi="Arial" w:cs="Arial"/>
          <w:b/>
          <w:bCs/>
          <w:sz w:val="24"/>
          <w:szCs w:val="24"/>
          <w:u w:val="single"/>
        </w:rPr>
      </w:pPr>
      <w:r w:rsidRPr="00105ECB">
        <w:rPr>
          <w:rFonts w:ascii="Arial" w:hAnsi="Arial" w:cs="Arial"/>
          <w:b/>
          <w:bCs/>
          <w:sz w:val="24"/>
          <w:szCs w:val="24"/>
          <w:u w:val="single"/>
        </w:rPr>
        <w:t>Mitigating Ethical Risks</w:t>
      </w:r>
    </w:p>
    <w:p w14:paraId="099C468C" w14:textId="4DE3CE0B" w:rsidR="00D66A8E" w:rsidRPr="00D66A8E" w:rsidRDefault="00D66A8E" w:rsidP="00D66A8E">
      <w:pPr>
        <w:jc w:val="both"/>
        <w:rPr>
          <w:rFonts w:ascii="Arial" w:hAnsi="Arial" w:cs="Arial"/>
          <w:sz w:val="24"/>
          <w:szCs w:val="24"/>
        </w:rPr>
      </w:pPr>
      <w:r w:rsidRPr="00D66A8E">
        <w:rPr>
          <w:rFonts w:ascii="Arial" w:hAnsi="Arial" w:cs="Arial"/>
          <w:sz w:val="24"/>
          <w:szCs w:val="24"/>
        </w:rPr>
        <w:t>Dr. Hart suggested a thorough ethical framework combining these hazards that addresses:</w:t>
      </w:r>
    </w:p>
    <w:p w14:paraId="6F5C19B8" w14:textId="319BD842" w:rsidR="00D66A8E" w:rsidRPr="00D66A8E" w:rsidRDefault="00D66A8E" w:rsidP="00D66A8E">
      <w:pPr>
        <w:jc w:val="both"/>
        <w:rPr>
          <w:rFonts w:ascii="Arial" w:hAnsi="Arial" w:cs="Arial"/>
          <w:b/>
          <w:bCs/>
          <w:sz w:val="24"/>
          <w:szCs w:val="24"/>
        </w:rPr>
      </w:pPr>
      <w:r w:rsidRPr="00D66A8E">
        <w:rPr>
          <w:rFonts w:ascii="Arial" w:hAnsi="Arial" w:cs="Arial"/>
          <w:b/>
          <w:bCs/>
          <w:sz w:val="24"/>
          <w:szCs w:val="24"/>
        </w:rPr>
        <w:t xml:space="preserve">Transparency </w:t>
      </w:r>
    </w:p>
    <w:p w14:paraId="7DEA880B" w14:textId="2B4E18F2" w:rsidR="00D66A8E" w:rsidRPr="00D66A8E" w:rsidRDefault="00D66A8E" w:rsidP="00D66A8E">
      <w:pPr>
        <w:jc w:val="both"/>
        <w:rPr>
          <w:rFonts w:ascii="Arial" w:hAnsi="Arial" w:cs="Arial"/>
          <w:sz w:val="24"/>
          <w:szCs w:val="24"/>
        </w:rPr>
      </w:pPr>
      <w:r w:rsidRPr="00D66A8E">
        <w:rPr>
          <w:rFonts w:ascii="Arial" w:hAnsi="Arial" w:cs="Arial"/>
          <w:sz w:val="24"/>
          <w:szCs w:val="24"/>
        </w:rPr>
        <w:t>Clear records of development and application for artificial intelligence systems will help to support responsibility and scrutiny. Transparency guarantees that artificial intelligence systems can be audited, so helping to find mistakes and biases before they start to do damage (Crawford, 2021). Companies should offer thorough analyses of their models' performance, data usage, and decision-making processes. By guaranteeing ethical compliance and thereby lowering the possibility of hidden manipulations or unexpected repercussions, transparency also promotes trust among stakeholders—including the public, authorities, and artificial intelligence developers—by means of which ethical compliance is achieved.</w:t>
      </w:r>
    </w:p>
    <w:p w14:paraId="2972165E" w14:textId="69FB7EE0" w:rsidR="00D66A8E" w:rsidRPr="00D66A8E" w:rsidRDefault="00D66A8E" w:rsidP="00D66A8E">
      <w:pPr>
        <w:jc w:val="both"/>
        <w:rPr>
          <w:rFonts w:ascii="Arial" w:hAnsi="Arial" w:cs="Arial"/>
          <w:sz w:val="24"/>
          <w:szCs w:val="24"/>
        </w:rPr>
      </w:pPr>
      <w:r w:rsidRPr="00D66A8E">
        <w:rPr>
          <w:rFonts w:ascii="Arial" w:hAnsi="Arial" w:cs="Arial"/>
          <w:sz w:val="24"/>
          <w:szCs w:val="24"/>
        </w:rPr>
        <w:t xml:space="preserve">• </w:t>
      </w:r>
      <w:r w:rsidRPr="00105ECB">
        <w:rPr>
          <w:rFonts w:ascii="Arial" w:hAnsi="Arial" w:cs="Arial"/>
          <w:b/>
          <w:bCs/>
          <w:sz w:val="24"/>
          <w:szCs w:val="24"/>
          <w:u w:val="single"/>
        </w:rPr>
        <w:t>Human Oversight:</w:t>
      </w:r>
    </w:p>
    <w:p w14:paraId="4FD4AC10" w14:textId="630E0120" w:rsidR="00D66A8E" w:rsidRPr="00D66A8E" w:rsidRDefault="00D66A8E" w:rsidP="00D66A8E">
      <w:pPr>
        <w:jc w:val="both"/>
        <w:rPr>
          <w:rFonts w:ascii="Arial" w:hAnsi="Arial" w:cs="Arial"/>
          <w:sz w:val="24"/>
          <w:szCs w:val="24"/>
        </w:rPr>
      </w:pPr>
      <w:r w:rsidRPr="00D66A8E">
        <w:rPr>
          <w:rFonts w:ascii="Arial" w:hAnsi="Arial" w:cs="Arial"/>
          <w:sz w:val="24"/>
          <w:szCs w:val="24"/>
        </w:rPr>
        <w:t>Ensuring human-in---the-loop models to stop artificial intelligence from acting autonomously ethically. High-stakes decision-making situations including healthcare, criminal justice, and military applications (Bostrom, 2014) depend on human monitoring. Including human judgement in the last decision-making process helps companies to reduce AI-related risks, handle unanticipated ethical issues, and apply moral reasoning outside of algorithmic logic. Further improving responsibility and safety are regular audits and feedback loops between artificial intelligence systems and human supervisors (IEEE, 2020).</w:t>
      </w:r>
    </w:p>
    <w:p w14:paraId="2CD9B55C" w14:textId="27B7A2B5" w:rsidR="00D66A8E" w:rsidRPr="00D66A8E" w:rsidRDefault="00D66A8E" w:rsidP="00D66A8E">
      <w:pPr>
        <w:jc w:val="both"/>
        <w:rPr>
          <w:rFonts w:ascii="Arial" w:hAnsi="Arial" w:cs="Arial"/>
          <w:sz w:val="24"/>
          <w:szCs w:val="24"/>
        </w:rPr>
      </w:pPr>
      <w:r w:rsidRPr="00D66A8E">
        <w:rPr>
          <w:rFonts w:ascii="Arial" w:hAnsi="Arial" w:cs="Arial"/>
          <w:sz w:val="24"/>
          <w:szCs w:val="24"/>
        </w:rPr>
        <w:t xml:space="preserve">• </w:t>
      </w:r>
      <w:r w:rsidRPr="00105ECB">
        <w:rPr>
          <w:rFonts w:ascii="Arial" w:hAnsi="Arial" w:cs="Arial"/>
          <w:b/>
          <w:bCs/>
          <w:sz w:val="24"/>
          <w:szCs w:val="24"/>
          <w:u w:val="single"/>
        </w:rPr>
        <w:t>Global Standards:</w:t>
      </w:r>
    </w:p>
    <w:p w14:paraId="3AA30CD5" w14:textId="77777777" w:rsidR="00D66A8E" w:rsidRPr="00D66A8E" w:rsidRDefault="00D66A8E" w:rsidP="00D66A8E">
      <w:pPr>
        <w:jc w:val="both"/>
        <w:rPr>
          <w:rFonts w:ascii="Arial" w:hAnsi="Arial" w:cs="Arial"/>
          <w:sz w:val="24"/>
          <w:szCs w:val="24"/>
        </w:rPr>
      </w:pPr>
      <w:r w:rsidRPr="00D66A8E">
        <w:rPr>
          <w:rFonts w:ascii="Arial" w:hAnsi="Arial" w:cs="Arial"/>
          <w:sz w:val="24"/>
          <w:szCs w:val="24"/>
        </w:rPr>
        <w:t>building worldwide legal systems to control artificial intelligence use, especially in military and surveillance uses. Though national approaches to ethical AI deployment vary, worldwide standards serve to unite development and use of artificial intelligence (IEEE, 2020). Preventing the use of artificial intelligence for immoral ends include mass surveillance, autonomous weaponry, or data manipulation requires international cooperation. Establishing globally accepted rules, such those suggested by the IEEE Ethics Guidelines (IEEE, 2020) or the European Union's AI Act (European Commission, 2021), can help to promote responsible artificial intelligence practices and lower the risk of geopolitical conflicts resulting from uncontrolled AI developments.</w:t>
      </w:r>
    </w:p>
    <w:p w14:paraId="50E5294E" w14:textId="2F08C91F" w:rsidR="00D66A8E" w:rsidRPr="00D66A8E" w:rsidRDefault="00D66A8E" w:rsidP="00D66A8E">
      <w:pPr>
        <w:jc w:val="both"/>
        <w:rPr>
          <w:rFonts w:ascii="Arial" w:hAnsi="Arial" w:cs="Arial"/>
          <w:b/>
          <w:bCs/>
          <w:sz w:val="24"/>
          <w:szCs w:val="24"/>
          <w:u w:val="single"/>
        </w:rPr>
      </w:pPr>
      <w:r w:rsidRPr="00D66A8E">
        <w:rPr>
          <w:rFonts w:ascii="Arial" w:hAnsi="Arial" w:cs="Arial"/>
          <w:b/>
          <w:bCs/>
          <w:sz w:val="24"/>
          <w:szCs w:val="24"/>
          <w:u w:val="single"/>
        </w:rPr>
        <w:t xml:space="preserve">Conclusion </w:t>
      </w:r>
    </w:p>
    <w:p w14:paraId="41EF05F8" w14:textId="3B38E8C6" w:rsidR="00F32D18" w:rsidRDefault="00D66A8E" w:rsidP="00D66A8E">
      <w:pPr>
        <w:jc w:val="both"/>
        <w:rPr>
          <w:rFonts w:ascii="Arial" w:hAnsi="Arial" w:cs="Arial"/>
          <w:sz w:val="24"/>
          <w:szCs w:val="24"/>
        </w:rPr>
      </w:pPr>
      <w:r w:rsidRPr="00D66A8E">
        <w:rPr>
          <w:rFonts w:ascii="Arial" w:hAnsi="Arial" w:cs="Arial"/>
          <w:sz w:val="24"/>
          <w:szCs w:val="24"/>
        </w:rPr>
        <w:t>The disappearance of Dr. Dana Hart begs serious questions regarding the safeguarding of artificial intelligence ethical researchers. Her efforts on AI fairness (O'Neil, 2016), responsibility (Crawford, 2021), and misuse could have caused problems with influential players. More research is required to find the truth behind her disappearance and to apply safety precautions for academics supporting moral artificial intelligence methods.</w:t>
      </w:r>
    </w:p>
    <w:p w14:paraId="1146D198" w14:textId="77777777" w:rsidR="00F32D18" w:rsidRDefault="00F32D18">
      <w:pPr>
        <w:rPr>
          <w:rFonts w:ascii="Arial" w:hAnsi="Arial" w:cs="Arial"/>
          <w:sz w:val="24"/>
          <w:szCs w:val="24"/>
        </w:rPr>
      </w:pPr>
      <w:r>
        <w:rPr>
          <w:rFonts w:ascii="Arial" w:hAnsi="Arial" w:cs="Arial"/>
          <w:sz w:val="24"/>
          <w:szCs w:val="24"/>
        </w:rPr>
        <w:br w:type="page"/>
      </w:r>
    </w:p>
    <w:p w14:paraId="6A543317" w14:textId="77777777" w:rsidR="00D834FE" w:rsidRDefault="00D834FE" w:rsidP="00D66A8E">
      <w:pPr>
        <w:jc w:val="both"/>
        <w:rPr>
          <w:rFonts w:ascii="Arial" w:hAnsi="Arial" w:cs="Arial"/>
          <w:sz w:val="24"/>
          <w:szCs w:val="24"/>
        </w:rPr>
      </w:pPr>
    </w:p>
    <w:p w14:paraId="18E9E0BA" w14:textId="77777777" w:rsidR="00D66A8E" w:rsidRPr="002E5FBD" w:rsidRDefault="00D66A8E" w:rsidP="00D66A8E">
      <w:pPr>
        <w:rPr>
          <w:b/>
          <w:bCs/>
          <w:sz w:val="40"/>
          <w:szCs w:val="40"/>
        </w:rPr>
      </w:pPr>
      <w:r w:rsidRPr="002E5FBD">
        <w:rPr>
          <w:b/>
          <w:bCs/>
          <w:sz w:val="40"/>
          <w:szCs w:val="40"/>
        </w:rPr>
        <w:t>References</w:t>
      </w:r>
    </w:p>
    <w:p w14:paraId="5F5F0DCB" w14:textId="77777777" w:rsidR="00D66A8E" w:rsidRPr="00D66A8E" w:rsidRDefault="00D66A8E" w:rsidP="00D66A8E">
      <w:pPr>
        <w:numPr>
          <w:ilvl w:val="0"/>
          <w:numId w:val="1"/>
        </w:numPr>
        <w:rPr>
          <w:rFonts w:ascii="Arial" w:hAnsi="Arial" w:cs="Arial"/>
          <w:sz w:val="24"/>
          <w:szCs w:val="24"/>
        </w:rPr>
      </w:pPr>
      <w:r w:rsidRPr="00D66A8E">
        <w:rPr>
          <w:rFonts w:ascii="Arial" w:hAnsi="Arial" w:cs="Arial"/>
          <w:b/>
          <w:bCs/>
          <w:sz w:val="24"/>
          <w:szCs w:val="24"/>
        </w:rPr>
        <w:t>Bostrom, N.</w:t>
      </w:r>
      <w:r w:rsidRPr="00D66A8E">
        <w:rPr>
          <w:rFonts w:ascii="Arial" w:hAnsi="Arial" w:cs="Arial"/>
          <w:sz w:val="24"/>
          <w:szCs w:val="24"/>
        </w:rPr>
        <w:t xml:space="preserve"> (2014). </w:t>
      </w:r>
      <w:r w:rsidRPr="00D66A8E">
        <w:rPr>
          <w:rFonts w:ascii="Arial" w:hAnsi="Arial" w:cs="Arial"/>
          <w:i/>
          <w:iCs/>
          <w:sz w:val="24"/>
          <w:szCs w:val="24"/>
        </w:rPr>
        <w:t>Superintelligence: Paths, Dangers, Strategies</w:t>
      </w:r>
      <w:r w:rsidRPr="00D66A8E">
        <w:rPr>
          <w:rFonts w:ascii="Arial" w:hAnsi="Arial" w:cs="Arial"/>
          <w:sz w:val="24"/>
          <w:szCs w:val="24"/>
        </w:rPr>
        <w:t xml:space="preserve">. Oxford University Press. Available at: </w:t>
      </w:r>
      <w:hyperlink r:id="rId6" w:tgtFrame="_new" w:history="1">
        <w:r w:rsidRPr="00D66A8E">
          <w:rPr>
            <w:rStyle w:val="Hyperlink"/>
            <w:rFonts w:ascii="Arial" w:hAnsi="Arial" w:cs="Arial"/>
            <w:sz w:val="24"/>
            <w:szCs w:val="24"/>
          </w:rPr>
          <w:t>https://www.google.co.uk/books/edition/Superintelligence/7_H8AwAAQBAJ?hl=en&amp;gbpv=1&amp;dq=Bostrom,+N.+(2014).+Superintelligence:+Paths,+Dangers,+Strategies.+Oxford+University+Press.&amp;printsec=frontcover</w:t>
        </w:r>
      </w:hyperlink>
      <w:r w:rsidRPr="00D66A8E">
        <w:rPr>
          <w:rFonts w:ascii="Arial" w:hAnsi="Arial" w:cs="Arial"/>
          <w:sz w:val="24"/>
          <w:szCs w:val="24"/>
        </w:rPr>
        <w:t xml:space="preserve"> (Accessed: 27 February 2025).</w:t>
      </w:r>
    </w:p>
    <w:p w14:paraId="5CA116DC" w14:textId="77777777" w:rsidR="00D66A8E" w:rsidRPr="00D66A8E" w:rsidRDefault="00D66A8E" w:rsidP="00D66A8E">
      <w:pPr>
        <w:numPr>
          <w:ilvl w:val="0"/>
          <w:numId w:val="1"/>
        </w:numPr>
        <w:rPr>
          <w:rFonts w:ascii="Arial" w:hAnsi="Arial" w:cs="Arial"/>
          <w:sz w:val="24"/>
          <w:szCs w:val="24"/>
        </w:rPr>
      </w:pPr>
      <w:r w:rsidRPr="00D66A8E">
        <w:rPr>
          <w:rFonts w:ascii="Arial" w:hAnsi="Arial" w:cs="Arial"/>
          <w:b/>
          <w:bCs/>
          <w:sz w:val="24"/>
          <w:szCs w:val="24"/>
        </w:rPr>
        <w:t>Crawford, K. (2021).</w:t>
      </w:r>
      <w:r w:rsidRPr="00D66A8E">
        <w:rPr>
          <w:rFonts w:ascii="Arial" w:hAnsi="Arial" w:cs="Arial"/>
          <w:sz w:val="24"/>
          <w:szCs w:val="24"/>
        </w:rPr>
        <w:t xml:space="preserve"> </w:t>
      </w:r>
      <w:r w:rsidRPr="00D66A8E">
        <w:rPr>
          <w:rFonts w:ascii="Arial" w:hAnsi="Arial" w:cs="Arial"/>
          <w:i/>
          <w:iCs/>
          <w:sz w:val="24"/>
          <w:szCs w:val="24"/>
        </w:rPr>
        <w:t>Atlas of AI: Power, Politics, and the Planetary Costs of Artificial Intelligence.</w:t>
      </w:r>
      <w:r w:rsidRPr="00D66A8E">
        <w:rPr>
          <w:rFonts w:ascii="Arial" w:hAnsi="Arial" w:cs="Arial"/>
          <w:sz w:val="24"/>
          <w:szCs w:val="24"/>
        </w:rPr>
        <w:t xml:space="preserve"> Yale University Press. Available at: </w:t>
      </w:r>
      <w:hyperlink r:id="rId7" w:tgtFrame="_new" w:history="1">
        <w:r w:rsidRPr="00D66A8E">
          <w:rPr>
            <w:rStyle w:val="Hyperlink"/>
            <w:rFonts w:ascii="Arial" w:hAnsi="Arial" w:cs="Arial"/>
            <w:sz w:val="24"/>
            <w:szCs w:val="24"/>
          </w:rPr>
          <w:t>https://www.google.co.uk/books/edition/The_Atlas_of_AI/KfodEAAAQBAJ?hl=en&amp;gbpv=1</w:t>
        </w:r>
      </w:hyperlink>
      <w:r w:rsidRPr="00D66A8E">
        <w:rPr>
          <w:rFonts w:ascii="Arial" w:hAnsi="Arial" w:cs="Arial"/>
          <w:sz w:val="24"/>
          <w:szCs w:val="24"/>
        </w:rPr>
        <w:t xml:space="preserve"> (Accessed: 27 February 2025).</w:t>
      </w:r>
    </w:p>
    <w:p w14:paraId="2AF6E844" w14:textId="77777777" w:rsidR="00D66A8E" w:rsidRPr="00D66A8E" w:rsidRDefault="00D66A8E" w:rsidP="00D66A8E">
      <w:pPr>
        <w:numPr>
          <w:ilvl w:val="0"/>
          <w:numId w:val="1"/>
        </w:numPr>
        <w:rPr>
          <w:rFonts w:ascii="Arial" w:hAnsi="Arial" w:cs="Arial"/>
          <w:sz w:val="24"/>
          <w:szCs w:val="24"/>
        </w:rPr>
      </w:pPr>
      <w:r w:rsidRPr="00D66A8E">
        <w:rPr>
          <w:rFonts w:ascii="Arial" w:hAnsi="Arial" w:cs="Arial"/>
          <w:sz w:val="24"/>
          <w:szCs w:val="24"/>
        </w:rPr>
        <w:t xml:space="preserve">IEEE (2020) </w:t>
      </w:r>
      <w:r w:rsidRPr="00D66A8E">
        <w:rPr>
          <w:rFonts w:ascii="Arial" w:hAnsi="Arial" w:cs="Arial"/>
          <w:i/>
          <w:iCs/>
          <w:sz w:val="24"/>
          <w:szCs w:val="24"/>
        </w:rPr>
        <w:t>IEEE Global Initiative on Ethics of Autonomous and Intelligent Systems</w:t>
      </w:r>
      <w:r w:rsidRPr="00D66A8E">
        <w:rPr>
          <w:rFonts w:ascii="Arial" w:hAnsi="Arial" w:cs="Arial"/>
          <w:sz w:val="24"/>
          <w:szCs w:val="24"/>
        </w:rPr>
        <w:t xml:space="preserve">. Available at: </w:t>
      </w:r>
      <w:hyperlink r:id="rId8" w:tgtFrame="_new" w:history="1">
        <w:r w:rsidRPr="00D66A8E">
          <w:rPr>
            <w:rStyle w:val="Hyperlink"/>
            <w:rFonts w:ascii="Arial" w:hAnsi="Arial" w:cs="Arial"/>
            <w:sz w:val="24"/>
            <w:szCs w:val="24"/>
          </w:rPr>
          <w:t>https://standards.ieee.org/industry-connections/activities/ieee-global-initiative/</w:t>
        </w:r>
      </w:hyperlink>
      <w:r w:rsidRPr="00D66A8E">
        <w:rPr>
          <w:rFonts w:ascii="Arial" w:hAnsi="Arial" w:cs="Arial"/>
          <w:sz w:val="24"/>
          <w:szCs w:val="24"/>
        </w:rPr>
        <w:t xml:space="preserve"> (Accessed: [insert date]).</w:t>
      </w:r>
    </w:p>
    <w:p w14:paraId="5D393338" w14:textId="77777777" w:rsidR="00D66A8E" w:rsidRPr="00D66A8E" w:rsidRDefault="00D66A8E" w:rsidP="00D66A8E">
      <w:pPr>
        <w:pStyle w:val="Listparagraf"/>
        <w:numPr>
          <w:ilvl w:val="0"/>
          <w:numId w:val="1"/>
        </w:numPr>
        <w:rPr>
          <w:rFonts w:ascii="Arial" w:hAnsi="Arial" w:cs="Arial"/>
          <w:sz w:val="24"/>
          <w:szCs w:val="24"/>
        </w:rPr>
      </w:pPr>
      <w:r w:rsidRPr="00D66A8E">
        <w:rPr>
          <w:rFonts w:ascii="Arial" w:hAnsi="Arial" w:cs="Arial"/>
          <w:sz w:val="24"/>
          <w:szCs w:val="24"/>
        </w:rPr>
        <w:t xml:space="preserve">O'Neil, C. (2016) </w:t>
      </w:r>
      <w:r w:rsidRPr="00D66A8E">
        <w:rPr>
          <w:rFonts w:ascii="Arial" w:hAnsi="Arial" w:cs="Arial"/>
          <w:i/>
          <w:iCs/>
          <w:sz w:val="24"/>
          <w:szCs w:val="24"/>
        </w:rPr>
        <w:t>Weapons of Math Destruction: How Big Data Increases Inequality and Threatens Democracy</w:t>
      </w:r>
      <w:r w:rsidRPr="00D66A8E">
        <w:rPr>
          <w:rFonts w:ascii="Arial" w:hAnsi="Arial" w:cs="Arial"/>
          <w:sz w:val="24"/>
          <w:szCs w:val="24"/>
        </w:rPr>
        <w:t xml:space="preserve">. New York: Crown Publishers. Available at: </w:t>
      </w:r>
      <w:hyperlink r:id="rId9" w:tgtFrame="_new" w:history="1">
        <w:r w:rsidRPr="00D66A8E">
          <w:rPr>
            <w:rStyle w:val="Hyperlink"/>
            <w:rFonts w:ascii="Arial" w:hAnsi="Arial" w:cs="Arial"/>
            <w:sz w:val="24"/>
            <w:szCs w:val="24"/>
          </w:rPr>
          <w:t>https://www.researchgate.net/publication/314165204_Cathy_O'Neil_Weapons_of_Math_Destruction_How_Big_Data_Increases_Inequality_and_Threatens_Democracy_New_York_Crown_Publishers_2016_272p_Hardcover_26_ISBN_978-0553418811</w:t>
        </w:r>
      </w:hyperlink>
      <w:r w:rsidRPr="00D66A8E">
        <w:rPr>
          <w:rFonts w:ascii="Arial" w:hAnsi="Arial" w:cs="Arial"/>
          <w:sz w:val="24"/>
          <w:szCs w:val="24"/>
        </w:rPr>
        <w:t xml:space="preserve"> (Accessed: [insert date]).</w:t>
      </w:r>
    </w:p>
    <w:p w14:paraId="788CED46" w14:textId="77777777" w:rsidR="00D66A8E" w:rsidRPr="00D66A8E" w:rsidRDefault="00D66A8E" w:rsidP="00D66A8E">
      <w:pPr>
        <w:jc w:val="both"/>
        <w:rPr>
          <w:rFonts w:ascii="Arial" w:hAnsi="Arial" w:cs="Arial"/>
          <w:sz w:val="24"/>
          <w:szCs w:val="24"/>
        </w:rPr>
      </w:pPr>
    </w:p>
    <w:sectPr w:rsidR="00D66A8E" w:rsidRPr="00D66A8E" w:rsidSect="002611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D7540"/>
    <w:multiLevelType w:val="multilevel"/>
    <w:tmpl w:val="C5A61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2970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A8E"/>
    <w:rsid w:val="002410B3"/>
    <w:rsid w:val="00261154"/>
    <w:rsid w:val="00BB5D59"/>
    <w:rsid w:val="00D66A8E"/>
    <w:rsid w:val="00D834FE"/>
    <w:rsid w:val="00F32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EC5A2"/>
  <w15:chartTrackingRefBased/>
  <w15:docId w15:val="{980E8749-83F9-408C-A140-BE5E7924A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D59"/>
  </w:style>
  <w:style w:type="paragraph" w:styleId="Titlu1">
    <w:name w:val="heading 1"/>
    <w:basedOn w:val="Normal"/>
    <w:next w:val="Normal"/>
    <w:link w:val="Titlu1Caracter"/>
    <w:uiPriority w:val="9"/>
    <w:qFormat/>
    <w:rsid w:val="00D66A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D66A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D66A8E"/>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D66A8E"/>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D66A8E"/>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66A8E"/>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66A8E"/>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66A8E"/>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66A8E"/>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66A8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D66A8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66A8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D66A8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D66A8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66A8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66A8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66A8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66A8E"/>
    <w:rPr>
      <w:rFonts w:eastAsiaTheme="majorEastAsia" w:cstheme="majorBidi"/>
      <w:color w:val="272727" w:themeColor="text1" w:themeTint="D8"/>
    </w:rPr>
  </w:style>
  <w:style w:type="paragraph" w:styleId="Titlu">
    <w:name w:val="Title"/>
    <w:basedOn w:val="Normal"/>
    <w:next w:val="Normal"/>
    <w:link w:val="TitluCaracter"/>
    <w:uiPriority w:val="10"/>
    <w:qFormat/>
    <w:rsid w:val="00D66A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66A8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66A8E"/>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66A8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66A8E"/>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66A8E"/>
    <w:rPr>
      <w:i/>
      <w:iCs/>
      <w:color w:val="404040" w:themeColor="text1" w:themeTint="BF"/>
    </w:rPr>
  </w:style>
  <w:style w:type="paragraph" w:styleId="Listparagraf">
    <w:name w:val="List Paragraph"/>
    <w:basedOn w:val="Normal"/>
    <w:uiPriority w:val="34"/>
    <w:qFormat/>
    <w:rsid w:val="00D66A8E"/>
    <w:pPr>
      <w:ind w:left="720"/>
      <w:contextualSpacing/>
    </w:pPr>
  </w:style>
  <w:style w:type="character" w:styleId="Accentuareintens">
    <w:name w:val="Intense Emphasis"/>
    <w:basedOn w:val="Fontdeparagrafimplicit"/>
    <w:uiPriority w:val="21"/>
    <w:qFormat/>
    <w:rsid w:val="00D66A8E"/>
    <w:rPr>
      <w:i/>
      <w:iCs/>
      <w:color w:val="0F4761" w:themeColor="accent1" w:themeShade="BF"/>
    </w:rPr>
  </w:style>
  <w:style w:type="paragraph" w:styleId="Citatintens">
    <w:name w:val="Intense Quote"/>
    <w:basedOn w:val="Normal"/>
    <w:next w:val="Normal"/>
    <w:link w:val="CitatintensCaracter"/>
    <w:uiPriority w:val="30"/>
    <w:qFormat/>
    <w:rsid w:val="00D66A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66A8E"/>
    <w:rPr>
      <w:i/>
      <w:iCs/>
      <w:color w:val="0F4761" w:themeColor="accent1" w:themeShade="BF"/>
    </w:rPr>
  </w:style>
  <w:style w:type="character" w:styleId="Referireintens">
    <w:name w:val="Intense Reference"/>
    <w:basedOn w:val="Fontdeparagrafimplicit"/>
    <w:uiPriority w:val="32"/>
    <w:qFormat/>
    <w:rsid w:val="00D66A8E"/>
    <w:rPr>
      <w:b/>
      <w:bCs/>
      <w:smallCaps/>
      <w:color w:val="0F4761" w:themeColor="accent1" w:themeShade="BF"/>
      <w:spacing w:val="5"/>
    </w:rPr>
  </w:style>
  <w:style w:type="character" w:styleId="Hyperlink">
    <w:name w:val="Hyperlink"/>
    <w:basedOn w:val="Fontdeparagrafimplicit"/>
    <w:uiPriority w:val="99"/>
    <w:unhideWhenUsed/>
    <w:rsid w:val="00D66A8E"/>
    <w:rPr>
      <w:color w:val="467886" w:themeColor="hyperlink"/>
      <w:u w:val="single"/>
    </w:rPr>
  </w:style>
  <w:style w:type="character" w:styleId="HyperlinkParcurs">
    <w:name w:val="FollowedHyperlink"/>
    <w:basedOn w:val="Fontdeparagrafimplicit"/>
    <w:uiPriority w:val="99"/>
    <w:semiHidden/>
    <w:unhideWhenUsed/>
    <w:rsid w:val="00D66A8E"/>
    <w:rPr>
      <w:color w:val="96607D" w:themeColor="followedHyperlink"/>
      <w:u w:val="single"/>
    </w:rPr>
  </w:style>
  <w:style w:type="paragraph" w:styleId="Frspaiere">
    <w:name w:val="No Spacing"/>
    <w:link w:val="FrspaiereCaracter"/>
    <w:uiPriority w:val="1"/>
    <w:qFormat/>
    <w:rsid w:val="00261154"/>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261154"/>
    <w:rPr>
      <w:rFonts w:eastAsiaTheme="minorEastAsia"/>
    </w:rPr>
  </w:style>
  <w:style w:type="character" w:styleId="MeniuneNerezolvat">
    <w:name w:val="Unresolved Mention"/>
    <w:basedOn w:val="Fontdeparagrafimplicit"/>
    <w:uiPriority w:val="99"/>
    <w:semiHidden/>
    <w:unhideWhenUsed/>
    <w:rsid w:val="00F32D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ndards.ieee.org/industry-connections/activities/ieee-global-initiative/" TargetMode="External"/><Relationship Id="rId3" Type="http://schemas.openxmlformats.org/officeDocument/2006/relationships/settings" Target="settings.xml"/><Relationship Id="rId7" Type="http://schemas.openxmlformats.org/officeDocument/2006/relationships/hyperlink" Target="https://www.google.co.uk/books/edition/The_Atlas_of_AI/KfodEAAAQBAJ?hl=en&amp;gbpv=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uk/books/edition/Superintelligence/7_H8AwAAQBAJ?hl=en&amp;gbpv=1&amp;dq=Bostrom,+N.+(2014).+Superintelligence:+Paths,+Dangers,+Strategies.+Oxford+University+Press.&amp;printsec=frontcover" TargetMode="External"/><Relationship Id="rId11" Type="http://schemas.openxmlformats.org/officeDocument/2006/relationships/theme" Target="theme/theme1.xml"/><Relationship Id="rId5" Type="http://schemas.openxmlformats.org/officeDocument/2006/relationships/hyperlink" Target="mailto:F.cumberpatch@uwtsd.ac.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314165204_Cathy_O'Neil_Weapons_of_Math_Destruction_How_Big_Data_Increases_Inequality_and_Threatens_Democracy_New_York_Crown_Publishers_2016_272p_Hardcover_26_ISBN_978-05534188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1180</Words>
  <Characters>6728</Characters>
  <Application>Microsoft Office Word</Application>
  <DocSecurity>0</DocSecurity>
  <Lines>56</Lines>
  <Paragraphs>15</Paragraphs>
  <ScaleCrop>false</ScaleCrop>
  <HeadingPairs>
    <vt:vector size="2" baseType="variant">
      <vt:variant>
        <vt:lpstr>Titlu</vt:lpstr>
      </vt:variant>
      <vt:variant>
        <vt:i4>1</vt:i4>
      </vt:variant>
    </vt:vector>
  </HeadingPairs>
  <TitlesOfParts>
    <vt:vector size="1" baseType="lpstr">
      <vt:lpstr>CERTIFICATE OF HIGHER EDUCATION INEMPLOYABILITY SKILLSLEVEL 4ACADEMIC SKILLS FOR THE DIGITAL ERA(BMSW4013)MODULE LEAD: FFION CUMBERPATCHEMAIL: F.CUMBERPATCH@UWTSD.AC.UK2024 - 2025</vt:lpstr>
    </vt:vector>
  </TitlesOfParts>
  <Company>student id:2422619</Company>
  <LinksUpToDate>false</LinksUpToDate>
  <CharactersWithSpaces>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INEMPLOYABILITY SKILLSLEVEL 4ACADEMIC SKILLS FOR THE DIGITAL ERA(BMSW4013)MODULE LEAD: FFION CUMBERPATCHEMAIL: F.CUMBERPATCH@UWTSD.AC.UK2024 - 2025</dc:title>
  <dc:subject/>
  <dc:creator>Alina Corina Zagor</dc:creator>
  <cp:keywords/>
  <dc:description/>
  <cp:lastModifiedBy>Alina Corina Zagor</cp:lastModifiedBy>
  <cp:revision>2</cp:revision>
  <dcterms:created xsi:type="dcterms:W3CDTF">2025-02-28T00:18:00Z</dcterms:created>
  <dcterms:modified xsi:type="dcterms:W3CDTF">2025-02-28T00:43:00Z</dcterms:modified>
</cp:coreProperties>
</file>