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7A5DA" w14:textId="208FA605" w:rsidR="00C7084E" w:rsidRPr="004F7161" w:rsidRDefault="00C7084E" w:rsidP="004F7161">
      <w:pPr>
        <w:spacing w:line="360" w:lineRule="auto"/>
        <w:jc w:val="center"/>
        <w:rPr>
          <w:rFonts w:ascii="Arial" w:hAnsi="Arial" w:cs="Arial"/>
          <w:b/>
          <w:bCs/>
          <w:sz w:val="24"/>
          <w:szCs w:val="24"/>
        </w:rPr>
      </w:pPr>
      <w:proofErr w:type="spellStart"/>
      <w:r w:rsidRPr="004F7161">
        <w:rPr>
          <w:rFonts w:ascii="Arial" w:hAnsi="Arial" w:cs="Arial"/>
          <w:b/>
          <w:bCs/>
          <w:sz w:val="24"/>
          <w:szCs w:val="24"/>
        </w:rPr>
        <w:t>Programme</w:t>
      </w:r>
      <w:proofErr w:type="spellEnd"/>
      <w:r w:rsidRPr="004F7161">
        <w:rPr>
          <w:rFonts w:ascii="Arial" w:hAnsi="Arial" w:cs="Arial"/>
          <w:b/>
          <w:bCs/>
          <w:sz w:val="24"/>
          <w:szCs w:val="24"/>
        </w:rPr>
        <w:t>: BA International Hotel Management</w:t>
      </w:r>
    </w:p>
    <w:p w14:paraId="40109D6D" w14:textId="11A885D8" w:rsidR="00C7084E" w:rsidRPr="004F7161" w:rsidRDefault="00C7084E" w:rsidP="004F7161">
      <w:pPr>
        <w:spacing w:line="360" w:lineRule="auto"/>
        <w:jc w:val="center"/>
        <w:rPr>
          <w:rFonts w:ascii="Arial" w:hAnsi="Arial" w:cs="Arial"/>
          <w:b/>
          <w:bCs/>
          <w:sz w:val="24"/>
          <w:szCs w:val="24"/>
        </w:rPr>
      </w:pPr>
      <w:r w:rsidRPr="004F7161">
        <w:rPr>
          <w:rFonts w:ascii="Arial" w:hAnsi="Arial" w:cs="Arial"/>
          <w:b/>
          <w:bCs/>
          <w:sz w:val="24"/>
          <w:szCs w:val="24"/>
        </w:rPr>
        <w:t>Module: Foreign Languages &amp; Cultural Awareness</w:t>
      </w:r>
    </w:p>
    <w:p w14:paraId="2F079F09" w14:textId="2AB32380" w:rsidR="00C7084E" w:rsidRPr="004F7161" w:rsidRDefault="00C7084E" w:rsidP="004F7161">
      <w:pPr>
        <w:spacing w:line="360" w:lineRule="auto"/>
        <w:jc w:val="center"/>
        <w:rPr>
          <w:rFonts w:ascii="Arial" w:hAnsi="Arial" w:cs="Arial"/>
          <w:b/>
          <w:bCs/>
          <w:sz w:val="24"/>
          <w:szCs w:val="24"/>
        </w:rPr>
      </w:pPr>
      <w:r w:rsidRPr="004F7161">
        <w:rPr>
          <w:rFonts w:ascii="Arial" w:hAnsi="Arial" w:cs="Arial"/>
          <w:b/>
          <w:bCs/>
          <w:sz w:val="24"/>
          <w:szCs w:val="24"/>
        </w:rPr>
        <w:t>Module code: BMIH5003</w:t>
      </w:r>
    </w:p>
    <w:p w14:paraId="62D35EC1" w14:textId="44919861" w:rsidR="00C7084E" w:rsidRPr="004F7161" w:rsidRDefault="00C7084E" w:rsidP="004F7161">
      <w:pPr>
        <w:spacing w:line="360" w:lineRule="auto"/>
        <w:jc w:val="center"/>
        <w:rPr>
          <w:rFonts w:ascii="Arial" w:hAnsi="Arial" w:cs="Arial"/>
          <w:b/>
          <w:bCs/>
          <w:sz w:val="24"/>
          <w:szCs w:val="24"/>
        </w:rPr>
      </w:pPr>
      <w:r w:rsidRPr="004F7161">
        <w:rPr>
          <w:rFonts w:ascii="Arial" w:hAnsi="Arial" w:cs="Arial"/>
          <w:b/>
          <w:bCs/>
          <w:sz w:val="24"/>
          <w:szCs w:val="24"/>
        </w:rPr>
        <w:t>Assignment Title: Portfolio 4 components</w:t>
      </w:r>
    </w:p>
    <w:p w14:paraId="4E233A7C" w14:textId="2F95CD19" w:rsidR="001A3B12" w:rsidRPr="004F7161" w:rsidRDefault="001A3B12" w:rsidP="004F7161">
      <w:pPr>
        <w:spacing w:line="360" w:lineRule="auto"/>
        <w:jc w:val="center"/>
        <w:rPr>
          <w:rFonts w:ascii="Arial" w:hAnsi="Arial" w:cs="Arial"/>
          <w:b/>
          <w:bCs/>
          <w:sz w:val="24"/>
          <w:szCs w:val="24"/>
        </w:rPr>
      </w:pPr>
      <w:r w:rsidRPr="004F7161">
        <w:rPr>
          <w:rFonts w:ascii="Arial" w:hAnsi="Arial" w:cs="Arial"/>
          <w:b/>
          <w:bCs/>
          <w:sz w:val="24"/>
          <w:szCs w:val="24"/>
        </w:rPr>
        <w:t>Student Name:</w:t>
      </w:r>
      <w:r w:rsidR="0097235F">
        <w:rPr>
          <w:rFonts w:ascii="Arial" w:hAnsi="Arial" w:cs="Arial"/>
          <w:b/>
          <w:bCs/>
          <w:sz w:val="24"/>
          <w:szCs w:val="24"/>
        </w:rPr>
        <w:t xml:space="preserve"> Mircea Nicolae </w:t>
      </w:r>
      <w:proofErr w:type="spellStart"/>
      <w:r w:rsidR="0097235F">
        <w:rPr>
          <w:rFonts w:ascii="Arial" w:hAnsi="Arial" w:cs="Arial"/>
          <w:b/>
          <w:bCs/>
          <w:sz w:val="24"/>
          <w:szCs w:val="24"/>
        </w:rPr>
        <w:t>Tilica</w:t>
      </w:r>
      <w:proofErr w:type="spellEnd"/>
    </w:p>
    <w:p w14:paraId="2A28E25F" w14:textId="56FB248D" w:rsidR="001A3B12" w:rsidRDefault="001A3B12" w:rsidP="004F7161">
      <w:pPr>
        <w:spacing w:line="360" w:lineRule="auto"/>
        <w:jc w:val="center"/>
        <w:rPr>
          <w:rFonts w:ascii="AppleSystemUIFont" w:hAnsi="AppleSystemUIFont" w:cs="AppleSystemUIFont"/>
          <w:kern w:val="0"/>
          <w:sz w:val="26"/>
          <w:szCs w:val="26"/>
          <w:lang w:val="en-GB"/>
        </w:rPr>
      </w:pPr>
      <w:r w:rsidRPr="004F7161">
        <w:rPr>
          <w:rFonts w:ascii="Arial" w:hAnsi="Arial" w:cs="Arial"/>
          <w:b/>
          <w:bCs/>
          <w:sz w:val="24"/>
          <w:szCs w:val="24"/>
        </w:rPr>
        <w:t>Student ID Number:</w:t>
      </w:r>
      <w:r w:rsidR="0097235F">
        <w:rPr>
          <w:rFonts w:ascii="Arial" w:hAnsi="Arial" w:cs="Arial"/>
          <w:b/>
          <w:bCs/>
          <w:sz w:val="24"/>
          <w:szCs w:val="24"/>
        </w:rPr>
        <w:t xml:space="preserve"> </w:t>
      </w:r>
      <w:r w:rsidR="0097235F">
        <w:rPr>
          <w:rFonts w:ascii="AppleSystemUIFont" w:hAnsi="AppleSystemUIFont" w:cs="AppleSystemUIFont"/>
          <w:kern w:val="0"/>
          <w:sz w:val="26"/>
          <w:szCs w:val="26"/>
          <w:lang w:val="en-GB"/>
        </w:rPr>
        <w:t>2246572</w:t>
      </w:r>
    </w:p>
    <w:p w14:paraId="6DF0F616" w14:textId="77777777" w:rsidR="002E1109" w:rsidRPr="002E1109" w:rsidRDefault="002E1109" w:rsidP="002E1109">
      <w:pPr>
        <w:spacing w:line="360" w:lineRule="auto"/>
        <w:jc w:val="center"/>
        <w:rPr>
          <w:caps/>
          <w:color w:val="000000" w:themeColor="text1"/>
          <w:sz w:val="28"/>
          <w:szCs w:val="28"/>
        </w:rPr>
      </w:pPr>
      <w:r w:rsidRPr="002E1109">
        <w:rPr>
          <w:caps/>
          <w:color w:val="000000" w:themeColor="text1"/>
          <w:sz w:val="28"/>
          <w:szCs w:val="28"/>
        </w:rPr>
        <w:t>Lecturer Name: Giulia Chifari</w:t>
      </w:r>
    </w:p>
    <w:p w14:paraId="3BE76A5D" w14:textId="77777777" w:rsidR="00C7084E" w:rsidRPr="004F7161" w:rsidRDefault="00C7084E" w:rsidP="004F7161">
      <w:pPr>
        <w:spacing w:line="360" w:lineRule="auto"/>
        <w:rPr>
          <w:rFonts w:ascii="Arial" w:hAnsi="Arial" w:cs="Arial"/>
        </w:rPr>
      </w:pPr>
      <w:r w:rsidRPr="004F7161">
        <w:rPr>
          <w:rFonts w:ascii="Arial" w:hAnsi="Arial" w:cs="Arial"/>
        </w:rPr>
        <w:br w:type="page"/>
      </w:r>
    </w:p>
    <w:sdt>
      <w:sdtPr>
        <w:rPr>
          <w:rFonts w:ascii="Arial" w:eastAsiaTheme="minorHAnsi" w:hAnsi="Arial" w:cs="Arial"/>
          <w:color w:val="auto"/>
          <w:kern w:val="2"/>
          <w:sz w:val="22"/>
          <w:szCs w:val="22"/>
        </w:rPr>
        <w:id w:val="-1036114954"/>
        <w:docPartObj>
          <w:docPartGallery w:val="Table of Contents"/>
          <w:docPartUnique/>
        </w:docPartObj>
      </w:sdtPr>
      <w:sdtEndPr>
        <w:rPr>
          <w:b/>
          <w:bCs/>
          <w:noProof/>
          <w:sz w:val="24"/>
          <w:szCs w:val="24"/>
        </w:rPr>
      </w:sdtEndPr>
      <w:sdtContent>
        <w:p w14:paraId="01C635C3" w14:textId="338B5A04" w:rsidR="006B4724" w:rsidRPr="004F7161" w:rsidRDefault="006B4724" w:rsidP="004F7161">
          <w:pPr>
            <w:pStyle w:val="TOCHeading"/>
            <w:spacing w:line="360" w:lineRule="auto"/>
            <w:rPr>
              <w:rFonts w:ascii="Arial" w:hAnsi="Arial" w:cs="Arial"/>
              <w:b/>
              <w:bCs/>
            </w:rPr>
          </w:pPr>
          <w:r w:rsidRPr="004F7161">
            <w:rPr>
              <w:rFonts w:ascii="Arial" w:hAnsi="Arial" w:cs="Arial"/>
              <w:b/>
              <w:bCs/>
            </w:rPr>
            <w:t>Contents</w:t>
          </w:r>
        </w:p>
        <w:p w14:paraId="004D464F" w14:textId="7CA44CD4" w:rsidR="006B4724" w:rsidRPr="004F7161" w:rsidRDefault="006B4724" w:rsidP="004F7161">
          <w:pPr>
            <w:pStyle w:val="TOC1"/>
            <w:tabs>
              <w:tab w:val="right" w:leader="dot" w:pos="9350"/>
            </w:tabs>
            <w:spacing w:line="360" w:lineRule="auto"/>
            <w:rPr>
              <w:rFonts w:ascii="Arial" w:hAnsi="Arial" w:cs="Arial"/>
              <w:noProof/>
              <w:sz w:val="24"/>
              <w:szCs w:val="24"/>
            </w:rPr>
          </w:pPr>
          <w:r w:rsidRPr="004F7161">
            <w:rPr>
              <w:rFonts w:ascii="Arial" w:hAnsi="Arial" w:cs="Arial"/>
              <w:sz w:val="24"/>
              <w:szCs w:val="24"/>
            </w:rPr>
            <w:fldChar w:fldCharType="begin"/>
          </w:r>
          <w:r w:rsidRPr="004F7161">
            <w:rPr>
              <w:rFonts w:ascii="Arial" w:hAnsi="Arial" w:cs="Arial"/>
              <w:sz w:val="24"/>
              <w:szCs w:val="24"/>
            </w:rPr>
            <w:instrText xml:space="preserve"> TOC \o "1-3" \h \z \u </w:instrText>
          </w:r>
          <w:r w:rsidRPr="004F7161">
            <w:rPr>
              <w:rFonts w:ascii="Arial" w:hAnsi="Arial" w:cs="Arial"/>
              <w:sz w:val="24"/>
              <w:szCs w:val="24"/>
            </w:rPr>
            <w:fldChar w:fldCharType="separate"/>
          </w:r>
          <w:hyperlink w:anchor="_Toc166803553" w:history="1">
            <w:r w:rsidRPr="004F7161">
              <w:rPr>
                <w:rStyle w:val="Hyperlink"/>
                <w:rFonts w:ascii="Arial" w:eastAsia="Times New Roman" w:hAnsi="Arial" w:cs="Arial"/>
                <w:b/>
                <w:bCs/>
                <w:noProof/>
                <w:sz w:val="24"/>
                <w:szCs w:val="24"/>
              </w:rPr>
              <w:t>Component 1 - Professional Reflection</w:t>
            </w:r>
            <w:r w:rsidRPr="004F7161">
              <w:rPr>
                <w:rFonts w:ascii="Arial" w:hAnsi="Arial" w:cs="Arial"/>
                <w:noProof/>
                <w:webHidden/>
                <w:sz w:val="24"/>
                <w:szCs w:val="24"/>
              </w:rPr>
              <w:tab/>
            </w:r>
            <w:r w:rsidRPr="004F7161">
              <w:rPr>
                <w:rFonts w:ascii="Arial" w:hAnsi="Arial" w:cs="Arial"/>
                <w:noProof/>
                <w:webHidden/>
                <w:sz w:val="24"/>
                <w:szCs w:val="24"/>
              </w:rPr>
              <w:fldChar w:fldCharType="begin"/>
            </w:r>
            <w:r w:rsidRPr="004F7161">
              <w:rPr>
                <w:rFonts w:ascii="Arial" w:hAnsi="Arial" w:cs="Arial"/>
                <w:noProof/>
                <w:webHidden/>
                <w:sz w:val="24"/>
                <w:szCs w:val="24"/>
              </w:rPr>
              <w:instrText xml:space="preserve"> PAGEREF _Toc166803553 \h </w:instrText>
            </w:r>
            <w:r w:rsidRPr="004F7161">
              <w:rPr>
                <w:rFonts w:ascii="Arial" w:hAnsi="Arial" w:cs="Arial"/>
                <w:noProof/>
                <w:webHidden/>
                <w:sz w:val="24"/>
                <w:szCs w:val="24"/>
              </w:rPr>
            </w:r>
            <w:r w:rsidRPr="004F7161">
              <w:rPr>
                <w:rFonts w:ascii="Arial" w:hAnsi="Arial" w:cs="Arial"/>
                <w:noProof/>
                <w:webHidden/>
                <w:sz w:val="24"/>
                <w:szCs w:val="24"/>
              </w:rPr>
              <w:fldChar w:fldCharType="separate"/>
            </w:r>
            <w:r w:rsidRPr="004F7161">
              <w:rPr>
                <w:rFonts w:ascii="Arial" w:hAnsi="Arial" w:cs="Arial"/>
                <w:noProof/>
                <w:webHidden/>
                <w:sz w:val="24"/>
                <w:szCs w:val="24"/>
              </w:rPr>
              <w:t>3</w:t>
            </w:r>
            <w:r w:rsidRPr="004F7161">
              <w:rPr>
                <w:rFonts w:ascii="Arial" w:hAnsi="Arial" w:cs="Arial"/>
                <w:noProof/>
                <w:webHidden/>
                <w:sz w:val="24"/>
                <w:szCs w:val="24"/>
              </w:rPr>
              <w:fldChar w:fldCharType="end"/>
            </w:r>
          </w:hyperlink>
        </w:p>
        <w:p w14:paraId="2F8EE572" w14:textId="7ACF88D0" w:rsidR="006B4724" w:rsidRPr="004F7161" w:rsidRDefault="00000000" w:rsidP="004F7161">
          <w:pPr>
            <w:pStyle w:val="TOC1"/>
            <w:tabs>
              <w:tab w:val="right" w:leader="dot" w:pos="9350"/>
            </w:tabs>
            <w:spacing w:line="360" w:lineRule="auto"/>
            <w:rPr>
              <w:rFonts w:ascii="Arial" w:hAnsi="Arial" w:cs="Arial"/>
              <w:noProof/>
              <w:sz w:val="24"/>
              <w:szCs w:val="24"/>
            </w:rPr>
          </w:pPr>
          <w:hyperlink w:anchor="_Toc166803554" w:history="1">
            <w:r w:rsidR="006B4724" w:rsidRPr="004F7161">
              <w:rPr>
                <w:rStyle w:val="Hyperlink"/>
                <w:rFonts w:ascii="Arial" w:hAnsi="Arial" w:cs="Arial"/>
                <w:b/>
                <w:bCs/>
                <w:noProof/>
                <w:sz w:val="24"/>
                <w:szCs w:val="24"/>
              </w:rPr>
              <w:t>Component 2 - Training Plan</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_Toc166803554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4</w:t>
            </w:r>
            <w:r w:rsidR="006B4724" w:rsidRPr="004F7161">
              <w:rPr>
                <w:rFonts w:ascii="Arial" w:hAnsi="Arial" w:cs="Arial"/>
                <w:noProof/>
                <w:webHidden/>
                <w:sz w:val="24"/>
                <w:szCs w:val="24"/>
              </w:rPr>
              <w:fldChar w:fldCharType="end"/>
            </w:r>
          </w:hyperlink>
        </w:p>
        <w:p w14:paraId="1805085B" w14:textId="75BC606A" w:rsidR="006B4724" w:rsidRPr="004F7161" w:rsidRDefault="00000000" w:rsidP="004F7161">
          <w:pPr>
            <w:pStyle w:val="TOC2"/>
            <w:tabs>
              <w:tab w:val="right" w:leader="dot" w:pos="9350"/>
            </w:tabs>
            <w:spacing w:line="360" w:lineRule="auto"/>
            <w:rPr>
              <w:rFonts w:ascii="Arial" w:hAnsi="Arial" w:cs="Arial"/>
              <w:noProof/>
              <w:sz w:val="24"/>
              <w:szCs w:val="24"/>
            </w:rPr>
          </w:pPr>
          <w:hyperlink w:anchor="_Toc166803555" w:history="1">
            <w:r w:rsidR="006B4724" w:rsidRPr="004F7161">
              <w:rPr>
                <w:rStyle w:val="Hyperlink"/>
                <w:rFonts w:ascii="Arial" w:hAnsi="Arial" w:cs="Arial"/>
                <w:b/>
                <w:bCs/>
                <w:noProof/>
                <w:sz w:val="24"/>
                <w:szCs w:val="24"/>
              </w:rPr>
              <w:t>Objective:</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_Toc166803555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4</w:t>
            </w:r>
            <w:r w:rsidR="006B4724" w:rsidRPr="004F7161">
              <w:rPr>
                <w:rFonts w:ascii="Arial" w:hAnsi="Arial" w:cs="Arial"/>
                <w:noProof/>
                <w:webHidden/>
                <w:sz w:val="24"/>
                <w:szCs w:val="24"/>
              </w:rPr>
              <w:fldChar w:fldCharType="end"/>
            </w:r>
          </w:hyperlink>
        </w:p>
        <w:p w14:paraId="141E46EE" w14:textId="71846CCC" w:rsidR="006B4724" w:rsidRPr="004F7161" w:rsidRDefault="00000000" w:rsidP="004F7161">
          <w:pPr>
            <w:pStyle w:val="TOC2"/>
            <w:tabs>
              <w:tab w:val="right" w:leader="dot" w:pos="9350"/>
            </w:tabs>
            <w:spacing w:line="360" w:lineRule="auto"/>
            <w:rPr>
              <w:rFonts w:ascii="Arial" w:hAnsi="Arial" w:cs="Arial"/>
              <w:noProof/>
              <w:sz w:val="24"/>
              <w:szCs w:val="24"/>
            </w:rPr>
          </w:pPr>
          <w:hyperlink w:anchor="_Toc166803556" w:history="1">
            <w:r w:rsidR="006B4724" w:rsidRPr="004F7161">
              <w:rPr>
                <w:rStyle w:val="Hyperlink"/>
                <w:rFonts w:ascii="Arial" w:hAnsi="Arial" w:cs="Arial"/>
                <w:b/>
                <w:bCs/>
                <w:noProof/>
                <w:sz w:val="24"/>
                <w:szCs w:val="24"/>
              </w:rPr>
              <w:t>Training Content:</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_Toc166803556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4</w:t>
            </w:r>
            <w:r w:rsidR="006B4724" w:rsidRPr="004F7161">
              <w:rPr>
                <w:rFonts w:ascii="Arial" w:hAnsi="Arial" w:cs="Arial"/>
                <w:noProof/>
                <w:webHidden/>
                <w:sz w:val="24"/>
                <w:szCs w:val="24"/>
              </w:rPr>
              <w:fldChar w:fldCharType="end"/>
            </w:r>
          </w:hyperlink>
        </w:p>
        <w:p w14:paraId="6893D0F4" w14:textId="49B7624E" w:rsidR="006B4724" w:rsidRPr="004F7161" w:rsidRDefault="00000000" w:rsidP="004F7161">
          <w:pPr>
            <w:pStyle w:val="TOC2"/>
            <w:tabs>
              <w:tab w:val="right" w:leader="dot" w:pos="9350"/>
            </w:tabs>
            <w:spacing w:line="360" w:lineRule="auto"/>
            <w:rPr>
              <w:rFonts w:ascii="Arial" w:hAnsi="Arial" w:cs="Arial"/>
              <w:noProof/>
              <w:sz w:val="24"/>
              <w:szCs w:val="24"/>
            </w:rPr>
          </w:pPr>
          <w:hyperlink w:anchor="_Toc166803557" w:history="1">
            <w:r w:rsidR="006B4724" w:rsidRPr="004F7161">
              <w:rPr>
                <w:rStyle w:val="Hyperlink"/>
                <w:rFonts w:ascii="Arial" w:hAnsi="Arial" w:cs="Arial"/>
                <w:b/>
                <w:bCs/>
                <w:noProof/>
                <w:sz w:val="24"/>
                <w:szCs w:val="24"/>
              </w:rPr>
              <w:t>Training Methods and Evaluation:</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_Toc166803557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5</w:t>
            </w:r>
            <w:r w:rsidR="006B4724" w:rsidRPr="004F7161">
              <w:rPr>
                <w:rFonts w:ascii="Arial" w:hAnsi="Arial" w:cs="Arial"/>
                <w:noProof/>
                <w:webHidden/>
                <w:sz w:val="24"/>
                <w:szCs w:val="24"/>
              </w:rPr>
              <w:fldChar w:fldCharType="end"/>
            </w:r>
          </w:hyperlink>
        </w:p>
        <w:p w14:paraId="09C41F33" w14:textId="2BAF0EEE" w:rsidR="006B4724" w:rsidRPr="004F7161" w:rsidRDefault="00000000" w:rsidP="004F7161">
          <w:pPr>
            <w:pStyle w:val="TOC2"/>
            <w:tabs>
              <w:tab w:val="right" w:leader="dot" w:pos="9350"/>
            </w:tabs>
            <w:spacing w:line="360" w:lineRule="auto"/>
            <w:rPr>
              <w:rFonts w:ascii="Arial" w:hAnsi="Arial" w:cs="Arial"/>
              <w:noProof/>
              <w:sz w:val="24"/>
              <w:szCs w:val="24"/>
            </w:rPr>
          </w:pPr>
          <w:hyperlink w:anchor="_Toc166803558" w:history="1">
            <w:r w:rsidR="006B4724" w:rsidRPr="004F7161">
              <w:rPr>
                <w:rStyle w:val="Hyperlink"/>
                <w:rFonts w:ascii="Arial" w:hAnsi="Arial" w:cs="Arial"/>
                <w:b/>
                <w:bCs/>
                <w:noProof/>
                <w:sz w:val="24"/>
                <w:szCs w:val="24"/>
              </w:rPr>
              <w:t>Conclusion:</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_Toc166803558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5</w:t>
            </w:r>
            <w:r w:rsidR="006B4724" w:rsidRPr="004F7161">
              <w:rPr>
                <w:rFonts w:ascii="Arial" w:hAnsi="Arial" w:cs="Arial"/>
                <w:noProof/>
                <w:webHidden/>
                <w:sz w:val="24"/>
                <w:szCs w:val="24"/>
              </w:rPr>
              <w:fldChar w:fldCharType="end"/>
            </w:r>
          </w:hyperlink>
        </w:p>
        <w:p w14:paraId="43ED92FC" w14:textId="707E79E8" w:rsidR="006B4724" w:rsidRPr="004F7161" w:rsidRDefault="00000000" w:rsidP="004F7161">
          <w:pPr>
            <w:pStyle w:val="TOC1"/>
            <w:tabs>
              <w:tab w:val="right" w:leader="dot" w:pos="9350"/>
            </w:tabs>
            <w:spacing w:line="360" w:lineRule="auto"/>
            <w:rPr>
              <w:rFonts w:ascii="Arial" w:hAnsi="Arial" w:cs="Arial"/>
              <w:noProof/>
              <w:sz w:val="24"/>
              <w:szCs w:val="24"/>
            </w:rPr>
          </w:pPr>
          <w:hyperlink w:anchor="_Toc166803559" w:history="1">
            <w:r w:rsidR="006B4724" w:rsidRPr="004F7161">
              <w:rPr>
                <w:rStyle w:val="Hyperlink"/>
                <w:rFonts w:ascii="Arial" w:hAnsi="Arial" w:cs="Arial"/>
                <w:b/>
                <w:bCs/>
                <w:noProof/>
                <w:sz w:val="24"/>
                <w:szCs w:val="24"/>
              </w:rPr>
              <w:t>Component 3 - Student self-reflection</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_Toc166803559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6</w:t>
            </w:r>
            <w:r w:rsidR="006B4724" w:rsidRPr="004F7161">
              <w:rPr>
                <w:rFonts w:ascii="Arial" w:hAnsi="Arial" w:cs="Arial"/>
                <w:noProof/>
                <w:webHidden/>
                <w:sz w:val="24"/>
                <w:szCs w:val="24"/>
              </w:rPr>
              <w:fldChar w:fldCharType="end"/>
            </w:r>
          </w:hyperlink>
        </w:p>
        <w:p w14:paraId="0C2CB4E0" w14:textId="019080C7" w:rsidR="006B4724" w:rsidRPr="004F7161" w:rsidRDefault="00000000" w:rsidP="004F7161">
          <w:pPr>
            <w:pStyle w:val="TOC1"/>
            <w:tabs>
              <w:tab w:val="right" w:leader="dot" w:pos="9350"/>
            </w:tabs>
            <w:spacing w:line="360" w:lineRule="auto"/>
            <w:rPr>
              <w:rFonts w:ascii="Arial" w:hAnsi="Arial" w:cs="Arial"/>
              <w:noProof/>
              <w:sz w:val="24"/>
              <w:szCs w:val="24"/>
            </w:rPr>
          </w:pPr>
          <w:hyperlink w:anchor="_Toc166803560" w:history="1">
            <w:r w:rsidR="006B4724" w:rsidRPr="004F7161">
              <w:rPr>
                <w:rStyle w:val="Hyperlink"/>
                <w:rFonts w:ascii="Arial" w:hAnsi="Arial" w:cs="Arial"/>
                <w:b/>
                <w:bCs/>
                <w:noProof/>
                <w:sz w:val="24"/>
                <w:szCs w:val="24"/>
              </w:rPr>
              <w:t>References</w:t>
            </w:r>
            <w:r w:rsidR="006B4724" w:rsidRPr="004F7161">
              <w:rPr>
                <w:rFonts w:ascii="Arial" w:hAnsi="Arial" w:cs="Arial"/>
                <w:noProof/>
                <w:webHidden/>
                <w:sz w:val="24"/>
                <w:szCs w:val="24"/>
              </w:rPr>
              <w:tab/>
            </w:r>
            <w:r w:rsidR="006B4724" w:rsidRPr="004F7161">
              <w:rPr>
                <w:rFonts w:ascii="Arial" w:hAnsi="Arial" w:cs="Arial"/>
                <w:noProof/>
                <w:webHidden/>
                <w:sz w:val="24"/>
                <w:szCs w:val="24"/>
              </w:rPr>
              <w:fldChar w:fldCharType="begin"/>
            </w:r>
            <w:r w:rsidR="006B4724" w:rsidRPr="004F7161">
              <w:rPr>
                <w:rFonts w:ascii="Arial" w:hAnsi="Arial" w:cs="Arial"/>
                <w:noProof/>
                <w:webHidden/>
                <w:sz w:val="24"/>
                <w:szCs w:val="24"/>
              </w:rPr>
              <w:instrText xml:space="preserve"> PAGEREF _Toc166803560 \h </w:instrText>
            </w:r>
            <w:r w:rsidR="006B4724" w:rsidRPr="004F7161">
              <w:rPr>
                <w:rFonts w:ascii="Arial" w:hAnsi="Arial" w:cs="Arial"/>
                <w:noProof/>
                <w:webHidden/>
                <w:sz w:val="24"/>
                <w:szCs w:val="24"/>
              </w:rPr>
            </w:r>
            <w:r w:rsidR="006B4724" w:rsidRPr="004F7161">
              <w:rPr>
                <w:rFonts w:ascii="Arial" w:hAnsi="Arial" w:cs="Arial"/>
                <w:noProof/>
                <w:webHidden/>
                <w:sz w:val="24"/>
                <w:szCs w:val="24"/>
              </w:rPr>
              <w:fldChar w:fldCharType="separate"/>
            </w:r>
            <w:r w:rsidR="006B4724" w:rsidRPr="004F7161">
              <w:rPr>
                <w:rFonts w:ascii="Arial" w:hAnsi="Arial" w:cs="Arial"/>
                <w:noProof/>
                <w:webHidden/>
                <w:sz w:val="24"/>
                <w:szCs w:val="24"/>
              </w:rPr>
              <w:t>8</w:t>
            </w:r>
            <w:r w:rsidR="006B4724" w:rsidRPr="004F7161">
              <w:rPr>
                <w:rFonts w:ascii="Arial" w:hAnsi="Arial" w:cs="Arial"/>
                <w:noProof/>
                <w:webHidden/>
                <w:sz w:val="24"/>
                <w:szCs w:val="24"/>
              </w:rPr>
              <w:fldChar w:fldCharType="end"/>
            </w:r>
          </w:hyperlink>
        </w:p>
        <w:p w14:paraId="2C09394E" w14:textId="1FA90E03" w:rsidR="006B4724" w:rsidRPr="004F7161" w:rsidRDefault="006B4724" w:rsidP="004F7161">
          <w:pPr>
            <w:spacing w:line="360" w:lineRule="auto"/>
            <w:rPr>
              <w:rFonts w:ascii="Arial" w:hAnsi="Arial" w:cs="Arial"/>
              <w:sz w:val="24"/>
              <w:szCs w:val="24"/>
            </w:rPr>
          </w:pPr>
          <w:r w:rsidRPr="004F7161">
            <w:rPr>
              <w:rFonts w:ascii="Arial" w:hAnsi="Arial" w:cs="Arial"/>
              <w:b/>
              <w:bCs/>
              <w:noProof/>
              <w:sz w:val="24"/>
              <w:szCs w:val="24"/>
            </w:rPr>
            <w:fldChar w:fldCharType="end"/>
          </w:r>
        </w:p>
      </w:sdtContent>
    </w:sdt>
    <w:p w14:paraId="1870D8AD" w14:textId="6C4135B6" w:rsidR="00C7084E" w:rsidRPr="004F7161" w:rsidRDefault="00C7084E" w:rsidP="004F7161">
      <w:pPr>
        <w:spacing w:line="360" w:lineRule="auto"/>
        <w:rPr>
          <w:rFonts w:ascii="Arial" w:hAnsi="Arial" w:cs="Arial"/>
        </w:rPr>
      </w:pPr>
      <w:r w:rsidRPr="004F7161">
        <w:rPr>
          <w:rFonts w:ascii="Arial" w:hAnsi="Arial" w:cs="Arial"/>
        </w:rPr>
        <w:br w:type="page"/>
      </w:r>
    </w:p>
    <w:p w14:paraId="3BB16738" w14:textId="2630A9AC" w:rsidR="00C521D7" w:rsidRPr="004F7161" w:rsidRDefault="00C521D7" w:rsidP="004F7161">
      <w:pPr>
        <w:pStyle w:val="Heading1"/>
        <w:spacing w:line="360" w:lineRule="auto"/>
        <w:rPr>
          <w:rFonts w:ascii="Arial" w:eastAsia="Times New Roman" w:hAnsi="Arial" w:cs="Arial"/>
          <w:b/>
          <w:bCs/>
          <w:color w:val="auto"/>
          <w:sz w:val="24"/>
          <w:szCs w:val="24"/>
        </w:rPr>
      </w:pPr>
      <w:bookmarkStart w:id="0" w:name="_Toc166803553"/>
      <w:r w:rsidRPr="004F7161">
        <w:rPr>
          <w:rFonts w:ascii="Arial" w:eastAsia="Times New Roman" w:hAnsi="Arial" w:cs="Arial"/>
          <w:b/>
          <w:bCs/>
          <w:color w:val="auto"/>
          <w:sz w:val="24"/>
          <w:szCs w:val="24"/>
        </w:rPr>
        <w:lastRenderedPageBreak/>
        <w:t xml:space="preserve">Component 1 - Professional </w:t>
      </w:r>
      <w:r w:rsidR="006B4724" w:rsidRPr="004F7161">
        <w:rPr>
          <w:rFonts w:ascii="Arial" w:eastAsia="Times New Roman" w:hAnsi="Arial" w:cs="Arial"/>
          <w:b/>
          <w:bCs/>
          <w:color w:val="auto"/>
          <w:sz w:val="24"/>
          <w:szCs w:val="24"/>
        </w:rPr>
        <w:t>R</w:t>
      </w:r>
      <w:r w:rsidRPr="004F7161">
        <w:rPr>
          <w:rFonts w:ascii="Arial" w:eastAsia="Times New Roman" w:hAnsi="Arial" w:cs="Arial"/>
          <w:b/>
          <w:bCs/>
          <w:color w:val="auto"/>
          <w:sz w:val="24"/>
          <w:szCs w:val="24"/>
        </w:rPr>
        <w:t>eflection</w:t>
      </w:r>
      <w:bookmarkEnd w:id="0"/>
    </w:p>
    <w:p w14:paraId="72BF545B" w14:textId="65F1B359"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During my Level 4 placement in a hotel restaurant, I witnessed an F&amp;B employee and a client miscommunication. The guest coming from Japan gave out his desire for a veggie menu. Consequently, the indirect manner of saying a typical issue in Japan along with communication style resulted in the F&amp;B employee serving a dish that contained meat instead. This case shows the way misunderstanding happens so easily when there are cultural differences, especially in verbal and non-verbal forms of communication</w:t>
      </w:r>
      <w:r w:rsidR="004B6B5F" w:rsidRPr="004F7161">
        <w:rPr>
          <w:rFonts w:ascii="Arial" w:hAnsi="Arial" w:cs="Arial"/>
          <w:sz w:val="24"/>
          <w:szCs w:val="24"/>
        </w:rPr>
        <w:t xml:space="preserve"> </w:t>
      </w:r>
      <w:r w:rsidR="004B6B5F" w:rsidRPr="004F7161">
        <w:rPr>
          <w:rFonts w:ascii="Arial" w:hAnsi="Arial" w:cs="Arial"/>
          <w:sz w:val="24"/>
          <w:szCs w:val="24"/>
        </w:rPr>
        <w:fldChar w:fldCharType="begin"/>
      </w:r>
      <w:r w:rsidR="004B6B5F" w:rsidRPr="004F7161">
        <w:rPr>
          <w:rFonts w:ascii="Arial" w:hAnsi="Arial" w:cs="Arial"/>
          <w:sz w:val="24"/>
          <w:szCs w:val="24"/>
        </w:rPr>
        <w:instrText xml:space="preserve"> ADDIN EN.CITE &lt;EndNote&gt;&lt;Cite&gt;&lt;Author&gt;Mariani&lt;/Author&gt;&lt;Year&gt;2020&lt;/Year&gt;&lt;RecNum&gt;423&lt;/RecNum&gt;&lt;DisplayText&gt;(Mariani et al., 2020)&lt;/DisplayText&gt;&lt;record&gt;&lt;rec-number&gt;423&lt;/rec-number&gt;&lt;foreign-keys&gt;&lt;key app="EN" db-id="tewdsarx8pzspgee9ea5vzsqwvtsztwrve2d" timestamp="1715893650"&gt;423&lt;/key&gt;&lt;/foreign-keys&gt;&lt;ref-type name="Journal Article"&gt;17&lt;/ref-type&gt;&lt;contributors&gt;&lt;authors&gt;&lt;author&gt;Mariani, Marcello M&lt;/author&gt;&lt;author&gt;Borghi, Matteo&lt;/author&gt;&lt;author&gt;Okumus, Fevzi&lt;/author&gt;&lt;/authors&gt;&lt;/contributors&gt;&lt;titles&gt;&lt;title&gt;Unravelling the effects of cultural differences in the online appraisal of hospitality and tourism services&lt;/title&gt;&lt;secondary-title&gt;International Journal of Hospitality Management&lt;/secondary-title&gt;&lt;/titles&gt;&lt;periodical&gt;&lt;full-title&gt;International Journal of Hospitality Management&lt;/full-title&gt;&lt;/periodical&gt;&lt;pages&gt;102606&lt;/pages&gt;&lt;volume&gt;90&lt;/volume&gt;&lt;dates&gt;&lt;year&gt;2020&lt;/year&gt;&lt;/dates&gt;&lt;isbn&gt;0278-4319&lt;/isbn&gt;&lt;urls&gt;&lt;/urls&gt;&lt;/record&gt;&lt;/Cite&gt;&lt;/EndNote&gt;</w:instrText>
      </w:r>
      <w:r w:rsidR="004B6B5F" w:rsidRPr="004F7161">
        <w:rPr>
          <w:rFonts w:ascii="Arial" w:hAnsi="Arial" w:cs="Arial"/>
          <w:sz w:val="24"/>
          <w:szCs w:val="24"/>
        </w:rPr>
        <w:fldChar w:fldCharType="separate"/>
      </w:r>
      <w:r w:rsidR="004B6B5F" w:rsidRPr="004F7161">
        <w:rPr>
          <w:rFonts w:ascii="Arial" w:hAnsi="Arial" w:cs="Arial"/>
          <w:noProof/>
          <w:sz w:val="24"/>
          <w:szCs w:val="24"/>
        </w:rPr>
        <w:t>(Mariani et al., 2020)</w:t>
      </w:r>
      <w:r w:rsidR="004B6B5F" w:rsidRPr="004F7161">
        <w:rPr>
          <w:rFonts w:ascii="Arial" w:hAnsi="Arial" w:cs="Arial"/>
          <w:sz w:val="24"/>
          <w:szCs w:val="24"/>
        </w:rPr>
        <w:fldChar w:fldCharType="end"/>
      </w:r>
      <w:r w:rsidRPr="004F7161">
        <w:rPr>
          <w:rFonts w:ascii="Arial" w:hAnsi="Arial" w:cs="Arial"/>
          <w:sz w:val="24"/>
          <w:szCs w:val="24"/>
        </w:rPr>
        <w:t>.</w:t>
      </w:r>
    </w:p>
    <w:p w14:paraId="6CF3BEE5" w14:textId="4FE6CDFF"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Among Asian cultures, direct, explicit, and adverse communication is considered impolite and offensive, therefore such communication should be avoided. It may seem forward or just plain pushy to some people to express what exactly you want directly</w:t>
      </w:r>
      <w:r w:rsidR="004B6B5F" w:rsidRPr="004F7161">
        <w:rPr>
          <w:rFonts w:ascii="Arial" w:hAnsi="Arial" w:cs="Arial"/>
          <w:sz w:val="24"/>
          <w:szCs w:val="24"/>
        </w:rPr>
        <w:t xml:space="preserve"> </w:t>
      </w:r>
      <w:r w:rsidR="004B6B5F" w:rsidRPr="004F7161">
        <w:rPr>
          <w:rFonts w:ascii="Arial" w:hAnsi="Arial" w:cs="Arial"/>
          <w:sz w:val="24"/>
          <w:szCs w:val="24"/>
        </w:rPr>
        <w:fldChar w:fldCharType="begin"/>
      </w:r>
      <w:r w:rsidR="004B6B5F" w:rsidRPr="004F7161">
        <w:rPr>
          <w:rFonts w:ascii="Arial" w:hAnsi="Arial" w:cs="Arial"/>
          <w:sz w:val="24"/>
          <w:szCs w:val="24"/>
        </w:rPr>
        <w:instrText xml:space="preserve"> ADDIN EN.CITE &lt;EndNote&gt;&lt;Cite&gt;&lt;Author&gt;Nomnian&lt;/Author&gt;&lt;Year&gt;2020&lt;/Year&gt;&lt;RecNum&gt;424&lt;/RecNum&gt;&lt;DisplayText&gt;(Nomnian et al., 2020)&lt;/DisplayText&gt;&lt;record&gt;&lt;rec-number&gt;424&lt;/rec-number&gt;&lt;foreign-keys&gt;&lt;key app="EN" db-id="tewdsarx8pzspgee9ea5vzsqwvtsztwrve2d" timestamp="1715893719"&gt;424&lt;/key&gt;&lt;/foreign-keys&gt;&lt;ref-type name="Journal Article"&gt;17&lt;/ref-type&gt;&lt;contributors&gt;&lt;authors&gt;&lt;author&gt;Nomnian, Singhanat&lt;/author&gt;&lt;author&gt;Trupp, Alexander&lt;/author&gt;&lt;author&gt;Niyomthong, Wilawan&lt;/author&gt;&lt;author&gt;Tangcharoensathaporn, Prakaimook&lt;/author&gt;&lt;author&gt;Charoenkongka, Anan&lt;/author&gt;&lt;/authors&gt;&lt;/contributors&gt;&lt;titles&gt;&lt;title&gt;Language and community-based tourism use, needs, dependency, and limitations&lt;/title&gt;&lt;secondary-title&gt;Austrian Journal of South-East Asian Studies&lt;/secondary-title&gt;&lt;/titles&gt;&lt;periodical&gt;&lt;full-title&gt;Austrian Journal of South-East Asian Studies&lt;/full-title&gt;&lt;/periodical&gt;&lt;pages&gt;57-79&lt;/pages&gt;&lt;volume&gt;13&lt;/volume&gt;&lt;number&gt;1&lt;/number&gt;&lt;dates&gt;&lt;year&gt;2020&lt;/year&gt;&lt;/dates&gt;&lt;isbn&gt;1999-2521&lt;/isbn&gt;&lt;urls&gt;&lt;/urls&gt;&lt;/record&gt;&lt;/Cite&gt;&lt;/EndNote&gt;</w:instrText>
      </w:r>
      <w:r w:rsidR="004B6B5F" w:rsidRPr="004F7161">
        <w:rPr>
          <w:rFonts w:ascii="Arial" w:hAnsi="Arial" w:cs="Arial"/>
          <w:sz w:val="24"/>
          <w:szCs w:val="24"/>
        </w:rPr>
        <w:fldChar w:fldCharType="separate"/>
      </w:r>
      <w:r w:rsidR="004B6B5F" w:rsidRPr="004F7161">
        <w:rPr>
          <w:rFonts w:ascii="Arial" w:hAnsi="Arial" w:cs="Arial"/>
          <w:noProof/>
          <w:sz w:val="24"/>
          <w:szCs w:val="24"/>
        </w:rPr>
        <w:t>(Nomnian et al., 2020)</w:t>
      </w:r>
      <w:r w:rsidR="004B6B5F" w:rsidRPr="004F7161">
        <w:rPr>
          <w:rFonts w:ascii="Arial" w:hAnsi="Arial" w:cs="Arial"/>
          <w:sz w:val="24"/>
          <w:szCs w:val="24"/>
        </w:rPr>
        <w:fldChar w:fldCharType="end"/>
      </w:r>
      <w:r w:rsidRPr="004F7161">
        <w:rPr>
          <w:rFonts w:ascii="Arial" w:hAnsi="Arial" w:cs="Arial"/>
          <w:sz w:val="24"/>
          <w:szCs w:val="24"/>
        </w:rPr>
        <w:t>. However, the value of directness is often a subject of discussion in Western Cultures such as the USA where directness is appreciated and expected in service interactions which are seen to be more efficient and satisfying. This cultural gap in communication approaches is a possible source of misunderstandings in environments that are multicultural, such as hotels.</w:t>
      </w:r>
    </w:p>
    <w:p w14:paraId="59957608" w14:textId="4AF36528"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Considering this situation, I have realized that we need to have profound cultural understanding, and improved language skills to avoid situations like this in the future. Implementing cultural competency training, that covers staff, is a crucial thing to address these needs. Such training would involve courses that lecture on the meaning of cultural norms and the role of communication tools as well as dietary preferences from around the world. This could provide employees with missing information when customers put across a unique request or desire.</w:t>
      </w:r>
    </w:p>
    <w:p w14:paraId="55DDEAD2" w14:textId="692C1CA1"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Also, language skill enrichment among staff, including frequent languages used by hotel guests, can be regarded as a means for better communication. It is not enough that the employees learn the basic phrases but also the cultural meaning of these phrases to enable communication when interacting with clients. In this instance, say, if a guest from a low-context country (Japan) wants to express indirectly, the service provider will require a suitable query to confirm the needs of the guest</w:t>
      </w:r>
      <w:r w:rsidR="004B6B5F" w:rsidRPr="004F7161">
        <w:rPr>
          <w:rFonts w:ascii="Arial" w:hAnsi="Arial" w:cs="Arial"/>
          <w:sz w:val="24"/>
          <w:szCs w:val="24"/>
        </w:rPr>
        <w:t xml:space="preserve"> </w:t>
      </w:r>
      <w:r w:rsidR="004B6B5F" w:rsidRPr="004F7161">
        <w:rPr>
          <w:rFonts w:ascii="Arial" w:hAnsi="Arial" w:cs="Arial"/>
          <w:sz w:val="24"/>
          <w:szCs w:val="24"/>
        </w:rPr>
        <w:fldChar w:fldCharType="begin"/>
      </w:r>
      <w:r w:rsidR="004B6B5F" w:rsidRPr="004F7161">
        <w:rPr>
          <w:rFonts w:ascii="Arial" w:hAnsi="Arial" w:cs="Arial"/>
          <w:sz w:val="24"/>
          <w:szCs w:val="24"/>
        </w:rPr>
        <w:instrText xml:space="preserve"> ADDIN EN.CITE &lt;EndNote&gt;&lt;Cite&gt;&lt;Author&gt;Cenni&lt;/Author&gt;&lt;Year&gt;2020&lt;/Year&gt;&lt;RecNum&gt;425&lt;/RecNum&gt;&lt;DisplayText&gt;(Cenni &amp;amp; Goethals, 2020)&lt;/DisplayText&gt;&lt;record&gt;&lt;rec-number&gt;425&lt;/rec-number&gt;&lt;foreign-keys&gt;&lt;key app="EN" db-id="tewdsarx8pzspgee9ea5vzsqwvtsztwrve2d" timestamp="1715893746"&gt;425&lt;/key&gt;&lt;/foreign-keys&gt;&lt;ref-type name="Journal Article"&gt;17&lt;/ref-type&gt;&lt;contributors&gt;&lt;authors&gt;&lt;author&gt;Cenni, Irene&lt;/author&gt;&lt;author&gt;Goethals, Patrick&lt;/author&gt;&lt;/authors&gt;&lt;/contributors&gt;&lt;titles&gt;&lt;title&gt;Responding to negative hotel reviews: A cross-linguistic perspective on online rapport-management&lt;/title&gt;&lt;secondary-title&gt;Discourse, Context &amp;amp; Media&lt;/secondary-title&gt;&lt;/titles&gt;&lt;periodical&gt;&lt;full-title&gt;Discourse, Context &amp;amp; Media&lt;/full-title&gt;&lt;/periodical&gt;&lt;pages&gt;100430&lt;/pages&gt;&lt;volume&gt;37&lt;/volume&gt;&lt;dates&gt;&lt;year&gt;2020&lt;/year&gt;&lt;/dates&gt;&lt;isbn&gt;2211-6958&lt;/isbn&gt;&lt;urls&gt;&lt;/urls&gt;&lt;/record&gt;&lt;/Cite&gt;&lt;/EndNote&gt;</w:instrText>
      </w:r>
      <w:r w:rsidR="004B6B5F" w:rsidRPr="004F7161">
        <w:rPr>
          <w:rFonts w:ascii="Arial" w:hAnsi="Arial" w:cs="Arial"/>
          <w:sz w:val="24"/>
          <w:szCs w:val="24"/>
        </w:rPr>
        <w:fldChar w:fldCharType="separate"/>
      </w:r>
      <w:r w:rsidR="004B6B5F" w:rsidRPr="004F7161">
        <w:rPr>
          <w:rFonts w:ascii="Arial" w:hAnsi="Arial" w:cs="Arial"/>
          <w:noProof/>
          <w:sz w:val="24"/>
          <w:szCs w:val="24"/>
        </w:rPr>
        <w:t>(Cenni &amp; Goethals, 2020)</w:t>
      </w:r>
      <w:r w:rsidR="004B6B5F" w:rsidRPr="004F7161">
        <w:rPr>
          <w:rFonts w:ascii="Arial" w:hAnsi="Arial" w:cs="Arial"/>
          <w:sz w:val="24"/>
          <w:szCs w:val="24"/>
        </w:rPr>
        <w:fldChar w:fldCharType="end"/>
      </w:r>
      <w:r w:rsidRPr="004F7161">
        <w:rPr>
          <w:rFonts w:ascii="Arial" w:hAnsi="Arial" w:cs="Arial"/>
          <w:sz w:val="24"/>
          <w:szCs w:val="24"/>
        </w:rPr>
        <w:t>.</w:t>
      </w:r>
    </w:p>
    <w:p w14:paraId="29F4A501" w14:textId="5934E3EC"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lastRenderedPageBreak/>
        <w:t>Looking back at the changes in my attitude to my role in future hospitality, I forwardly bring into consideration the importance of active listening skills and cultural awareness. The essence of my job will be active participation in the conversation, looking carefully beyond the verbal word to listen to the non-verbal cues of the guests, and sensitivity to the cultural norms of politeness and preference</w:t>
      </w:r>
      <w:r w:rsidR="004B6B5F" w:rsidRPr="004F7161">
        <w:rPr>
          <w:rFonts w:ascii="Arial" w:hAnsi="Arial" w:cs="Arial"/>
          <w:sz w:val="24"/>
          <w:szCs w:val="24"/>
        </w:rPr>
        <w:t xml:space="preserve"> </w:t>
      </w:r>
      <w:r w:rsidR="004B6B5F" w:rsidRPr="004F7161">
        <w:rPr>
          <w:rFonts w:ascii="Arial" w:hAnsi="Arial" w:cs="Arial"/>
          <w:sz w:val="24"/>
          <w:szCs w:val="24"/>
        </w:rPr>
        <w:fldChar w:fldCharType="begin"/>
      </w:r>
      <w:r w:rsidR="004B6B5F" w:rsidRPr="004F7161">
        <w:rPr>
          <w:rFonts w:ascii="Arial" w:hAnsi="Arial" w:cs="Arial"/>
          <w:sz w:val="24"/>
          <w:szCs w:val="24"/>
        </w:rPr>
        <w:instrText xml:space="preserve"> ADDIN EN.CITE &lt;EndNote&gt;&lt;Cite&gt;&lt;Author&gt;Tsiotsou&lt;/Author&gt;&lt;Year&gt;2019&lt;/Year&gt;&lt;RecNum&gt;426&lt;/RecNum&gt;&lt;DisplayText&gt;(Tsiotsou, 2019)&lt;/DisplayText&gt;&lt;record&gt;&lt;rec-number&gt;426&lt;/rec-number&gt;&lt;foreign-keys&gt;&lt;key app="EN" db-id="tewdsarx8pzspgee9ea5vzsqwvtsztwrve2d" timestamp="1715893772"&gt;426&lt;/key&gt;&lt;/foreign-keys&gt;&lt;ref-type name="Journal Article"&gt;17&lt;/ref-type&gt;&lt;contributors&gt;&lt;authors&gt;&lt;author&gt;Tsiotsou, Rodoula H&lt;/author&gt;&lt;/authors&gt;&lt;/contributors&gt;&lt;titles&gt;&lt;title&gt;Rate my firm: cultural differences in service evaluations&lt;/title&gt;&lt;secondary-title&gt;Journal of Services Marketing&lt;/secondary-title&gt;&lt;/titles&gt;&lt;periodical&gt;&lt;full-title&gt;Journal of Services Marketing&lt;/full-title&gt;&lt;/periodical&gt;&lt;pages&gt;815-836&lt;/pages&gt;&lt;volume&gt;33&lt;/volume&gt;&lt;number&gt;7&lt;/number&gt;&lt;dates&gt;&lt;year&gt;2019&lt;/year&gt;&lt;/dates&gt;&lt;isbn&gt;0887-6045&lt;/isbn&gt;&lt;urls&gt;&lt;/urls&gt;&lt;/record&gt;&lt;/Cite&gt;&lt;/EndNote&gt;</w:instrText>
      </w:r>
      <w:r w:rsidR="004B6B5F" w:rsidRPr="004F7161">
        <w:rPr>
          <w:rFonts w:ascii="Arial" w:hAnsi="Arial" w:cs="Arial"/>
          <w:sz w:val="24"/>
          <w:szCs w:val="24"/>
        </w:rPr>
        <w:fldChar w:fldCharType="separate"/>
      </w:r>
      <w:r w:rsidR="004B6B5F" w:rsidRPr="004F7161">
        <w:rPr>
          <w:rFonts w:ascii="Arial" w:hAnsi="Arial" w:cs="Arial"/>
          <w:noProof/>
          <w:sz w:val="24"/>
          <w:szCs w:val="24"/>
        </w:rPr>
        <w:t>(Tsiotsou, 2019)</w:t>
      </w:r>
      <w:r w:rsidR="004B6B5F" w:rsidRPr="004F7161">
        <w:rPr>
          <w:rFonts w:ascii="Arial" w:hAnsi="Arial" w:cs="Arial"/>
          <w:sz w:val="24"/>
          <w:szCs w:val="24"/>
        </w:rPr>
        <w:fldChar w:fldCharType="end"/>
      </w:r>
      <w:r w:rsidRPr="004F7161">
        <w:rPr>
          <w:rFonts w:ascii="Arial" w:hAnsi="Arial" w:cs="Arial"/>
          <w:sz w:val="24"/>
          <w:szCs w:val="24"/>
        </w:rPr>
        <w:t>.</w:t>
      </w:r>
    </w:p>
    <w:p w14:paraId="296ACEBD" w14:textId="5461853D"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It has helped me realize that cultural competence is one of the demands in the hospitality industry. Shortly, I aim to get deeper into cross-cultural learning and become proficient in conversing with people of different nationalities and backgrounds. I am determined to do this to be among the drivers of a more inclusive and amiable service arena.</w:t>
      </w:r>
    </w:p>
    <w:p w14:paraId="7E126720" w14:textId="3090D8B8" w:rsidR="00D10692" w:rsidRPr="004F7161" w:rsidRDefault="00D10692" w:rsidP="004F7161">
      <w:pPr>
        <w:pStyle w:val="Heading1"/>
        <w:spacing w:line="360" w:lineRule="auto"/>
        <w:rPr>
          <w:rFonts w:ascii="Arial" w:hAnsi="Arial" w:cs="Arial"/>
          <w:b/>
          <w:bCs/>
          <w:color w:val="auto"/>
          <w:sz w:val="24"/>
          <w:szCs w:val="24"/>
        </w:rPr>
      </w:pPr>
      <w:bookmarkStart w:id="1" w:name="_Toc166803554"/>
      <w:r w:rsidRPr="004F7161">
        <w:rPr>
          <w:rFonts w:ascii="Arial" w:hAnsi="Arial" w:cs="Arial"/>
          <w:b/>
          <w:bCs/>
          <w:color w:val="auto"/>
          <w:sz w:val="24"/>
          <w:szCs w:val="24"/>
        </w:rPr>
        <w:t xml:space="preserve">Component 2 - Training </w:t>
      </w:r>
      <w:r w:rsidR="006B4724" w:rsidRPr="004F7161">
        <w:rPr>
          <w:rFonts w:ascii="Arial" w:hAnsi="Arial" w:cs="Arial"/>
          <w:b/>
          <w:bCs/>
          <w:color w:val="auto"/>
          <w:sz w:val="24"/>
          <w:szCs w:val="24"/>
        </w:rPr>
        <w:t>P</w:t>
      </w:r>
      <w:r w:rsidRPr="004F7161">
        <w:rPr>
          <w:rFonts w:ascii="Arial" w:hAnsi="Arial" w:cs="Arial"/>
          <w:b/>
          <w:bCs/>
          <w:color w:val="auto"/>
          <w:sz w:val="24"/>
          <w:szCs w:val="24"/>
        </w:rPr>
        <w:t>lan</w:t>
      </w:r>
      <w:bookmarkEnd w:id="1"/>
    </w:p>
    <w:p w14:paraId="2F2C33EA" w14:textId="77777777" w:rsidR="00D20A6C" w:rsidRPr="004F7161" w:rsidRDefault="00D20A6C" w:rsidP="004F7161">
      <w:pPr>
        <w:pStyle w:val="Heading2"/>
        <w:spacing w:line="360" w:lineRule="auto"/>
        <w:rPr>
          <w:rFonts w:ascii="Arial" w:hAnsi="Arial" w:cs="Arial"/>
          <w:b/>
          <w:bCs/>
          <w:color w:val="auto"/>
          <w:sz w:val="24"/>
          <w:szCs w:val="24"/>
        </w:rPr>
      </w:pPr>
      <w:bookmarkStart w:id="2" w:name="_Toc166803555"/>
      <w:r w:rsidRPr="004F7161">
        <w:rPr>
          <w:rFonts w:ascii="Arial" w:hAnsi="Arial" w:cs="Arial"/>
          <w:b/>
          <w:bCs/>
          <w:color w:val="auto"/>
          <w:sz w:val="24"/>
          <w:szCs w:val="24"/>
        </w:rPr>
        <w:t>Objective:</w:t>
      </w:r>
      <w:bookmarkEnd w:id="2"/>
    </w:p>
    <w:p w14:paraId="4DD07555" w14:textId="5FF2891B"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This training plan will be structured to provide information on cultural diversity and enhance understanding of culturally competent care from the staff at our cultural level 4 placement hotel. The key objective is to train all F&amp;B staff including the waiters, hosts, and management in cultural competence skills. The staff will acquire the competencies on how to manage communication and service provision issues.</w:t>
      </w:r>
    </w:p>
    <w:p w14:paraId="5132247E" w14:textId="15724C3E" w:rsidR="00D20A6C" w:rsidRPr="004F7161" w:rsidRDefault="00D20A6C" w:rsidP="004F7161">
      <w:pPr>
        <w:pStyle w:val="Heading2"/>
        <w:spacing w:line="360" w:lineRule="auto"/>
        <w:rPr>
          <w:rFonts w:ascii="Arial" w:hAnsi="Arial" w:cs="Arial"/>
          <w:b/>
          <w:bCs/>
          <w:color w:val="auto"/>
          <w:sz w:val="24"/>
          <w:szCs w:val="24"/>
        </w:rPr>
      </w:pPr>
      <w:bookmarkStart w:id="3" w:name="_Toc166803556"/>
      <w:r w:rsidRPr="004F7161">
        <w:rPr>
          <w:rFonts w:ascii="Arial" w:hAnsi="Arial" w:cs="Arial"/>
          <w:b/>
          <w:bCs/>
          <w:color w:val="auto"/>
          <w:sz w:val="24"/>
          <w:szCs w:val="24"/>
        </w:rPr>
        <w:t>Training Content:</w:t>
      </w:r>
      <w:bookmarkEnd w:id="3"/>
    </w:p>
    <w:p w14:paraId="0BAED96E" w14:textId="48CEAFDC"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The training will start with a module entitled Understanding Cultural Difference, which will teach the basic principles of cultural dissimilarity in the mode of communication. This part will be dedicated to the difference between high-context cultures e. g. Japan and China and low-context cultures such as Germany and the USA. Simulations of the situation and role-playing activities will make the staff aware of the nuances of both direct and indirect communication styles, as well as letting them learn to observe and respond to non-verbal cues and indirect speech patterns</w:t>
      </w:r>
      <w:r w:rsidR="004B6B5F" w:rsidRPr="004F7161">
        <w:rPr>
          <w:rFonts w:ascii="Arial" w:hAnsi="Arial" w:cs="Arial"/>
          <w:sz w:val="24"/>
          <w:szCs w:val="24"/>
        </w:rPr>
        <w:t xml:space="preserve"> </w:t>
      </w:r>
      <w:r w:rsidR="004B6B5F"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&lt;EndNote&gt;&lt;Cite&gt;&lt;Author&gt;Sharma&lt;/Author&gt;&lt;Year&gt;2018&lt;/Year&gt;&lt;RecNum&gt;427&lt;/RecNum&gt;&lt;DisplayText&gt;(Mariani et al., 2019; Sharma, 2018)&lt;/DisplayText&gt;&lt;record&gt;&lt;rec-number&gt;427&lt;/rec-number&gt;&lt;foreign-keys&gt;&lt;key app="EN" db-id="tewdsarx8pzspgee9ea5vzsqwvtsztwrve2d" timestamp="1715893825"&gt;427&lt;/key&gt;&lt;/foreign-keys&gt;&lt;ref-type name="Journal Article"&gt;17&lt;/ref-type&gt;&lt;contributors&gt;&lt;authors&gt;&lt;author&gt;Sharma, Bal Krishna&lt;/author&gt;&lt;/authors&gt;&lt;/contributors&gt;&lt;titles&gt;&lt;title&gt;Training workers for intercultural communication in tourism&lt;/title&gt;&lt;secondary-title&gt;Language and Intercultural Communication&lt;/secondary-title&gt;&lt;/titles&gt;&lt;periodical&gt;&lt;full-title&gt;Language and Intercultural Communication&lt;/full-title&gt;&lt;/periodical&gt;&lt;pages&gt;408-423&lt;/pages&gt;&lt;volume&gt;18&lt;/volume&gt;&lt;number&gt;4&lt;/number&gt;&lt;dates&gt;&lt;year&gt;2018&lt;/year&gt;&lt;/dates&gt;&lt;isbn&gt;1470-8477&lt;/isbn&gt;&lt;urls&gt;&lt;/urls&gt;&lt;/record&gt;&lt;/Cite&gt;&lt;Cite&gt;&lt;Author&gt;Mariani&lt;/Author&gt;&lt;Year&gt;2019&lt;/Year&gt;&lt;RecNum&gt;428&lt;/RecNum&gt;&lt;record&gt;&lt;rec-number&gt;428&lt;/rec-number&gt;&lt;foreign-keys&gt;&lt;key app="EN" db-id="tewdsarx8pzspgee9ea5vzsqwvtsztwrve2d" timestamp="1715893846"&gt;428&lt;/key&gt;&lt;/foreign-keys&gt;&lt;ref-type name="Journal Article"&gt;17&lt;/ref-type&gt;&lt;contributors&gt;&lt;authors&gt;&lt;author&gt;Mariani, Marcello M&lt;/author&gt;&lt;author&gt;Borghi, Matteo&lt;/author&gt;&lt;author&gt;Kazakov, Sergey&lt;/author&gt;&lt;/authors&gt;&lt;/contributors&gt;&lt;titles&gt;&lt;title&gt;The role of language in the online evaluation of hospitality service encounters: An empirical study&lt;/title&gt;&lt;secondary-title&gt;International Journal of Hospitality Management&lt;/secondary-title&gt;&lt;/titles&gt;&lt;periodical&gt;&lt;full-title&gt;International Journal of Hospitality Management&lt;/full-title&gt;&lt;/periodical&gt;&lt;pages&gt;50-58&lt;/pages&gt;&lt;volume&gt;78&lt;/volume&gt;&lt;dates&gt;&lt;year&gt;2019&lt;/year&gt;&lt;/dates&gt;&lt;isbn&gt;0278-4319&lt;/isbn&gt;&lt;urls&gt;&lt;/urls&gt;&lt;/record&gt;&lt;/Cite&gt;&lt;/EndNote&gt;</w:instrText>
      </w:r>
      <w:r w:rsidR="004B6B5F" w:rsidRPr="004F7161">
        <w:rPr>
          <w:rFonts w:ascii="Arial" w:hAnsi="Arial" w:cs="Arial"/>
          <w:sz w:val="24"/>
          <w:szCs w:val="24"/>
        </w:rPr>
        <w:fldChar w:fldCharType="separate"/>
      </w:r>
      <w:r w:rsidR="0026652C" w:rsidRPr="004F7161">
        <w:rPr>
          <w:rFonts w:ascii="Arial" w:hAnsi="Arial" w:cs="Arial"/>
          <w:noProof/>
          <w:sz w:val="24"/>
          <w:szCs w:val="24"/>
        </w:rPr>
        <w:t>(Mariani et al., 2019; Sharma, 2018)</w:t>
      </w:r>
      <w:r w:rsidR="004B6B5F" w:rsidRPr="004F7161">
        <w:rPr>
          <w:rFonts w:ascii="Arial" w:hAnsi="Arial" w:cs="Arial"/>
          <w:sz w:val="24"/>
          <w:szCs w:val="24"/>
        </w:rPr>
        <w:fldChar w:fldCharType="end"/>
      </w:r>
      <w:r w:rsidRPr="004F7161">
        <w:rPr>
          <w:rFonts w:ascii="Arial" w:hAnsi="Arial" w:cs="Arial"/>
          <w:sz w:val="24"/>
          <w:szCs w:val="24"/>
        </w:rPr>
        <w:t>.</w:t>
      </w:r>
    </w:p>
    <w:p w14:paraId="4DD81AC4" w14:textId="69A112D9"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 xml:space="preserve">Then, the next module, entitled Effective Communication Strategies, will provide examples of strategies for effective cross-cultural communication, including active listening and clarification techniques as the key aspects. Workshops will provide the fundamentals of phraseology, tone, and body language for different cultures in sessions, </w:t>
      </w:r>
      <w:r w:rsidRPr="004F7161">
        <w:rPr>
          <w:rFonts w:ascii="Arial" w:hAnsi="Arial" w:cs="Arial"/>
          <w:sz w:val="24"/>
          <w:szCs w:val="24"/>
        </w:rPr>
        <w:lastRenderedPageBreak/>
        <w:t>whereby the practice will be using real scenarios. It is about workers understanding the art of open questions that will help them to be on the same page with the guests without assuming anything</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&lt;EndNote&gt;&lt;Cite&gt;&lt;Author&gt;Lam&lt;/Author&gt;&lt;Year&gt;2018&lt;/Year&gt;&lt;RecNum&gt;429&lt;/RecNum&gt;&lt;DisplayText&gt;(Lam &amp;amp; Cheung, 2018)&lt;/DisplayText&gt;&lt;record&gt;&lt;rec-number&gt;429&lt;/rec-number&gt;&lt;foreign-keys&gt;&lt;key app="EN" db-id="tewdsarx8pzspgee9ea5vzsqwvtsztwrve2d" timestamp="1715893871"&gt;429&lt;/key&gt;&lt;/foreign-keys&gt;&lt;ref-type name="Journal Article"&gt;17&lt;/ref-type&gt;&lt;contributors&gt;&lt;authors&gt;&lt;author&gt;Lam, Rachel&lt;/author&gt;&lt;author&gt;Cheung, Catherine&lt;/author&gt;&lt;/authors&gt;&lt;/contributors&gt;&lt;titles&gt;&lt;title&gt;Towards an understanding of the culturally intelligent behaviour of hotel service employees&lt;/title&gt;&lt;secondary-title&gt;International Journal of Tourism Sciences&lt;/secondary-title&gt;&lt;/titles&gt;&lt;periodical&gt;&lt;full-title&gt;International Journal of Tourism Sciences&lt;/full-title&gt;&lt;/periodical&gt;&lt;pages&gt;202-214&lt;/pages&gt;&lt;volume&gt;18&lt;/volume&gt;&lt;number&gt;3&lt;/number&gt;&lt;dates&gt;&lt;year&gt;2018&lt;/year&gt;&lt;/dates&gt;&lt;isbn&gt;1598-0634&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(Lam &amp; Cheung, 2018)</w:t>
      </w:r>
      <w:r w:rsidR="0026652C" w:rsidRPr="004F7161">
        <w:rPr>
          <w:rFonts w:ascii="Arial" w:hAnsi="Arial" w:cs="Arial"/>
          <w:sz w:val="24"/>
          <w:szCs w:val="24"/>
        </w:rPr>
        <w:fldChar w:fldCharType="end"/>
      </w:r>
      <w:r w:rsidRPr="004F7161">
        <w:rPr>
          <w:rFonts w:ascii="Arial" w:hAnsi="Arial" w:cs="Arial"/>
          <w:sz w:val="24"/>
          <w:szCs w:val="24"/>
        </w:rPr>
        <w:t>.</w:t>
      </w:r>
    </w:p>
    <w:p w14:paraId="7687A7D1" w14:textId="18C385C0"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In the Cultural Sensitivity in Service Delivery class, employees will be taught aspects that are culturally preferred and sensitivities, which include dietary preferences and how to provide services. The module will have guest speakers of different cultural backgrounds contribute and make a reference manual in writing down some cultural norms and taboos. Our purpose will be to ensure that the employees are knowledgeable and have the cultural sensitivity required to provide individualized service that values the guest’s culture</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&lt;EndNote&gt;&lt;Cite&gt;&lt;Author&gt;Kamal Abdien&lt;/Author&gt;&lt;Year&gt;2019&lt;/Year&gt;&lt;RecNum&gt;430&lt;/RecNum&gt;&lt;DisplayText&gt;(Kamal Abdien &amp;amp; Jacob, 2019)&lt;/DisplayText&gt;&lt;record&gt;&lt;rec-number&gt;430&lt;/rec-number&gt;&lt;foreign-keys&gt;&lt;key app="EN" db-id="tewdsarx8pzspgee9ea5vzsqwvtsztwrve2d" timestamp="1715893894"&gt;430&lt;/key&gt;&lt;/foreign-keys&gt;&lt;ref-type name="Journal Article"&gt;17&lt;/ref-type&gt;&lt;contributors&gt;&lt;authors&gt;&lt;author&gt;Kamal Abdien, Mohamed&lt;/author&gt;&lt;author&gt;Jacob, Marta&lt;/author&gt;&lt;/authors&gt;&lt;/contributors&gt;&lt;titles&gt;&lt;title&gt;Cross-cultural training and cultural intelligence of hospitality students: a case study in Egypt and Spain&lt;/title&gt;&lt;secondary-title&gt;Journal of Teaching in Travel &amp;amp; Tourism&lt;/secondary-title&gt;&lt;/titles&gt;&lt;periodical&gt;&lt;full-title&gt;Journal of Teaching in Travel &amp;amp; Tourism&lt;/full-title&gt;&lt;/periodical&gt;&lt;pages&gt;191-215&lt;/pages&gt;&lt;volume&gt;19&lt;/volume&gt;&lt;number&gt;3&lt;/number&gt;&lt;dates&gt;&lt;year&gt;2019&lt;/year&gt;&lt;/dates&gt;&lt;isbn&gt;1531-3220&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(Kamal Abdien &amp; Jacob, 2019)</w:t>
      </w:r>
      <w:r w:rsidR="0026652C" w:rsidRPr="004F7161">
        <w:rPr>
          <w:rFonts w:ascii="Arial" w:hAnsi="Arial" w:cs="Arial"/>
          <w:sz w:val="24"/>
          <w:szCs w:val="24"/>
        </w:rPr>
        <w:fldChar w:fldCharType="end"/>
      </w:r>
      <w:r w:rsidRPr="004F7161">
        <w:rPr>
          <w:rFonts w:ascii="Arial" w:hAnsi="Arial" w:cs="Arial"/>
          <w:sz w:val="24"/>
          <w:szCs w:val="24"/>
        </w:rPr>
        <w:t>.</w:t>
      </w:r>
    </w:p>
    <w:p w14:paraId="4D3DFC3A" w14:textId="1E5EBD0B"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In this scheme, there is also a Language Skills Development module that can give basic language training in hotel guests’ most spoken languages. This is going to involve sessions on greetings, food vocabulary, and polite expressions and it will also use language learning apps so that there can be continuing education.</w:t>
      </w:r>
    </w:p>
    <w:p w14:paraId="5E022E49" w14:textId="0BC59897"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 xml:space="preserve"> Finally, the Handling and Learning from Misinterpretation module will provide staff with the best strategies that will help them to manage and learn from cultural misunderstandings and make future interactions better. This entails an evaluation of historical cases of miscommunications in team talks through which the staff can be assisted in handling such mistakes graciously and view them as learning steps.</w:t>
      </w:r>
    </w:p>
    <w:p w14:paraId="14B691F8" w14:textId="73EFAEB0" w:rsidR="00D20A6C" w:rsidRPr="004F7161" w:rsidRDefault="00D20A6C" w:rsidP="004F7161">
      <w:pPr>
        <w:pStyle w:val="Heading2"/>
        <w:spacing w:line="360" w:lineRule="auto"/>
        <w:rPr>
          <w:rFonts w:ascii="Arial" w:hAnsi="Arial" w:cs="Arial"/>
          <w:b/>
          <w:bCs/>
          <w:color w:val="auto"/>
          <w:sz w:val="24"/>
          <w:szCs w:val="24"/>
        </w:rPr>
      </w:pPr>
      <w:bookmarkStart w:id="4" w:name="_Toc166803557"/>
      <w:r w:rsidRPr="004F7161">
        <w:rPr>
          <w:rFonts w:ascii="Arial" w:hAnsi="Arial" w:cs="Arial"/>
          <w:b/>
          <w:bCs/>
          <w:color w:val="auto"/>
          <w:sz w:val="24"/>
          <w:szCs w:val="24"/>
        </w:rPr>
        <w:t>Training Methods and Evaluation:</w:t>
      </w:r>
      <w:bookmarkEnd w:id="4"/>
    </w:p>
    <w:p w14:paraId="3B0A9CB4" w14:textId="08ECF607"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The training will be based on workshop situations, role-playing, case analysis, and e-learning to ensure the integration of theory and practice. Ongoing professional development will be supported with regular training. Assessment will be both before and after the training, as well as feedback surveys from and guest satisfaction surveys to understand what the training was effective and suggest possible improvements for the next</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&lt;EndNote&gt;&lt;Cite&gt;&lt;Author&gt;Jhaiyanuntana&lt;/Author&gt;&lt;Year&gt;2020&lt;/Year&gt;&lt;RecNum&gt;431&lt;/RecNum&gt;&lt;DisplayText&gt;(Jhaiyanuntana &amp;amp; Nomnian, 2020)&lt;/DisplayText&gt;&lt;record&gt;&lt;rec-number&gt;431&lt;/rec-number&gt;&lt;foreign-keys&gt;&lt;key app="EN" db-id="tewdsarx8pzspgee9ea5vzsqwvtsztwrve2d" timestamp="1715893937"&gt;431&lt;/key&gt;&lt;/foreign-keys&gt;&lt;ref-type name="Journal Article"&gt;17&lt;/ref-type&gt;&lt;contributors&gt;&lt;authors&gt;&lt;author&gt;Jhaiyanuntana, Anyada&lt;/author&gt;&lt;author&gt;Nomnian, Singhanat&lt;/author&gt;&lt;/authors&gt;&lt;/contributors&gt;&lt;titles&gt;&lt;title&gt;Intercultural communication challenges and strategies for the Thai undergraduate hotel interns&lt;/title&gt;&lt;secondary-title&gt;PASAA: Journal of Language Teaching and Learning in Thailand&lt;/secondary-title&gt;&lt;/titles&gt;&lt;periodical&gt;&lt;full-title&gt;PASAA: Journal of Language Teaching and Learning in Thailand&lt;/full-title&gt;&lt;/periodical&gt;&lt;pages&gt;204-235&lt;/pages&gt;&lt;volume&gt;59&lt;/volume&gt;&lt;dates&gt;&lt;year&gt;2020&lt;/year&gt;&lt;/dates&gt;&lt;isbn&gt;0125-2488&lt;/isbn&gt;&lt;urls&gt;&lt;/urls&gt;&lt;/record&gt;&lt;/Cite&gt;&lt;/EndNote&gt;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(Jhaiyanuntana &amp; Nomnian, 2020)</w:t>
      </w:r>
      <w:r w:rsidR="0026652C" w:rsidRPr="004F7161">
        <w:rPr>
          <w:rFonts w:ascii="Arial" w:hAnsi="Arial" w:cs="Arial"/>
          <w:sz w:val="24"/>
          <w:szCs w:val="24"/>
        </w:rPr>
        <w:fldChar w:fldCharType="end"/>
      </w:r>
      <w:r w:rsidRPr="004F7161">
        <w:rPr>
          <w:rFonts w:ascii="Arial" w:hAnsi="Arial" w:cs="Arial"/>
          <w:sz w:val="24"/>
          <w:szCs w:val="24"/>
        </w:rPr>
        <w:t>.</w:t>
      </w:r>
    </w:p>
    <w:p w14:paraId="212A756B" w14:textId="77777777" w:rsidR="00D20A6C" w:rsidRPr="004F7161" w:rsidRDefault="00D20A6C" w:rsidP="004F7161">
      <w:pPr>
        <w:pStyle w:val="Heading2"/>
        <w:spacing w:line="360" w:lineRule="auto"/>
        <w:rPr>
          <w:rFonts w:ascii="Arial" w:hAnsi="Arial" w:cs="Arial"/>
          <w:b/>
          <w:bCs/>
          <w:color w:val="auto"/>
          <w:sz w:val="24"/>
          <w:szCs w:val="24"/>
        </w:rPr>
      </w:pPr>
      <w:bookmarkStart w:id="5" w:name="_Toc166803558"/>
      <w:r w:rsidRPr="004F7161">
        <w:rPr>
          <w:rFonts w:ascii="Arial" w:hAnsi="Arial" w:cs="Arial"/>
          <w:b/>
          <w:bCs/>
          <w:color w:val="auto"/>
          <w:sz w:val="24"/>
          <w:szCs w:val="24"/>
        </w:rPr>
        <w:t>Conclusion:</w:t>
      </w:r>
      <w:bookmarkEnd w:id="5"/>
    </w:p>
    <w:p w14:paraId="108E1191" w14:textId="5556F2F2" w:rsidR="00D10692"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 xml:space="preserve">This program will be implemented with a detailed and structured plan in mind, for the hotel's staff to achieve cultural competence and become able to deliver services of top </w:t>
      </w:r>
      <w:r w:rsidRPr="004F7161">
        <w:rPr>
          <w:rFonts w:ascii="Arial" w:hAnsi="Arial" w:cs="Arial"/>
          <w:sz w:val="24"/>
          <w:szCs w:val="24"/>
        </w:rPr>
        <w:lastRenderedPageBreak/>
        <w:t>quality to a wide range of customers with different backgrounds. This undertaking will not only achieve this but also foster a more all-inclusive and equal treatment workplace.</w:t>
      </w:r>
    </w:p>
    <w:p w14:paraId="25F52257" w14:textId="59760CBE" w:rsidR="00D10692" w:rsidRPr="004F7161" w:rsidRDefault="00D10692" w:rsidP="004F7161">
      <w:pPr>
        <w:pStyle w:val="Heading1"/>
        <w:spacing w:line="360" w:lineRule="auto"/>
        <w:rPr>
          <w:rFonts w:ascii="Arial" w:hAnsi="Arial" w:cs="Arial"/>
          <w:b/>
          <w:bCs/>
          <w:color w:val="auto"/>
          <w:sz w:val="24"/>
          <w:szCs w:val="24"/>
        </w:rPr>
      </w:pPr>
      <w:bookmarkStart w:id="6" w:name="_Toc166803559"/>
      <w:r w:rsidRPr="004F7161">
        <w:rPr>
          <w:rFonts w:ascii="Arial" w:hAnsi="Arial" w:cs="Arial"/>
          <w:b/>
          <w:bCs/>
          <w:color w:val="auto"/>
          <w:sz w:val="24"/>
          <w:szCs w:val="24"/>
        </w:rPr>
        <w:t>Component 3 - Student self-reflection</w:t>
      </w:r>
      <w:bookmarkEnd w:id="6"/>
    </w:p>
    <w:p w14:paraId="20FBC558" w14:textId="227C45F8"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A self-reflection that encompasses Gibbs’ Reflective Cycle to evaluate cultural awareness’s evolution to the hospitality industry through which the practical experiences and lessons obtained will be emphasized</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&lt;EndNote&gt;&lt;Cite&gt;&lt;Author&gt;Adeani&lt;/Author&gt;&lt;Year&gt;2020&lt;/Year&gt;&lt;RecNum&gt;432&lt;/RecNum&gt;&lt;DisplayText&gt;(Adeani et al., 2020)&lt;/DisplayText&gt;&lt;record&gt;&lt;rec-number&gt;432&lt;/rec-number&gt;&lt;foreign-keys&gt;&lt;key app="EN" db-id="tewdsarx8pzspgee9ea5vzsqwvtsztwrve2d" timestamp="1715893977"&gt;432&lt;/key&gt;&lt;/foreign-keys&gt;&lt;ref-type name="Journal Article"&gt;17&lt;/ref-type&gt;&lt;contributors&gt;&lt;authors&gt;&lt;author&gt;Adeani, Ikin Syamsudin&lt;/author&gt;&lt;author&gt;Febriani, R Bunga&lt;/author&gt;&lt;author&gt;Syafryadin, Syafryadin&lt;/author&gt;&lt;/authors&gt;&lt;/contributors&gt;&lt;titles&gt;&lt;title&gt;Using GIBBS’reflective cycle in making reflections of literary analysis&lt;/title&gt;&lt;secondary-title&gt;Indonesian EFL Journal&lt;/secondary-title&gt;&lt;/titles&gt;&lt;periodical&gt;&lt;full-title&gt;Indonesian EFL Journal&lt;/full-title&gt;&lt;/periodical&gt;&lt;pages&gt;139-148&lt;/pages&gt;&lt;volume&gt;6&lt;/volume&gt;&lt;number&gt;2&lt;/number&gt;&lt;dates&gt;&lt;year&gt;2020&lt;/year&gt;&lt;/dates&gt;&lt;isbn&gt;2541-3635&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(Adeani et al., 2020)</w:t>
      </w:r>
      <w:r w:rsidR="0026652C" w:rsidRPr="004F7161">
        <w:rPr>
          <w:rFonts w:ascii="Arial" w:hAnsi="Arial" w:cs="Arial"/>
          <w:sz w:val="24"/>
          <w:szCs w:val="24"/>
        </w:rPr>
        <w:fldChar w:fldCharType="end"/>
      </w:r>
      <w:r w:rsidRPr="004F7161">
        <w:rPr>
          <w:rFonts w:ascii="Arial" w:hAnsi="Arial" w:cs="Arial"/>
          <w:sz w:val="24"/>
          <w:szCs w:val="24"/>
        </w:rPr>
        <w:t>.</w:t>
      </w:r>
    </w:p>
    <w:p w14:paraId="75CE7544"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t>Description:</w:t>
      </w:r>
    </w:p>
    <w:p w14:paraId="0C75A9AB" w14:textId="223E9D97"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During my practical training in a hotel as part of a higher-level assignment, I noticed a miscommunication incident between a food and beverage employee and a Japanese customer, who had a cultural conversation barrier. The guest’s latent question indicative of going vegetarian was misunderstood and the service failed to meet his expectations.</w:t>
      </w:r>
    </w:p>
    <w:p w14:paraId="18FAB142"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t>Feelings:</w:t>
      </w:r>
    </w:p>
    <w:p w14:paraId="646EE3ED" w14:textId="16DFDF14"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 xml:space="preserve">Being this on the spot triggered an unpleasant sensation on </w:t>
      </w:r>
      <w:r w:rsidR="0026652C" w:rsidRPr="004F7161">
        <w:rPr>
          <w:rFonts w:ascii="Arial" w:hAnsi="Arial" w:cs="Arial"/>
          <w:sz w:val="24"/>
          <w:szCs w:val="24"/>
        </w:rPr>
        <w:t>the one</w:t>
      </w:r>
      <w:r w:rsidRPr="004F7161">
        <w:rPr>
          <w:rFonts w:ascii="Arial" w:hAnsi="Arial" w:cs="Arial"/>
          <w:sz w:val="24"/>
          <w:szCs w:val="24"/>
        </w:rPr>
        <w:t xml:space="preserve"> hand but came as enlightening and educating on the other. It focused on the central role of cultural differences in the accommodation areas and awoke a great curiosity to learn how cross-cultural communication is done in the best way possible</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&lt;EndNote&gt;&lt;Cite&gt;&lt;Author&gt;Markkanen&lt;/Author&gt;&lt;Year&gt;2020&lt;/Year&gt;&lt;RecNum&gt;433&lt;/RecNum&gt;&lt;DisplayText&gt;(Markkanen et al., 2020)&lt;/DisplayText&gt;&lt;record&gt;&lt;rec-number&gt;433&lt;/rec-number&gt;&lt;foreign-keys&gt;&lt;key app="EN" db-id="tewdsarx8pzspgee9ea5vzsqwvtsztwrve2d" timestamp="1715894013"&gt;433&lt;/key&gt;&lt;/foreign-keys&gt;&lt;ref-type name="Journal Article"&gt;17&lt;/ref-type&gt;&lt;contributors&gt;&lt;authors&gt;&lt;author&gt;Markkanen, Pihla&lt;/author&gt;&lt;author&gt;Välimäki, Maritta&lt;/author&gt;&lt;author&gt;Anttila, Minna&lt;/author&gt;&lt;author&gt;Kuuskorpi, Marko&lt;/author&gt;&lt;/authors&gt;&lt;/contributors&gt;&lt;titles&gt;&lt;title&gt;A reflective cycle: Understanding challenging situations in a school setting&lt;/title&gt;&lt;secondary-title&gt;Educational Research&lt;/secondary-title&gt;&lt;/titles&gt;&lt;periodical&gt;&lt;full-title&gt;Educational Research&lt;/full-title&gt;&lt;/periodical&gt;&lt;pages&gt;46-62&lt;/pages&gt;&lt;volume&gt;62&lt;/volume&gt;&lt;number&gt;1&lt;/number&gt;&lt;dates&gt;&lt;year&gt;2020&lt;/year&gt;&lt;/dates&gt;&lt;isbn&gt;0013-1881&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(Markkanen et al., 2020)</w:t>
      </w:r>
      <w:r w:rsidR="0026652C" w:rsidRPr="004F7161">
        <w:rPr>
          <w:rFonts w:ascii="Arial" w:hAnsi="Arial" w:cs="Arial"/>
          <w:sz w:val="24"/>
          <w:szCs w:val="24"/>
        </w:rPr>
        <w:fldChar w:fldCharType="end"/>
      </w:r>
      <w:r w:rsidRPr="004F7161">
        <w:rPr>
          <w:rFonts w:ascii="Arial" w:hAnsi="Arial" w:cs="Arial"/>
          <w:sz w:val="24"/>
          <w:szCs w:val="24"/>
        </w:rPr>
        <w:t>.</w:t>
      </w:r>
    </w:p>
    <w:p w14:paraId="0D2AE8B9"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t>Evaluation:</w:t>
      </w:r>
    </w:p>
    <w:p w14:paraId="422EAAB8" w14:textId="3B83D5D7"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Culturally, this was the place where competence was not appreciated. The worker’s inadequate understanding of this kind of high-context communication style that includes indirectness raised the probability of the mistake. Therefore, this event provides us with some lessons of cultural misunderstanding in the hospitality industry.</w:t>
      </w:r>
    </w:p>
    <w:p w14:paraId="13582073"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t>Analysis:</w:t>
      </w:r>
    </w:p>
    <w:p w14:paraId="36E199D2" w14:textId="6F21F1F3"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 xml:space="preserve">By studying and working on the courses, I am now at a point where I realize that the context distinction between high-context cultures, such as Japan, and low-context cultures, e. g. the US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&lt;EndNote&gt;&lt;Cite&gt;&lt;Author&gt;Dhaliwal&lt;/Author&gt;&lt;Year&gt;2018&lt;/Year&gt;&lt;RecNum&gt;434&lt;/RecNum&gt;&lt;DisplayText&gt;(Dhaliwal et al., 2018)&lt;/DisplayText&gt;&lt;record&gt;&lt;rec-number&gt;434&lt;/rec-number&gt;&lt;foreign-keys&gt;&lt;key app="EN" db-id="tewdsarx8pzspgee9ea5vzsqwvtsztwrve2d" timestamp="1715894044"&gt;434&lt;/key&gt;&lt;/foreign-keys&gt;&lt;ref-type name="Journal Article"&gt;17&lt;/ref-type&gt;&lt;contributors&gt;&lt;authors&gt;&lt;author&gt;Dhaliwal, Upreet&lt;/author&gt;&lt;author&gt;Singh, Satendra&lt;/author&gt;&lt;author&gt;Singh, Navjeevan&lt;/author&gt;&lt;/authors&gt;&lt;/contributors&gt;&lt;titles&gt;&lt;title&gt;Reflective student narratives: honing professionalism and empathy&lt;/title&gt;&lt;secondary-title&gt;Indian J Med Ethics&lt;/secondary-title&gt;&lt;/titles&gt;&lt;periodical&gt;&lt;full-title&gt;Indian J Med Ethics&lt;/full-title&gt;&lt;/periodical&gt;&lt;pages&gt;9-15&lt;/pages&gt;&lt;volume&gt;3&lt;/volume&gt;&lt;number&gt;1&lt;/number&gt;&lt;dates&gt;&lt;year&gt;2018&lt;/year&gt;&lt;/dates&gt;&lt;urls&gt;&lt;/urls&gt;&lt;/record&gt;&lt;/Cite&gt;&lt;/EndNote&gt;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(Dhaliwal et al., 2018)</w:t>
      </w:r>
      <w:r w:rsidR="0026652C" w:rsidRPr="004F7161">
        <w:rPr>
          <w:rFonts w:ascii="Arial" w:hAnsi="Arial" w:cs="Arial"/>
          <w:sz w:val="24"/>
          <w:szCs w:val="24"/>
        </w:rPr>
        <w:fldChar w:fldCharType="end"/>
      </w:r>
      <w:r w:rsidR="0026652C" w:rsidRPr="004F7161">
        <w:rPr>
          <w:rFonts w:ascii="Arial" w:hAnsi="Arial" w:cs="Arial"/>
          <w:sz w:val="24"/>
          <w:szCs w:val="24"/>
        </w:rPr>
        <w:t xml:space="preserve"> </w:t>
      </w:r>
      <w:r w:rsidRPr="004F7161">
        <w:rPr>
          <w:rFonts w:ascii="Arial" w:hAnsi="Arial" w:cs="Arial"/>
          <w:sz w:val="24"/>
          <w:szCs w:val="24"/>
        </w:rPr>
        <w:t>is essential. By effectively communicating in hospitality, it is not only the language proficiency that matters but cultural depth also plays its role here.</w:t>
      </w:r>
    </w:p>
    <w:p w14:paraId="07D6D00E"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lastRenderedPageBreak/>
        <w:t>Conclusion:</w:t>
      </w:r>
    </w:p>
    <w:p w14:paraId="56F8567E" w14:textId="77777777"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This event made me realize that every service success story thrives, among other things, on the cultural competence of all stakeholders of the hospitality sector. The lesson reminded me that cultural intelligence should rank among staff training priorities and should not stop at general cultural awareness but rather go into concrete intercultural communication strategies.</w:t>
      </w:r>
    </w:p>
    <w:p w14:paraId="101AFC77" w14:textId="77777777" w:rsidR="00D20A6C" w:rsidRPr="004F7161" w:rsidRDefault="00D20A6C" w:rsidP="004F7161">
      <w:pPr>
        <w:spacing w:line="360" w:lineRule="auto"/>
        <w:jc w:val="both"/>
        <w:rPr>
          <w:rFonts w:ascii="Arial" w:hAnsi="Arial" w:cs="Arial"/>
          <w:b/>
          <w:bCs/>
          <w:sz w:val="24"/>
          <w:szCs w:val="24"/>
        </w:rPr>
      </w:pPr>
      <w:r w:rsidRPr="004F7161">
        <w:rPr>
          <w:rFonts w:ascii="Arial" w:hAnsi="Arial" w:cs="Arial"/>
          <w:b/>
          <w:bCs/>
          <w:sz w:val="24"/>
          <w:szCs w:val="24"/>
        </w:rPr>
        <w:t>Action Plan:</w:t>
      </w:r>
    </w:p>
    <w:p w14:paraId="765408CA" w14:textId="34A26031"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Aware of the importance of cultural competence and the impact it has on the hospitality industry, I am dedicated to proposing comprehensive cultural competence training for any hospitality function I will be hired for. Here I will list scenarios of real life and stages for staff training that will happen like the one I saw. For example, I will make use of my improved communication skills with this Middle Eastern family shortly. This will help me craft the training modules so that new employees can be better prepared for such encounters by learning from my experience. The indirect method such as not pushing their dishes to the aboriginal people but only recommending made the interaction flow as the aboriginal people respected their cultural preferences.</w:t>
      </w:r>
    </w:p>
    <w:p w14:paraId="10E229FE" w14:textId="63757BD3" w:rsidR="00D20A6C" w:rsidRPr="004F7161" w:rsidRDefault="00D20A6C" w:rsidP="004F7161">
      <w:pPr>
        <w:spacing w:line="360" w:lineRule="auto"/>
        <w:jc w:val="both"/>
        <w:rPr>
          <w:rFonts w:ascii="Arial" w:hAnsi="Arial" w:cs="Arial"/>
          <w:sz w:val="24"/>
          <w:szCs w:val="24"/>
        </w:rPr>
      </w:pPr>
      <w:r w:rsidRPr="004F7161">
        <w:rPr>
          <w:rFonts w:ascii="Arial" w:hAnsi="Arial" w:cs="Arial"/>
          <w:sz w:val="24"/>
          <w:szCs w:val="24"/>
        </w:rPr>
        <w:t>Moreover, I incorporated a small but indisputably efficient gesture modification whilst introducing myself to guests who come from a culture where formal handshaking is not the tradition. Introducing this non-verbal element in her communications with the guests was a small change that also increased guest comfort and satisfaction</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&lt;EndNote&gt;&lt;Cite&gt;&lt;Author&gt;Gibbs&lt;/Author&gt;&lt;Year&gt;2019&lt;/Year&gt;&lt;RecNum&gt;435&lt;/RecNum&gt;&lt;DisplayText&gt;(Gibbs &amp;amp; Slevitch, 2019a)&lt;/DisplayText&gt;&lt;record&gt;&lt;rec-number&gt;435&lt;/rec-number&gt;&lt;foreign-keys&gt;&lt;key app="EN" db-id="tewdsarx8pzspgee9ea5vzsqwvtsztwrve2d" timestamp="1715894082"&gt;435&lt;/key&gt;&lt;/foreign-keys&gt;&lt;ref-type name="Journal Article"&gt;17&lt;/ref-type&gt;&lt;contributors&gt;&lt;authors&gt;&lt;author&gt;Gibbs, Latoya&lt;/author&gt;&lt;author&gt;Slevitch, Lisa&lt;/author&gt;&lt;/authors&gt;&lt;/contributors&gt;&lt;titles&gt;&lt;title&gt;Beyond the classroom: student employability and intention to stay in the hospitality industry&lt;/title&gt;&lt;secondary-title&gt;Journal of teaching in travel &amp;amp; tourism&lt;/secondary-title&gt;&lt;/titles&gt;&lt;periodical&gt;&lt;full-title&gt;Journal of Teaching in Travel &amp;amp; Tourism&lt;/full-title&gt;&lt;/periodical&gt;&lt;pages&gt;267-284&lt;/pages&gt;&lt;volume&gt;19&lt;/volume&gt;&lt;number&gt;4&lt;/number&gt;&lt;dates&gt;&lt;year&gt;2019&lt;/year&gt;&lt;/dates&gt;&lt;isbn&gt;1531-3220&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(Gibbs &amp; Slevitch, 2019a)</w:t>
      </w:r>
      <w:r w:rsidR="0026652C" w:rsidRPr="004F7161">
        <w:rPr>
          <w:rFonts w:ascii="Arial" w:hAnsi="Arial" w:cs="Arial"/>
          <w:sz w:val="24"/>
          <w:szCs w:val="24"/>
        </w:rPr>
        <w:fldChar w:fldCharType="end"/>
      </w:r>
      <w:r w:rsidRPr="004F7161">
        <w:rPr>
          <w:rFonts w:ascii="Arial" w:hAnsi="Arial" w:cs="Arial"/>
          <w:sz w:val="24"/>
          <w:szCs w:val="24"/>
        </w:rPr>
        <w:t>.</w:t>
      </w:r>
    </w:p>
    <w:p w14:paraId="3BCDD9C7" w14:textId="06AD63BF" w:rsidR="006B4724" w:rsidRPr="004F7161" w:rsidRDefault="00D20A6C" w:rsidP="00FF668F">
      <w:pPr>
        <w:spacing w:line="360" w:lineRule="auto"/>
        <w:jc w:val="both"/>
        <w:rPr>
          <w:rFonts w:ascii="Arial" w:hAnsi="Arial" w:cs="Arial"/>
          <w:sz w:val="24"/>
          <w:szCs w:val="24"/>
        </w:rPr>
      </w:pPr>
      <w:r w:rsidRPr="004F7161">
        <w:rPr>
          <w:rFonts w:ascii="Arial" w:hAnsi="Arial" w:cs="Arial"/>
          <w:sz w:val="24"/>
          <w:szCs w:val="24"/>
        </w:rPr>
        <w:t>In this, I learned that service capitalization on the cultural knowledge of the people has a great effect on the general service delivery. Looking towards the future, the integration and sharing of practices on cultural sensitivity become part of my proficiency in hospitality work, and of course, they will contribute to both the guests' experience and my operational success</w:t>
      </w:r>
      <w:r w:rsidR="0026652C" w:rsidRPr="004F7161">
        <w:rPr>
          <w:rFonts w:ascii="Arial" w:hAnsi="Arial" w:cs="Arial"/>
          <w:sz w:val="24"/>
          <w:szCs w:val="24"/>
        </w:rPr>
        <w:t xml:space="preserve"> </w:t>
      </w:r>
      <w:r w:rsidR="0026652C" w:rsidRPr="004F7161">
        <w:rPr>
          <w:rFonts w:ascii="Arial" w:hAnsi="Arial" w:cs="Arial"/>
          <w:sz w:val="24"/>
          <w:szCs w:val="24"/>
        </w:rPr>
        <w:fldChar w:fldCharType="begin"/>
      </w:r>
      <w:r w:rsidR="0026652C" w:rsidRPr="004F7161">
        <w:rPr>
          <w:rFonts w:ascii="Arial" w:hAnsi="Arial" w:cs="Arial"/>
          <w:sz w:val="24"/>
          <w:szCs w:val="24"/>
        </w:rPr>
        <w:instrText xml:space="preserve"> ADDIN EN.CITE &lt;EndNote&gt;&lt;Cite&gt;&lt;Author&gt;Gibbs&lt;/Author&gt;&lt;Year&gt;2019&lt;/Year&gt;&lt;RecNum&gt;436&lt;/RecNum&gt;&lt;DisplayText&gt;(Gibbs &amp;amp; Slevitch, 2019b)&lt;/DisplayText&gt;&lt;record&gt;&lt;rec-number&gt;436&lt;/rec-number&gt;&lt;foreign-keys&gt;&lt;key app="EN" db-id="tewdsarx8pzspgee9ea5vzsqwvtsztwrve2d" timestamp="1715894102"&gt;436&lt;/key&gt;&lt;/foreign-keys&gt;&lt;ref-type name="Journal Article"&gt;17&lt;/ref-type&gt;&lt;contributors&gt;&lt;authors&gt;&lt;author&gt;Gibbs, Latoya&lt;/author&gt;&lt;author&gt;Slevitch, Lisa&lt;/author&gt;&lt;/authors&gt;&lt;/contributors&gt;&lt;titles&gt;&lt;title&gt;Integrating technical and emotional competences in hospitality education&lt;/title&gt;&lt;secondary-title&gt;Journal of Hospitality &amp;amp; Tourism Education&lt;/secondary-title&gt;&lt;/titles&gt;&lt;periodical&gt;&lt;full-title&gt;Journal of Hospitality &amp;amp; Tourism Education&lt;/full-title&gt;&lt;/periodical&gt;&lt;pages&gt;99-110&lt;/pages&gt;&lt;volume&gt;31&lt;/volume&gt;&lt;number&gt;2&lt;/number&gt;&lt;dates&gt;&lt;year&gt;2019&lt;/year&gt;&lt;/dates&gt;&lt;isbn&gt;1096-3758&lt;/isbn&gt;&lt;urls&gt;&lt;/urls&gt;&lt;/record&gt;&lt;/Cite&gt;&lt;/EndNote&gt;</w:instrText>
      </w:r>
      <w:r w:rsidR="0026652C" w:rsidRPr="004F7161">
        <w:rPr>
          <w:rFonts w:ascii="Arial" w:hAnsi="Arial" w:cs="Arial"/>
          <w:sz w:val="24"/>
          <w:szCs w:val="24"/>
        </w:rPr>
        <w:fldChar w:fldCharType="separate"/>
      </w:r>
      <w:r w:rsidR="0026652C" w:rsidRPr="004F7161">
        <w:rPr>
          <w:rFonts w:ascii="Arial" w:hAnsi="Arial" w:cs="Arial"/>
          <w:noProof/>
          <w:sz w:val="24"/>
          <w:szCs w:val="24"/>
        </w:rPr>
        <w:t>(Gibbs &amp; Slevitch, 2019b)</w:t>
      </w:r>
      <w:r w:rsidR="0026652C" w:rsidRPr="004F7161">
        <w:rPr>
          <w:rFonts w:ascii="Arial" w:hAnsi="Arial" w:cs="Arial"/>
          <w:sz w:val="24"/>
          <w:szCs w:val="24"/>
        </w:rPr>
        <w:fldChar w:fldCharType="end"/>
      </w:r>
      <w:r w:rsidRPr="004F7161">
        <w:rPr>
          <w:rFonts w:ascii="Arial" w:hAnsi="Arial" w:cs="Arial"/>
          <w:sz w:val="24"/>
          <w:szCs w:val="24"/>
        </w:rPr>
        <w:t>. This process emphasizes the fact that the learning procedure is ongoing and involves finding and adapting. Also, it is an occasion where I can demonstrate my commitment to the creation of an inclusive and culturally competent service environment.</w:t>
      </w:r>
    </w:p>
    <w:p w14:paraId="733C93A9" w14:textId="20ACFC35" w:rsidR="004B6B5F" w:rsidRPr="004F7161" w:rsidRDefault="006B4724" w:rsidP="004F7161">
      <w:pPr>
        <w:pStyle w:val="Heading1"/>
        <w:spacing w:line="360" w:lineRule="auto"/>
        <w:rPr>
          <w:rFonts w:ascii="Arial" w:hAnsi="Arial" w:cs="Arial"/>
          <w:b/>
          <w:bCs/>
          <w:color w:val="auto"/>
          <w:sz w:val="24"/>
          <w:szCs w:val="24"/>
        </w:rPr>
      </w:pPr>
      <w:bookmarkStart w:id="7" w:name="_Toc166803560"/>
      <w:r w:rsidRPr="004F7161">
        <w:rPr>
          <w:rFonts w:ascii="Arial" w:hAnsi="Arial" w:cs="Arial"/>
          <w:b/>
          <w:bCs/>
          <w:color w:val="auto"/>
          <w:sz w:val="24"/>
          <w:szCs w:val="24"/>
        </w:rPr>
        <w:lastRenderedPageBreak/>
        <w:t>References</w:t>
      </w:r>
      <w:bookmarkEnd w:id="7"/>
      <w:r w:rsidRPr="004F7161">
        <w:rPr>
          <w:rFonts w:ascii="Arial" w:hAnsi="Arial" w:cs="Arial"/>
          <w:b/>
          <w:bCs/>
          <w:color w:val="auto"/>
          <w:sz w:val="24"/>
          <w:szCs w:val="24"/>
        </w:rPr>
        <w:t xml:space="preserve"> </w:t>
      </w:r>
    </w:p>
    <w:p w14:paraId="1EAAEBC7" w14:textId="77777777" w:rsidR="0026652C" w:rsidRPr="004F7161" w:rsidRDefault="004B6B5F" w:rsidP="004F7161">
      <w:pPr>
        <w:pStyle w:val="EndNoteBibliography"/>
        <w:spacing w:after="0" w:line="360" w:lineRule="auto"/>
        <w:ind w:left="720" w:hanging="720"/>
        <w:jc w:val="both"/>
        <w:rPr>
          <w:rFonts w:ascii="Arial" w:hAnsi="Arial" w:cs="Arial"/>
          <w:sz w:val="24"/>
          <w:szCs w:val="24"/>
        </w:rPr>
      </w:pPr>
      <w:r w:rsidRPr="004F7161">
        <w:rPr>
          <w:rFonts w:ascii="Arial" w:hAnsi="Arial" w:cs="Arial"/>
          <w:b/>
          <w:bCs/>
          <w:sz w:val="24"/>
          <w:szCs w:val="24"/>
        </w:rPr>
        <w:fldChar w:fldCharType="begin"/>
      </w:r>
      <w:r w:rsidRPr="004F7161">
        <w:rPr>
          <w:rFonts w:ascii="Arial" w:hAnsi="Arial" w:cs="Arial"/>
          <w:b/>
          <w:bCs/>
          <w:sz w:val="24"/>
          <w:szCs w:val="24"/>
        </w:rPr>
        <w:instrText xml:space="preserve"> ADDIN EN.REFLIST </w:instrText>
      </w:r>
      <w:r w:rsidRPr="004F7161">
        <w:rPr>
          <w:rFonts w:ascii="Arial" w:hAnsi="Arial" w:cs="Arial"/>
          <w:b/>
          <w:bCs/>
          <w:sz w:val="24"/>
          <w:szCs w:val="24"/>
        </w:rPr>
        <w:fldChar w:fldCharType="separate"/>
      </w:r>
      <w:r w:rsidR="0026652C" w:rsidRPr="004F7161">
        <w:rPr>
          <w:rFonts w:ascii="Arial" w:hAnsi="Arial" w:cs="Arial"/>
          <w:sz w:val="24"/>
          <w:szCs w:val="24"/>
        </w:rPr>
        <w:t xml:space="preserve">Adeani, I. S., Febriani, R. B., &amp; Syafryadin, S. (2020). Using GIBBS’reflective cycle in making reflections of literary analysis. </w:t>
      </w:r>
      <w:r w:rsidR="0026652C" w:rsidRPr="004F7161">
        <w:rPr>
          <w:rFonts w:ascii="Arial" w:hAnsi="Arial" w:cs="Arial"/>
          <w:i/>
          <w:sz w:val="24"/>
          <w:szCs w:val="24"/>
        </w:rPr>
        <w:t>Indonesian EFL Journal</w:t>
      </w:r>
      <w:r w:rsidR="0026652C" w:rsidRPr="004F7161">
        <w:rPr>
          <w:rFonts w:ascii="Arial" w:hAnsi="Arial" w:cs="Arial"/>
          <w:sz w:val="24"/>
          <w:szCs w:val="24"/>
        </w:rPr>
        <w:t>,</w:t>
      </w:r>
      <w:r w:rsidR="0026652C" w:rsidRPr="004F7161">
        <w:rPr>
          <w:rFonts w:ascii="Arial" w:hAnsi="Arial" w:cs="Arial"/>
          <w:i/>
          <w:sz w:val="24"/>
          <w:szCs w:val="24"/>
        </w:rPr>
        <w:t xml:space="preserve"> 6</w:t>
      </w:r>
      <w:r w:rsidR="0026652C" w:rsidRPr="004F7161">
        <w:rPr>
          <w:rFonts w:ascii="Arial" w:hAnsi="Arial" w:cs="Arial"/>
          <w:sz w:val="24"/>
          <w:szCs w:val="24"/>
        </w:rPr>
        <w:t xml:space="preserve">(2), 139-148. </w:t>
      </w:r>
    </w:p>
    <w:p w14:paraId="39045C89"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Cenni, I., &amp; Goethals, P. (2020). Responding to negative hotel reviews: A cross-linguistic perspective on online rapport-management. </w:t>
      </w:r>
      <w:r w:rsidRPr="004F7161">
        <w:rPr>
          <w:rFonts w:ascii="Arial" w:hAnsi="Arial" w:cs="Arial"/>
          <w:i/>
          <w:sz w:val="24"/>
          <w:szCs w:val="24"/>
        </w:rPr>
        <w:t>Discourse, Context &amp; Media</w:t>
      </w:r>
      <w:r w:rsidRPr="004F7161">
        <w:rPr>
          <w:rFonts w:ascii="Arial" w:hAnsi="Arial" w:cs="Arial"/>
          <w:sz w:val="24"/>
          <w:szCs w:val="24"/>
        </w:rPr>
        <w:t>,</w:t>
      </w:r>
      <w:r w:rsidRPr="004F7161">
        <w:rPr>
          <w:rFonts w:ascii="Arial" w:hAnsi="Arial" w:cs="Arial"/>
          <w:i/>
          <w:sz w:val="24"/>
          <w:szCs w:val="24"/>
        </w:rPr>
        <w:t xml:space="preserve"> 37</w:t>
      </w:r>
      <w:r w:rsidRPr="004F7161">
        <w:rPr>
          <w:rFonts w:ascii="Arial" w:hAnsi="Arial" w:cs="Arial"/>
          <w:sz w:val="24"/>
          <w:szCs w:val="24"/>
        </w:rPr>
        <w:t xml:space="preserve">, 100430. </w:t>
      </w:r>
    </w:p>
    <w:p w14:paraId="0C5B9BD4"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Dhaliwal, U., Singh, S., &amp; Singh, N. (2018). Reflective student narratives: honing professionalism and empathy. </w:t>
      </w:r>
      <w:r w:rsidRPr="004F7161">
        <w:rPr>
          <w:rFonts w:ascii="Arial" w:hAnsi="Arial" w:cs="Arial"/>
          <w:i/>
          <w:sz w:val="24"/>
          <w:szCs w:val="24"/>
        </w:rPr>
        <w:t>Indian J Med Ethics</w:t>
      </w:r>
      <w:r w:rsidRPr="004F7161">
        <w:rPr>
          <w:rFonts w:ascii="Arial" w:hAnsi="Arial" w:cs="Arial"/>
          <w:sz w:val="24"/>
          <w:szCs w:val="24"/>
        </w:rPr>
        <w:t>,</w:t>
      </w:r>
      <w:r w:rsidRPr="004F7161">
        <w:rPr>
          <w:rFonts w:ascii="Arial" w:hAnsi="Arial" w:cs="Arial"/>
          <w:i/>
          <w:sz w:val="24"/>
          <w:szCs w:val="24"/>
        </w:rPr>
        <w:t xml:space="preserve"> 3</w:t>
      </w:r>
      <w:r w:rsidRPr="004F7161">
        <w:rPr>
          <w:rFonts w:ascii="Arial" w:hAnsi="Arial" w:cs="Arial"/>
          <w:sz w:val="24"/>
          <w:szCs w:val="24"/>
        </w:rPr>
        <w:t xml:space="preserve">(1), 9-15. </w:t>
      </w:r>
    </w:p>
    <w:p w14:paraId="52E5B71E"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Gibbs, L., &amp; Slevitch, L. (2019a). Beyond the classroom: student employability and intention to stay in the hospitality industry. </w:t>
      </w:r>
      <w:r w:rsidRPr="004F7161">
        <w:rPr>
          <w:rFonts w:ascii="Arial" w:hAnsi="Arial" w:cs="Arial"/>
          <w:i/>
          <w:sz w:val="24"/>
          <w:szCs w:val="24"/>
        </w:rPr>
        <w:t>Journal of Teaching in Travel &amp; Tourism</w:t>
      </w:r>
      <w:r w:rsidRPr="004F7161">
        <w:rPr>
          <w:rFonts w:ascii="Arial" w:hAnsi="Arial" w:cs="Arial"/>
          <w:sz w:val="24"/>
          <w:szCs w:val="24"/>
        </w:rPr>
        <w:t>,</w:t>
      </w:r>
      <w:r w:rsidRPr="004F7161">
        <w:rPr>
          <w:rFonts w:ascii="Arial" w:hAnsi="Arial" w:cs="Arial"/>
          <w:i/>
          <w:sz w:val="24"/>
          <w:szCs w:val="24"/>
        </w:rPr>
        <w:t xml:space="preserve"> 19</w:t>
      </w:r>
      <w:r w:rsidRPr="004F7161">
        <w:rPr>
          <w:rFonts w:ascii="Arial" w:hAnsi="Arial" w:cs="Arial"/>
          <w:sz w:val="24"/>
          <w:szCs w:val="24"/>
        </w:rPr>
        <w:t xml:space="preserve">(4), 267-284. </w:t>
      </w:r>
    </w:p>
    <w:p w14:paraId="704FC3C9"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Gibbs, L., &amp; Slevitch, L. (2019b). Integrating technical and emotional competences in hospitality education. </w:t>
      </w:r>
      <w:r w:rsidRPr="004F7161">
        <w:rPr>
          <w:rFonts w:ascii="Arial" w:hAnsi="Arial" w:cs="Arial"/>
          <w:i/>
          <w:sz w:val="24"/>
          <w:szCs w:val="24"/>
        </w:rPr>
        <w:t>Journal of Hospitality &amp; Tourism Education</w:t>
      </w:r>
      <w:r w:rsidRPr="004F7161">
        <w:rPr>
          <w:rFonts w:ascii="Arial" w:hAnsi="Arial" w:cs="Arial"/>
          <w:sz w:val="24"/>
          <w:szCs w:val="24"/>
        </w:rPr>
        <w:t>,</w:t>
      </w:r>
      <w:r w:rsidRPr="004F7161">
        <w:rPr>
          <w:rFonts w:ascii="Arial" w:hAnsi="Arial" w:cs="Arial"/>
          <w:i/>
          <w:sz w:val="24"/>
          <w:szCs w:val="24"/>
        </w:rPr>
        <w:t xml:space="preserve"> 31</w:t>
      </w:r>
      <w:r w:rsidRPr="004F7161">
        <w:rPr>
          <w:rFonts w:ascii="Arial" w:hAnsi="Arial" w:cs="Arial"/>
          <w:sz w:val="24"/>
          <w:szCs w:val="24"/>
        </w:rPr>
        <w:t xml:space="preserve">(2), 99-110. </w:t>
      </w:r>
    </w:p>
    <w:p w14:paraId="791F1805"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Jhaiyanuntana, A., &amp; Nomnian, S. (2020). Intercultural communication challenges and strategies for the Thai undergraduate hotel interns. </w:t>
      </w:r>
      <w:r w:rsidRPr="004F7161">
        <w:rPr>
          <w:rFonts w:ascii="Arial" w:hAnsi="Arial" w:cs="Arial"/>
          <w:i/>
          <w:sz w:val="24"/>
          <w:szCs w:val="24"/>
        </w:rPr>
        <w:t>PASAA: Journal of Language Teaching and Learning in Thailand</w:t>
      </w:r>
      <w:r w:rsidRPr="004F7161">
        <w:rPr>
          <w:rFonts w:ascii="Arial" w:hAnsi="Arial" w:cs="Arial"/>
          <w:sz w:val="24"/>
          <w:szCs w:val="24"/>
        </w:rPr>
        <w:t>,</w:t>
      </w:r>
      <w:r w:rsidRPr="004F7161">
        <w:rPr>
          <w:rFonts w:ascii="Arial" w:hAnsi="Arial" w:cs="Arial"/>
          <w:i/>
          <w:sz w:val="24"/>
          <w:szCs w:val="24"/>
        </w:rPr>
        <w:t xml:space="preserve"> 59</w:t>
      </w:r>
      <w:r w:rsidRPr="004F7161">
        <w:rPr>
          <w:rFonts w:ascii="Arial" w:hAnsi="Arial" w:cs="Arial"/>
          <w:sz w:val="24"/>
          <w:szCs w:val="24"/>
        </w:rPr>
        <w:t xml:space="preserve">, 204-235. </w:t>
      </w:r>
    </w:p>
    <w:p w14:paraId="70D91C1C"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Kamal Abdien, M., &amp; Jacob, M. (2019). Cross-cultural training and cultural intelligence of hospitality students: a case study in Egypt and Spain. </w:t>
      </w:r>
      <w:r w:rsidRPr="004F7161">
        <w:rPr>
          <w:rFonts w:ascii="Arial" w:hAnsi="Arial" w:cs="Arial"/>
          <w:i/>
          <w:sz w:val="24"/>
          <w:szCs w:val="24"/>
        </w:rPr>
        <w:t>Journal of Teaching in Travel &amp; Tourism</w:t>
      </w:r>
      <w:r w:rsidRPr="004F7161">
        <w:rPr>
          <w:rFonts w:ascii="Arial" w:hAnsi="Arial" w:cs="Arial"/>
          <w:sz w:val="24"/>
          <w:szCs w:val="24"/>
        </w:rPr>
        <w:t>,</w:t>
      </w:r>
      <w:r w:rsidRPr="004F7161">
        <w:rPr>
          <w:rFonts w:ascii="Arial" w:hAnsi="Arial" w:cs="Arial"/>
          <w:i/>
          <w:sz w:val="24"/>
          <w:szCs w:val="24"/>
        </w:rPr>
        <w:t xml:space="preserve"> 19</w:t>
      </w:r>
      <w:r w:rsidRPr="004F7161">
        <w:rPr>
          <w:rFonts w:ascii="Arial" w:hAnsi="Arial" w:cs="Arial"/>
          <w:sz w:val="24"/>
          <w:szCs w:val="24"/>
        </w:rPr>
        <w:t xml:space="preserve">(3), 191-215. </w:t>
      </w:r>
    </w:p>
    <w:p w14:paraId="3602DC1A"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Lam, R., &amp; Cheung, C. (2018). Towards an understanding of the culturally intelligent behaviour of hotel service employees. </w:t>
      </w:r>
      <w:r w:rsidRPr="004F7161">
        <w:rPr>
          <w:rFonts w:ascii="Arial" w:hAnsi="Arial" w:cs="Arial"/>
          <w:i/>
          <w:sz w:val="24"/>
          <w:szCs w:val="24"/>
        </w:rPr>
        <w:t>International Journal of Tourism Sciences</w:t>
      </w:r>
      <w:r w:rsidRPr="004F7161">
        <w:rPr>
          <w:rFonts w:ascii="Arial" w:hAnsi="Arial" w:cs="Arial"/>
          <w:sz w:val="24"/>
          <w:szCs w:val="24"/>
        </w:rPr>
        <w:t>,</w:t>
      </w:r>
      <w:r w:rsidRPr="004F7161">
        <w:rPr>
          <w:rFonts w:ascii="Arial" w:hAnsi="Arial" w:cs="Arial"/>
          <w:i/>
          <w:sz w:val="24"/>
          <w:szCs w:val="24"/>
        </w:rPr>
        <w:t xml:space="preserve"> 18</w:t>
      </w:r>
      <w:r w:rsidRPr="004F7161">
        <w:rPr>
          <w:rFonts w:ascii="Arial" w:hAnsi="Arial" w:cs="Arial"/>
          <w:sz w:val="24"/>
          <w:szCs w:val="24"/>
        </w:rPr>
        <w:t xml:space="preserve">(3), 202-214. </w:t>
      </w:r>
    </w:p>
    <w:p w14:paraId="67553FB6"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Mariani, M. M., Borghi, M., &amp; Kazakov, S. (2019). The role of language in the online evaluation of hospitality service encounters: An empirical study. </w:t>
      </w:r>
      <w:r w:rsidRPr="004F7161">
        <w:rPr>
          <w:rFonts w:ascii="Arial" w:hAnsi="Arial" w:cs="Arial"/>
          <w:i/>
          <w:sz w:val="24"/>
          <w:szCs w:val="24"/>
        </w:rPr>
        <w:t>International Journal of Hospitality Management</w:t>
      </w:r>
      <w:r w:rsidRPr="004F7161">
        <w:rPr>
          <w:rFonts w:ascii="Arial" w:hAnsi="Arial" w:cs="Arial"/>
          <w:sz w:val="24"/>
          <w:szCs w:val="24"/>
        </w:rPr>
        <w:t>,</w:t>
      </w:r>
      <w:r w:rsidRPr="004F7161">
        <w:rPr>
          <w:rFonts w:ascii="Arial" w:hAnsi="Arial" w:cs="Arial"/>
          <w:i/>
          <w:sz w:val="24"/>
          <w:szCs w:val="24"/>
        </w:rPr>
        <w:t xml:space="preserve"> 78</w:t>
      </w:r>
      <w:r w:rsidRPr="004F7161">
        <w:rPr>
          <w:rFonts w:ascii="Arial" w:hAnsi="Arial" w:cs="Arial"/>
          <w:sz w:val="24"/>
          <w:szCs w:val="24"/>
        </w:rPr>
        <w:t xml:space="preserve">, 50-58. </w:t>
      </w:r>
    </w:p>
    <w:p w14:paraId="4E2192D9"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Mariani, M. M., Borghi, M., &amp; Okumus, F. (2020). Unravelling the effects of cultural differences in the online appraisal of hospitality and tourism services. </w:t>
      </w:r>
      <w:r w:rsidRPr="004F7161">
        <w:rPr>
          <w:rFonts w:ascii="Arial" w:hAnsi="Arial" w:cs="Arial"/>
          <w:i/>
          <w:sz w:val="24"/>
          <w:szCs w:val="24"/>
        </w:rPr>
        <w:t>International Journal of Hospitality Management</w:t>
      </w:r>
      <w:r w:rsidRPr="004F7161">
        <w:rPr>
          <w:rFonts w:ascii="Arial" w:hAnsi="Arial" w:cs="Arial"/>
          <w:sz w:val="24"/>
          <w:szCs w:val="24"/>
        </w:rPr>
        <w:t>,</w:t>
      </w:r>
      <w:r w:rsidRPr="004F7161">
        <w:rPr>
          <w:rFonts w:ascii="Arial" w:hAnsi="Arial" w:cs="Arial"/>
          <w:i/>
          <w:sz w:val="24"/>
          <w:szCs w:val="24"/>
        </w:rPr>
        <w:t xml:space="preserve"> 90</w:t>
      </w:r>
      <w:r w:rsidRPr="004F7161">
        <w:rPr>
          <w:rFonts w:ascii="Arial" w:hAnsi="Arial" w:cs="Arial"/>
          <w:sz w:val="24"/>
          <w:szCs w:val="24"/>
        </w:rPr>
        <w:t xml:space="preserve">, 102606. </w:t>
      </w:r>
    </w:p>
    <w:p w14:paraId="428C9F3D"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Markkanen, P., Välimäki, M., Anttila, M., &amp; Kuuskorpi, M. (2020). A reflective cycle: Understanding challenging situations in a school setting. </w:t>
      </w:r>
      <w:r w:rsidRPr="004F7161">
        <w:rPr>
          <w:rFonts w:ascii="Arial" w:hAnsi="Arial" w:cs="Arial"/>
          <w:i/>
          <w:sz w:val="24"/>
          <w:szCs w:val="24"/>
        </w:rPr>
        <w:t>Educational Research</w:t>
      </w:r>
      <w:r w:rsidRPr="004F7161">
        <w:rPr>
          <w:rFonts w:ascii="Arial" w:hAnsi="Arial" w:cs="Arial"/>
          <w:sz w:val="24"/>
          <w:szCs w:val="24"/>
        </w:rPr>
        <w:t>,</w:t>
      </w:r>
      <w:r w:rsidRPr="004F7161">
        <w:rPr>
          <w:rFonts w:ascii="Arial" w:hAnsi="Arial" w:cs="Arial"/>
          <w:i/>
          <w:sz w:val="24"/>
          <w:szCs w:val="24"/>
        </w:rPr>
        <w:t xml:space="preserve"> 62</w:t>
      </w:r>
      <w:r w:rsidRPr="004F7161">
        <w:rPr>
          <w:rFonts w:ascii="Arial" w:hAnsi="Arial" w:cs="Arial"/>
          <w:sz w:val="24"/>
          <w:szCs w:val="24"/>
        </w:rPr>
        <w:t xml:space="preserve">(1), 46-62. </w:t>
      </w:r>
    </w:p>
    <w:p w14:paraId="6B0AF1D4"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lastRenderedPageBreak/>
        <w:t xml:space="preserve">Nomnian, S., Trupp, A., Niyomthong, W., Tangcharoensathaporn, P., &amp; Charoenkongka, A. (2020). Language and community-based tourism use, needs, dependency, and limitations. </w:t>
      </w:r>
      <w:r w:rsidRPr="004F7161">
        <w:rPr>
          <w:rFonts w:ascii="Arial" w:hAnsi="Arial" w:cs="Arial"/>
          <w:i/>
          <w:sz w:val="24"/>
          <w:szCs w:val="24"/>
        </w:rPr>
        <w:t>Austrian Journal of South-East Asian Studies</w:t>
      </w:r>
      <w:r w:rsidRPr="004F7161">
        <w:rPr>
          <w:rFonts w:ascii="Arial" w:hAnsi="Arial" w:cs="Arial"/>
          <w:sz w:val="24"/>
          <w:szCs w:val="24"/>
        </w:rPr>
        <w:t>,</w:t>
      </w:r>
      <w:r w:rsidRPr="004F7161">
        <w:rPr>
          <w:rFonts w:ascii="Arial" w:hAnsi="Arial" w:cs="Arial"/>
          <w:i/>
          <w:sz w:val="24"/>
          <w:szCs w:val="24"/>
        </w:rPr>
        <w:t xml:space="preserve"> 13</w:t>
      </w:r>
      <w:r w:rsidRPr="004F7161">
        <w:rPr>
          <w:rFonts w:ascii="Arial" w:hAnsi="Arial" w:cs="Arial"/>
          <w:sz w:val="24"/>
          <w:szCs w:val="24"/>
        </w:rPr>
        <w:t xml:space="preserve">(1), 57-79. </w:t>
      </w:r>
    </w:p>
    <w:p w14:paraId="0F897AFD" w14:textId="77777777" w:rsidR="0026652C" w:rsidRPr="004F7161" w:rsidRDefault="0026652C" w:rsidP="004F7161">
      <w:pPr>
        <w:pStyle w:val="EndNoteBibliography"/>
        <w:spacing w:after="0" w:line="360" w:lineRule="auto"/>
        <w:ind w:left="720" w:hanging="720"/>
        <w:jc w:val="both"/>
        <w:rPr>
          <w:rFonts w:ascii="Arial" w:hAnsi="Arial" w:cs="Arial"/>
          <w:sz w:val="24"/>
          <w:szCs w:val="24"/>
        </w:rPr>
      </w:pPr>
      <w:r w:rsidRPr="004F7161">
        <w:rPr>
          <w:rFonts w:ascii="Arial" w:hAnsi="Arial" w:cs="Arial"/>
          <w:sz w:val="24"/>
          <w:szCs w:val="24"/>
        </w:rPr>
        <w:t xml:space="preserve">Sharma, B. K. (2018). Training workers for intercultural communication in tourism. </w:t>
      </w:r>
      <w:r w:rsidRPr="004F7161">
        <w:rPr>
          <w:rFonts w:ascii="Arial" w:hAnsi="Arial" w:cs="Arial"/>
          <w:i/>
          <w:sz w:val="24"/>
          <w:szCs w:val="24"/>
        </w:rPr>
        <w:t>Language and Intercultural Communication</w:t>
      </w:r>
      <w:r w:rsidRPr="004F7161">
        <w:rPr>
          <w:rFonts w:ascii="Arial" w:hAnsi="Arial" w:cs="Arial"/>
          <w:sz w:val="24"/>
          <w:szCs w:val="24"/>
        </w:rPr>
        <w:t>,</w:t>
      </w:r>
      <w:r w:rsidRPr="004F7161">
        <w:rPr>
          <w:rFonts w:ascii="Arial" w:hAnsi="Arial" w:cs="Arial"/>
          <w:i/>
          <w:sz w:val="24"/>
          <w:szCs w:val="24"/>
        </w:rPr>
        <w:t xml:space="preserve"> 18</w:t>
      </w:r>
      <w:r w:rsidRPr="004F7161">
        <w:rPr>
          <w:rFonts w:ascii="Arial" w:hAnsi="Arial" w:cs="Arial"/>
          <w:sz w:val="24"/>
          <w:szCs w:val="24"/>
        </w:rPr>
        <w:t xml:space="preserve">(4), 408-423. </w:t>
      </w:r>
    </w:p>
    <w:p w14:paraId="065FA443" w14:textId="77777777" w:rsidR="0026652C" w:rsidRDefault="0026652C" w:rsidP="004F7161">
      <w:pPr>
        <w:pStyle w:val="EndNoteBibliography"/>
        <w:spacing w:line="360" w:lineRule="auto"/>
        <w:ind w:left="720" w:hanging="720"/>
        <w:jc w:val="both"/>
        <w:rPr>
          <w:rFonts w:ascii="Arial" w:hAnsi="Arial" w:cs="Arial"/>
          <w:sz w:val="24"/>
          <w:szCs w:val="24"/>
        </w:rPr>
      </w:pPr>
      <w:r w:rsidRPr="004F7161">
        <w:rPr>
          <w:rFonts w:ascii="Arial" w:hAnsi="Arial" w:cs="Arial"/>
          <w:sz w:val="24"/>
          <w:szCs w:val="24"/>
        </w:rPr>
        <w:t xml:space="preserve">Tsiotsou, R. H. (2019). Rate my firm: cultural differences in service evaluations. </w:t>
      </w:r>
      <w:r w:rsidRPr="004F7161">
        <w:rPr>
          <w:rFonts w:ascii="Arial" w:hAnsi="Arial" w:cs="Arial"/>
          <w:i/>
          <w:sz w:val="24"/>
          <w:szCs w:val="24"/>
        </w:rPr>
        <w:t>Journal of Services Marketing</w:t>
      </w:r>
      <w:r w:rsidRPr="004F7161">
        <w:rPr>
          <w:rFonts w:ascii="Arial" w:hAnsi="Arial" w:cs="Arial"/>
          <w:sz w:val="24"/>
          <w:szCs w:val="24"/>
        </w:rPr>
        <w:t>,</w:t>
      </w:r>
      <w:r w:rsidRPr="004F7161">
        <w:rPr>
          <w:rFonts w:ascii="Arial" w:hAnsi="Arial" w:cs="Arial"/>
          <w:i/>
          <w:sz w:val="24"/>
          <w:szCs w:val="24"/>
        </w:rPr>
        <w:t xml:space="preserve"> 33</w:t>
      </w:r>
      <w:r w:rsidRPr="004F7161">
        <w:rPr>
          <w:rFonts w:ascii="Arial" w:hAnsi="Arial" w:cs="Arial"/>
          <w:sz w:val="24"/>
          <w:szCs w:val="24"/>
        </w:rPr>
        <w:t xml:space="preserve">(7), 815-836. </w:t>
      </w:r>
    </w:p>
    <w:p w14:paraId="10157663" w14:textId="77777777" w:rsidR="008A4D61" w:rsidRDefault="008A4D61" w:rsidP="004F7161">
      <w:pPr>
        <w:pStyle w:val="EndNoteBibliography"/>
        <w:spacing w:line="360" w:lineRule="auto"/>
        <w:ind w:left="720" w:hanging="720"/>
        <w:jc w:val="both"/>
        <w:rPr>
          <w:rFonts w:ascii="Arial" w:hAnsi="Arial" w:cs="Arial"/>
          <w:sz w:val="24"/>
          <w:szCs w:val="24"/>
        </w:rPr>
      </w:pPr>
    </w:p>
    <w:p w14:paraId="4E7E613D" w14:textId="77777777" w:rsidR="008A4D61" w:rsidRDefault="008A4D61" w:rsidP="004F7161">
      <w:pPr>
        <w:pStyle w:val="EndNoteBibliography"/>
        <w:spacing w:line="360" w:lineRule="auto"/>
        <w:ind w:left="720" w:hanging="720"/>
        <w:jc w:val="both"/>
        <w:rPr>
          <w:rFonts w:ascii="Arial" w:hAnsi="Arial" w:cs="Arial"/>
          <w:sz w:val="24"/>
          <w:szCs w:val="24"/>
        </w:rPr>
      </w:pPr>
    </w:p>
    <w:p w14:paraId="01EBD3D1" w14:textId="77777777" w:rsidR="008A4D61" w:rsidRDefault="008A4D61" w:rsidP="004F7161">
      <w:pPr>
        <w:pStyle w:val="EndNoteBibliography"/>
        <w:spacing w:line="360" w:lineRule="auto"/>
        <w:ind w:left="720" w:hanging="720"/>
        <w:jc w:val="both"/>
        <w:rPr>
          <w:rFonts w:ascii="Arial" w:hAnsi="Arial" w:cs="Arial"/>
          <w:sz w:val="24"/>
          <w:szCs w:val="24"/>
        </w:rPr>
      </w:pPr>
    </w:p>
    <w:p w14:paraId="0FDBEFAA" w14:textId="793E6B50"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drawing>
          <wp:inline distT="0" distB="0" distL="0" distR="0" wp14:anchorId="6AA7D3CC" wp14:editId="78AA4BA0">
            <wp:extent cx="5943600" cy="3338195"/>
            <wp:effectExtent l="0" t="0" r="0" b="1905"/>
            <wp:docPr id="1331967999"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67999" name="Picture 1" descr="A white sign with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338195"/>
                    </a:xfrm>
                    <a:prstGeom prst="rect">
                      <a:avLst/>
                    </a:prstGeom>
                  </pic:spPr>
                </pic:pic>
              </a:graphicData>
            </a:graphic>
          </wp:inline>
        </w:drawing>
      </w:r>
    </w:p>
    <w:p w14:paraId="2F2A4311" w14:textId="77777777" w:rsidR="008A4D61" w:rsidRDefault="008A4D61" w:rsidP="004F7161">
      <w:pPr>
        <w:pStyle w:val="EndNoteBibliography"/>
        <w:spacing w:line="360" w:lineRule="auto"/>
        <w:ind w:left="720" w:hanging="720"/>
        <w:jc w:val="both"/>
        <w:rPr>
          <w:rFonts w:ascii="Arial" w:hAnsi="Arial" w:cs="Arial"/>
          <w:sz w:val="24"/>
          <w:szCs w:val="24"/>
        </w:rPr>
      </w:pPr>
    </w:p>
    <w:p w14:paraId="6DDCFD40" w14:textId="74236C45"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lastRenderedPageBreak/>
        <w:drawing>
          <wp:inline distT="0" distB="0" distL="0" distR="0" wp14:anchorId="0DFD937F" wp14:editId="23E73A0A">
            <wp:extent cx="5943600" cy="3341370"/>
            <wp:effectExtent l="0" t="0" r="0" b="0"/>
            <wp:docPr id="870167349" name="Picture 2" descr="A white board with blue circl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67349" name="Picture 2" descr="A white board with blue circles and arrow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05DA5A97" w14:textId="77777777" w:rsidR="008A4D61" w:rsidRDefault="008A4D61" w:rsidP="004F7161">
      <w:pPr>
        <w:pStyle w:val="EndNoteBibliography"/>
        <w:spacing w:line="360" w:lineRule="auto"/>
        <w:ind w:left="720" w:hanging="720"/>
        <w:jc w:val="both"/>
        <w:rPr>
          <w:rFonts w:ascii="Arial" w:hAnsi="Arial" w:cs="Arial"/>
          <w:sz w:val="24"/>
          <w:szCs w:val="24"/>
        </w:rPr>
      </w:pPr>
    </w:p>
    <w:p w14:paraId="27DC8178" w14:textId="59F4DB8E"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drawing>
          <wp:inline distT="0" distB="0" distL="0" distR="0" wp14:anchorId="2197B513" wp14:editId="2C17B0D2">
            <wp:extent cx="5943600" cy="3397250"/>
            <wp:effectExtent l="0" t="0" r="0" b="6350"/>
            <wp:docPr id="1358142737" name="Picture 3" descr="A diagram of language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142737" name="Picture 3" descr="A diagram of language awaren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97250"/>
                    </a:xfrm>
                    <a:prstGeom prst="rect">
                      <a:avLst/>
                    </a:prstGeom>
                  </pic:spPr>
                </pic:pic>
              </a:graphicData>
            </a:graphic>
          </wp:inline>
        </w:drawing>
      </w:r>
    </w:p>
    <w:p w14:paraId="6EE12143" w14:textId="77777777" w:rsidR="008A4D61" w:rsidRDefault="008A4D61" w:rsidP="004F7161">
      <w:pPr>
        <w:pStyle w:val="EndNoteBibliography"/>
        <w:spacing w:line="360" w:lineRule="auto"/>
        <w:ind w:left="720" w:hanging="720"/>
        <w:jc w:val="both"/>
        <w:rPr>
          <w:rFonts w:ascii="Arial" w:hAnsi="Arial" w:cs="Arial"/>
          <w:sz w:val="24"/>
          <w:szCs w:val="24"/>
        </w:rPr>
      </w:pPr>
    </w:p>
    <w:p w14:paraId="3F8F8317" w14:textId="73A42739"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lastRenderedPageBreak/>
        <w:drawing>
          <wp:inline distT="0" distB="0" distL="0" distR="0" wp14:anchorId="7B819B88" wp14:editId="21BB5E27">
            <wp:extent cx="5943600" cy="3355340"/>
            <wp:effectExtent l="0" t="0" r="0" b="0"/>
            <wp:docPr id="1790001286" name="Picture 4" descr="A white board with blue circl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01286" name="Picture 4" descr="A white board with blue circles and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55340"/>
                    </a:xfrm>
                    <a:prstGeom prst="rect">
                      <a:avLst/>
                    </a:prstGeom>
                  </pic:spPr>
                </pic:pic>
              </a:graphicData>
            </a:graphic>
          </wp:inline>
        </w:drawing>
      </w:r>
    </w:p>
    <w:p w14:paraId="47843834" w14:textId="77777777" w:rsidR="008A4D61" w:rsidRDefault="008A4D61" w:rsidP="004F7161">
      <w:pPr>
        <w:pStyle w:val="EndNoteBibliography"/>
        <w:spacing w:line="360" w:lineRule="auto"/>
        <w:ind w:left="720" w:hanging="720"/>
        <w:jc w:val="both"/>
        <w:rPr>
          <w:rFonts w:ascii="Arial" w:hAnsi="Arial" w:cs="Arial"/>
          <w:sz w:val="24"/>
          <w:szCs w:val="24"/>
        </w:rPr>
      </w:pPr>
    </w:p>
    <w:p w14:paraId="0B796285" w14:textId="09A262CC"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drawing>
          <wp:inline distT="0" distB="0" distL="0" distR="0" wp14:anchorId="35B4CF2D" wp14:editId="69BA0E16">
            <wp:extent cx="5943600" cy="3396615"/>
            <wp:effectExtent l="0" t="0" r="0" b="0"/>
            <wp:docPr id="1614306973" name="Picture 5" descr="A screen shot of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06973" name="Picture 5" descr="A screen shot of a white 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96615"/>
                    </a:xfrm>
                    <a:prstGeom prst="rect">
                      <a:avLst/>
                    </a:prstGeom>
                  </pic:spPr>
                </pic:pic>
              </a:graphicData>
            </a:graphic>
          </wp:inline>
        </w:drawing>
      </w:r>
    </w:p>
    <w:p w14:paraId="65C03367" w14:textId="77777777" w:rsidR="008A4D61" w:rsidRDefault="008A4D61" w:rsidP="004F7161">
      <w:pPr>
        <w:pStyle w:val="EndNoteBibliography"/>
        <w:spacing w:line="360" w:lineRule="auto"/>
        <w:ind w:left="720" w:hanging="720"/>
        <w:jc w:val="both"/>
        <w:rPr>
          <w:rFonts w:ascii="Arial" w:hAnsi="Arial" w:cs="Arial"/>
          <w:sz w:val="24"/>
          <w:szCs w:val="24"/>
        </w:rPr>
      </w:pPr>
    </w:p>
    <w:p w14:paraId="0145FD2C" w14:textId="3F18EC5B"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lastRenderedPageBreak/>
        <w:drawing>
          <wp:inline distT="0" distB="0" distL="0" distR="0" wp14:anchorId="3A30408A" wp14:editId="0C210499">
            <wp:extent cx="5943600" cy="3389630"/>
            <wp:effectExtent l="0" t="0" r="0" b="1270"/>
            <wp:docPr id="1854073603" name="Picture 6"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73603" name="Picture 6" descr="A close-up of a white pap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89630"/>
                    </a:xfrm>
                    <a:prstGeom prst="rect">
                      <a:avLst/>
                    </a:prstGeom>
                  </pic:spPr>
                </pic:pic>
              </a:graphicData>
            </a:graphic>
          </wp:inline>
        </w:drawing>
      </w:r>
    </w:p>
    <w:p w14:paraId="51ECA695" w14:textId="77777777" w:rsidR="008A4D61" w:rsidRDefault="008A4D61" w:rsidP="004F7161">
      <w:pPr>
        <w:pStyle w:val="EndNoteBibliography"/>
        <w:spacing w:line="360" w:lineRule="auto"/>
        <w:ind w:left="720" w:hanging="720"/>
        <w:jc w:val="both"/>
        <w:rPr>
          <w:rFonts w:ascii="Arial" w:hAnsi="Arial" w:cs="Arial"/>
          <w:sz w:val="24"/>
          <w:szCs w:val="24"/>
        </w:rPr>
      </w:pPr>
    </w:p>
    <w:p w14:paraId="127F70B8" w14:textId="1E75FE1E" w:rsidR="008A4D61" w:rsidRDefault="008A4D61" w:rsidP="004F7161">
      <w:pPr>
        <w:pStyle w:val="EndNoteBibliography"/>
        <w:spacing w:line="360" w:lineRule="auto"/>
        <w:ind w:left="720" w:hanging="720"/>
        <w:jc w:val="both"/>
        <w:rPr>
          <w:rFonts w:ascii="Arial" w:hAnsi="Arial" w:cs="Arial"/>
          <w:sz w:val="24"/>
          <w:szCs w:val="24"/>
        </w:rPr>
      </w:pPr>
      <w:r>
        <w:rPr>
          <w:rFonts w:ascii="Arial" w:hAnsi="Arial" w:cs="Arial"/>
          <w:sz w:val="24"/>
          <w:szCs w:val="24"/>
        </w:rPr>
        <w:drawing>
          <wp:inline distT="0" distB="0" distL="0" distR="0" wp14:anchorId="2FA29932" wp14:editId="4F29A80E">
            <wp:extent cx="5943600" cy="3362960"/>
            <wp:effectExtent l="0" t="0" r="0" b="2540"/>
            <wp:docPr id="1208728507"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28507" name="Picture 7" descr="A white paper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62960"/>
                    </a:xfrm>
                    <a:prstGeom prst="rect">
                      <a:avLst/>
                    </a:prstGeom>
                  </pic:spPr>
                </pic:pic>
              </a:graphicData>
            </a:graphic>
          </wp:inline>
        </w:drawing>
      </w:r>
    </w:p>
    <w:p w14:paraId="161BF3C9" w14:textId="77777777" w:rsidR="008A4D61" w:rsidRDefault="008A4D61" w:rsidP="004F7161">
      <w:pPr>
        <w:pStyle w:val="EndNoteBibliography"/>
        <w:spacing w:line="360" w:lineRule="auto"/>
        <w:ind w:left="720" w:hanging="720"/>
        <w:jc w:val="both"/>
        <w:rPr>
          <w:rFonts w:ascii="Arial" w:hAnsi="Arial" w:cs="Arial"/>
          <w:sz w:val="24"/>
          <w:szCs w:val="24"/>
        </w:rPr>
      </w:pPr>
    </w:p>
    <w:p w14:paraId="1F35FA31" w14:textId="77777777" w:rsidR="008A4D61" w:rsidRPr="004F7161" w:rsidRDefault="008A4D61" w:rsidP="004F7161">
      <w:pPr>
        <w:pStyle w:val="EndNoteBibliography"/>
        <w:spacing w:line="360" w:lineRule="auto"/>
        <w:ind w:left="720" w:hanging="720"/>
        <w:jc w:val="both"/>
        <w:rPr>
          <w:rFonts w:ascii="Arial" w:hAnsi="Arial" w:cs="Arial"/>
          <w:sz w:val="24"/>
          <w:szCs w:val="24"/>
        </w:rPr>
      </w:pPr>
    </w:p>
    <w:p w14:paraId="4D2254ED" w14:textId="370643B1" w:rsidR="00C521D7" w:rsidRPr="004F7161" w:rsidRDefault="004B6B5F" w:rsidP="004F7161">
      <w:pPr>
        <w:spacing w:line="360" w:lineRule="auto"/>
        <w:jc w:val="both"/>
        <w:rPr>
          <w:rFonts w:ascii="Arial" w:hAnsi="Arial" w:cs="Arial"/>
        </w:rPr>
      </w:pPr>
      <w:r w:rsidRPr="004F7161">
        <w:rPr>
          <w:rFonts w:ascii="Arial" w:hAnsi="Arial" w:cs="Arial"/>
          <w:sz w:val="24"/>
          <w:szCs w:val="24"/>
        </w:rPr>
        <w:lastRenderedPageBreak/>
        <w:fldChar w:fldCharType="end"/>
      </w:r>
    </w:p>
    <w:sectPr w:rsidR="00C521D7" w:rsidRPr="004F71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ewdsarx8pzspgee9ea5vzsqwvtsztwrve2d&quot;&gt;My EndNote Library&lt;record-ids&gt;&lt;item&gt;423&lt;/item&gt;&lt;item&gt;424&lt;/item&gt;&lt;item&gt;425&lt;/item&gt;&lt;item&gt;426&lt;/item&gt;&lt;item&gt;427&lt;/item&gt;&lt;item&gt;428&lt;/item&gt;&lt;item&gt;429&lt;/item&gt;&lt;item&gt;430&lt;/item&gt;&lt;item&gt;431&lt;/item&gt;&lt;item&gt;432&lt;/item&gt;&lt;item&gt;433&lt;/item&gt;&lt;item&gt;434&lt;/item&gt;&lt;item&gt;435&lt;/item&gt;&lt;item&gt;436&lt;/item&gt;&lt;/record-ids&gt;&lt;/item&gt;&lt;/Libraries&gt;"/>
  </w:docVars>
  <w:rsids>
    <w:rsidRoot w:val="00EE3CA9"/>
    <w:rsid w:val="000A4240"/>
    <w:rsid w:val="00123AF0"/>
    <w:rsid w:val="001A3B12"/>
    <w:rsid w:val="00216208"/>
    <w:rsid w:val="0026652C"/>
    <w:rsid w:val="002E1109"/>
    <w:rsid w:val="003A491F"/>
    <w:rsid w:val="003E35C7"/>
    <w:rsid w:val="0046689B"/>
    <w:rsid w:val="004B573F"/>
    <w:rsid w:val="004B6B5F"/>
    <w:rsid w:val="004F5240"/>
    <w:rsid w:val="004F7161"/>
    <w:rsid w:val="00510BDA"/>
    <w:rsid w:val="00593FDA"/>
    <w:rsid w:val="006B2C4E"/>
    <w:rsid w:val="006B4724"/>
    <w:rsid w:val="008A4D61"/>
    <w:rsid w:val="0097235F"/>
    <w:rsid w:val="00B226E0"/>
    <w:rsid w:val="00BA42AE"/>
    <w:rsid w:val="00C521D7"/>
    <w:rsid w:val="00C7084E"/>
    <w:rsid w:val="00D10692"/>
    <w:rsid w:val="00D20A6C"/>
    <w:rsid w:val="00D56BE5"/>
    <w:rsid w:val="00E742D2"/>
    <w:rsid w:val="00EE3CA9"/>
    <w:rsid w:val="00F96AD6"/>
    <w:rsid w:val="00FD4087"/>
    <w:rsid w:val="00FF66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FD8437"/>
  <w15:chartTrackingRefBased/>
  <w15:docId w15:val="{F49099C7-C140-4837-B83A-17545D7B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3C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3C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C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C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C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C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C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C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3C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3C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C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C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C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C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C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CA9"/>
    <w:rPr>
      <w:rFonts w:eastAsiaTheme="majorEastAsia" w:cstheme="majorBidi"/>
      <w:color w:val="272727" w:themeColor="text1" w:themeTint="D8"/>
    </w:rPr>
  </w:style>
  <w:style w:type="paragraph" w:styleId="Title">
    <w:name w:val="Title"/>
    <w:basedOn w:val="Normal"/>
    <w:next w:val="Normal"/>
    <w:link w:val="TitleChar"/>
    <w:uiPriority w:val="10"/>
    <w:qFormat/>
    <w:rsid w:val="00EE3C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C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C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CA9"/>
    <w:pPr>
      <w:spacing w:before="160"/>
      <w:jc w:val="center"/>
    </w:pPr>
    <w:rPr>
      <w:i/>
      <w:iCs/>
      <w:color w:val="404040" w:themeColor="text1" w:themeTint="BF"/>
    </w:rPr>
  </w:style>
  <w:style w:type="character" w:customStyle="1" w:styleId="QuoteChar">
    <w:name w:val="Quote Char"/>
    <w:basedOn w:val="DefaultParagraphFont"/>
    <w:link w:val="Quote"/>
    <w:uiPriority w:val="29"/>
    <w:rsid w:val="00EE3CA9"/>
    <w:rPr>
      <w:i/>
      <w:iCs/>
      <w:color w:val="404040" w:themeColor="text1" w:themeTint="BF"/>
    </w:rPr>
  </w:style>
  <w:style w:type="paragraph" w:styleId="ListParagraph">
    <w:name w:val="List Paragraph"/>
    <w:basedOn w:val="Normal"/>
    <w:uiPriority w:val="34"/>
    <w:qFormat/>
    <w:rsid w:val="00EE3CA9"/>
    <w:pPr>
      <w:ind w:left="720"/>
      <w:contextualSpacing/>
    </w:pPr>
  </w:style>
  <w:style w:type="character" w:styleId="IntenseEmphasis">
    <w:name w:val="Intense Emphasis"/>
    <w:basedOn w:val="DefaultParagraphFont"/>
    <w:uiPriority w:val="21"/>
    <w:qFormat/>
    <w:rsid w:val="00EE3CA9"/>
    <w:rPr>
      <w:i/>
      <w:iCs/>
      <w:color w:val="0F4761" w:themeColor="accent1" w:themeShade="BF"/>
    </w:rPr>
  </w:style>
  <w:style w:type="paragraph" w:styleId="IntenseQuote">
    <w:name w:val="Intense Quote"/>
    <w:basedOn w:val="Normal"/>
    <w:next w:val="Normal"/>
    <w:link w:val="IntenseQuoteChar"/>
    <w:uiPriority w:val="30"/>
    <w:qFormat/>
    <w:rsid w:val="00EE3C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CA9"/>
    <w:rPr>
      <w:i/>
      <w:iCs/>
      <w:color w:val="0F4761" w:themeColor="accent1" w:themeShade="BF"/>
    </w:rPr>
  </w:style>
  <w:style w:type="character" w:styleId="IntenseReference">
    <w:name w:val="Intense Reference"/>
    <w:basedOn w:val="DefaultParagraphFont"/>
    <w:uiPriority w:val="32"/>
    <w:qFormat/>
    <w:rsid w:val="00EE3CA9"/>
    <w:rPr>
      <w:b/>
      <w:bCs/>
      <w:smallCaps/>
      <w:color w:val="0F4761" w:themeColor="accent1" w:themeShade="BF"/>
      <w:spacing w:val="5"/>
    </w:rPr>
  </w:style>
  <w:style w:type="paragraph" w:styleId="NormalWeb">
    <w:name w:val="Normal (Web)"/>
    <w:basedOn w:val="Normal"/>
    <w:uiPriority w:val="99"/>
    <w:semiHidden/>
    <w:unhideWhenUsed/>
    <w:rsid w:val="00EE3CA9"/>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4F5240"/>
    <w:rPr>
      <w:b/>
      <w:bCs/>
    </w:rPr>
  </w:style>
  <w:style w:type="paragraph" w:styleId="z-TopofForm">
    <w:name w:val="HTML Top of Form"/>
    <w:basedOn w:val="Normal"/>
    <w:next w:val="Normal"/>
    <w:link w:val="z-TopofFormChar"/>
    <w:hidden/>
    <w:uiPriority w:val="99"/>
    <w:semiHidden/>
    <w:unhideWhenUsed/>
    <w:rsid w:val="004F5240"/>
    <w:pPr>
      <w:pBdr>
        <w:bottom w:val="single" w:sz="6" w:space="1" w:color="auto"/>
      </w:pBdr>
      <w:spacing w:after="0" w:line="240" w:lineRule="auto"/>
      <w:jc w:val="center"/>
    </w:pPr>
    <w:rPr>
      <w:rFonts w:ascii="Arial" w:eastAsia="Times New Roman" w:hAnsi="Arial" w:cs="Arial"/>
      <w:vanish/>
      <w:kern w:val="0"/>
      <w:sz w:val="16"/>
      <w:szCs w:val="16"/>
    </w:rPr>
  </w:style>
  <w:style w:type="character" w:customStyle="1" w:styleId="z-TopofFormChar">
    <w:name w:val="z-Top of Form Char"/>
    <w:basedOn w:val="DefaultParagraphFont"/>
    <w:link w:val="z-TopofForm"/>
    <w:uiPriority w:val="99"/>
    <w:semiHidden/>
    <w:rsid w:val="004F5240"/>
    <w:rPr>
      <w:rFonts w:ascii="Arial" w:eastAsia="Times New Roman" w:hAnsi="Arial" w:cs="Arial"/>
      <w:vanish/>
      <w:kern w:val="0"/>
      <w:sz w:val="16"/>
      <w:szCs w:val="16"/>
    </w:rPr>
  </w:style>
  <w:style w:type="paragraph" w:customStyle="1" w:styleId="EndNoteBibliographyTitle">
    <w:name w:val="EndNote Bibliography Title"/>
    <w:basedOn w:val="Normal"/>
    <w:link w:val="EndNoteBibliographyTitleChar"/>
    <w:rsid w:val="00C521D7"/>
    <w:pPr>
      <w:spacing w:after="0"/>
      <w:jc w:val="center"/>
    </w:pPr>
    <w:rPr>
      <w:rFonts w:ascii="Aptos" w:hAnsi="Aptos"/>
      <w:noProof/>
    </w:rPr>
  </w:style>
  <w:style w:type="character" w:customStyle="1" w:styleId="EndNoteBibliographyTitleChar">
    <w:name w:val="EndNote Bibliography Title Char"/>
    <w:basedOn w:val="DefaultParagraphFont"/>
    <w:link w:val="EndNoteBibliographyTitle"/>
    <w:rsid w:val="00C521D7"/>
    <w:rPr>
      <w:rFonts w:ascii="Aptos" w:hAnsi="Aptos"/>
      <w:noProof/>
    </w:rPr>
  </w:style>
  <w:style w:type="paragraph" w:customStyle="1" w:styleId="EndNoteBibliography">
    <w:name w:val="EndNote Bibliography"/>
    <w:basedOn w:val="Normal"/>
    <w:link w:val="EndNoteBibliographyChar"/>
    <w:rsid w:val="00C521D7"/>
    <w:pPr>
      <w:spacing w:line="240" w:lineRule="auto"/>
    </w:pPr>
    <w:rPr>
      <w:rFonts w:ascii="Aptos" w:hAnsi="Aptos"/>
      <w:noProof/>
    </w:rPr>
  </w:style>
  <w:style w:type="character" w:customStyle="1" w:styleId="EndNoteBibliographyChar">
    <w:name w:val="EndNote Bibliography Char"/>
    <w:basedOn w:val="DefaultParagraphFont"/>
    <w:link w:val="EndNoteBibliography"/>
    <w:rsid w:val="00C521D7"/>
    <w:rPr>
      <w:rFonts w:ascii="Aptos" w:hAnsi="Aptos"/>
      <w:noProof/>
    </w:rPr>
  </w:style>
  <w:style w:type="paragraph" w:styleId="TOCHeading">
    <w:name w:val="TOC Heading"/>
    <w:basedOn w:val="Heading1"/>
    <w:next w:val="Normal"/>
    <w:uiPriority w:val="39"/>
    <w:unhideWhenUsed/>
    <w:qFormat/>
    <w:rsid w:val="006B4724"/>
    <w:pPr>
      <w:spacing w:before="240" w:after="0"/>
      <w:outlineLvl w:val="9"/>
    </w:pPr>
    <w:rPr>
      <w:kern w:val="0"/>
      <w:sz w:val="32"/>
      <w:szCs w:val="32"/>
    </w:rPr>
  </w:style>
  <w:style w:type="paragraph" w:styleId="TOC1">
    <w:name w:val="toc 1"/>
    <w:basedOn w:val="Normal"/>
    <w:next w:val="Normal"/>
    <w:autoRedefine/>
    <w:uiPriority w:val="39"/>
    <w:unhideWhenUsed/>
    <w:rsid w:val="006B4724"/>
    <w:pPr>
      <w:spacing w:after="100"/>
    </w:pPr>
  </w:style>
  <w:style w:type="paragraph" w:styleId="TOC2">
    <w:name w:val="toc 2"/>
    <w:basedOn w:val="Normal"/>
    <w:next w:val="Normal"/>
    <w:autoRedefine/>
    <w:uiPriority w:val="39"/>
    <w:unhideWhenUsed/>
    <w:rsid w:val="006B4724"/>
    <w:pPr>
      <w:spacing w:after="100"/>
      <w:ind w:left="220"/>
    </w:pPr>
  </w:style>
  <w:style w:type="character" w:styleId="Hyperlink">
    <w:name w:val="Hyperlink"/>
    <w:basedOn w:val="DefaultParagraphFont"/>
    <w:uiPriority w:val="99"/>
    <w:unhideWhenUsed/>
    <w:rsid w:val="006B47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211">
      <w:bodyDiv w:val="1"/>
      <w:marLeft w:val="0"/>
      <w:marRight w:val="0"/>
      <w:marTop w:val="0"/>
      <w:marBottom w:val="0"/>
      <w:divBdr>
        <w:top w:val="none" w:sz="0" w:space="0" w:color="auto"/>
        <w:left w:val="none" w:sz="0" w:space="0" w:color="auto"/>
        <w:bottom w:val="none" w:sz="0" w:space="0" w:color="auto"/>
        <w:right w:val="none" w:sz="0" w:space="0" w:color="auto"/>
      </w:divBdr>
    </w:div>
    <w:div w:id="305596876">
      <w:bodyDiv w:val="1"/>
      <w:marLeft w:val="0"/>
      <w:marRight w:val="0"/>
      <w:marTop w:val="0"/>
      <w:marBottom w:val="0"/>
      <w:divBdr>
        <w:top w:val="none" w:sz="0" w:space="0" w:color="auto"/>
        <w:left w:val="none" w:sz="0" w:space="0" w:color="auto"/>
        <w:bottom w:val="none" w:sz="0" w:space="0" w:color="auto"/>
        <w:right w:val="none" w:sz="0" w:space="0" w:color="auto"/>
      </w:divBdr>
    </w:div>
    <w:div w:id="353310671">
      <w:bodyDiv w:val="1"/>
      <w:marLeft w:val="0"/>
      <w:marRight w:val="0"/>
      <w:marTop w:val="0"/>
      <w:marBottom w:val="0"/>
      <w:divBdr>
        <w:top w:val="none" w:sz="0" w:space="0" w:color="auto"/>
        <w:left w:val="none" w:sz="0" w:space="0" w:color="auto"/>
        <w:bottom w:val="none" w:sz="0" w:space="0" w:color="auto"/>
        <w:right w:val="none" w:sz="0" w:space="0" w:color="auto"/>
      </w:divBdr>
      <w:divsChild>
        <w:div w:id="1589386777">
          <w:marLeft w:val="0"/>
          <w:marRight w:val="0"/>
          <w:marTop w:val="0"/>
          <w:marBottom w:val="0"/>
          <w:divBdr>
            <w:top w:val="single" w:sz="2" w:space="0" w:color="E3E3E3"/>
            <w:left w:val="single" w:sz="2" w:space="0" w:color="E3E3E3"/>
            <w:bottom w:val="single" w:sz="2" w:space="0" w:color="E3E3E3"/>
            <w:right w:val="single" w:sz="2" w:space="0" w:color="E3E3E3"/>
          </w:divBdr>
          <w:divsChild>
            <w:div w:id="799107685">
              <w:marLeft w:val="0"/>
              <w:marRight w:val="0"/>
              <w:marTop w:val="0"/>
              <w:marBottom w:val="0"/>
              <w:divBdr>
                <w:top w:val="single" w:sz="2" w:space="0" w:color="E3E3E3"/>
                <w:left w:val="single" w:sz="2" w:space="0" w:color="E3E3E3"/>
                <w:bottom w:val="single" w:sz="2" w:space="0" w:color="E3E3E3"/>
                <w:right w:val="single" w:sz="2" w:space="0" w:color="E3E3E3"/>
              </w:divBdr>
              <w:divsChild>
                <w:div w:id="1913998943">
                  <w:marLeft w:val="0"/>
                  <w:marRight w:val="0"/>
                  <w:marTop w:val="0"/>
                  <w:marBottom w:val="0"/>
                  <w:divBdr>
                    <w:top w:val="single" w:sz="2" w:space="0" w:color="E3E3E3"/>
                    <w:left w:val="single" w:sz="2" w:space="0" w:color="E3E3E3"/>
                    <w:bottom w:val="single" w:sz="2" w:space="0" w:color="E3E3E3"/>
                    <w:right w:val="single" w:sz="2" w:space="0" w:color="E3E3E3"/>
                  </w:divBdr>
                  <w:divsChild>
                    <w:div w:id="666905823">
                      <w:marLeft w:val="0"/>
                      <w:marRight w:val="0"/>
                      <w:marTop w:val="0"/>
                      <w:marBottom w:val="0"/>
                      <w:divBdr>
                        <w:top w:val="single" w:sz="2" w:space="0" w:color="E3E3E3"/>
                        <w:left w:val="single" w:sz="2" w:space="0" w:color="E3E3E3"/>
                        <w:bottom w:val="single" w:sz="2" w:space="0" w:color="E3E3E3"/>
                        <w:right w:val="single" w:sz="2" w:space="0" w:color="E3E3E3"/>
                      </w:divBdr>
                      <w:divsChild>
                        <w:div w:id="206451356">
                          <w:marLeft w:val="0"/>
                          <w:marRight w:val="0"/>
                          <w:marTop w:val="0"/>
                          <w:marBottom w:val="0"/>
                          <w:divBdr>
                            <w:top w:val="single" w:sz="2" w:space="0" w:color="E3E3E3"/>
                            <w:left w:val="single" w:sz="2" w:space="0" w:color="E3E3E3"/>
                            <w:bottom w:val="single" w:sz="2" w:space="0" w:color="E3E3E3"/>
                            <w:right w:val="single" w:sz="2" w:space="0" w:color="E3E3E3"/>
                          </w:divBdr>
                          <w:divsChild>
                            <w:div w:id="1980643466">
                              <w:marLeft w:val="0"/>
                              <w:marRight w:val="0"/>
                              <w:marTop w:val="0"/>
                              <w:marBottom w:val="0"/>
                              <w:divBdr>
                                <w:top w:val="single" w:sz="2" w:space="0" w:color="E3E3E3"/>
                                <w:left w:val="single" w:sz="2" w:space="0" w:color="E3E3E3"/>
                                <w:bottom w:val="single" w:sz="2" w:space="0" w:color="E3E3E3"/>
                                <w:right w:val="single" w:sz="2" w:space="0" w:color="E3E3E3"/>
                              </w:divBdr>
                              <w:divsChild>
                                <w:div w:id="1286427193">
                                  <w:marLeft w:val="0"/>
                                  <w:marRight w:val="0"/>
                                  <w:marTop w:val="100"/>
                                  <w:marBottom w:val="100"/>
                                  <w:divBdr>
                                    <w:top w:val="single" w:sz="2" w:space="0" w:color="E3E3E3"/>
                                    <w:left w:val="single" w:sz="2" w:space="0" w:color="E3E3E3"/>
                                    <w:bottom w:val="single" w:sz="2" w:space="0" w:color="E3E3E3"/>
                                    <w:right w:val="single" w:sz="2" w:space="0" w:color="E3E3E3"/>
                                  </w:divBdr>
                                  <w:divsChild>
                                    <w:div w:id="1569001478">
                                      <w:marLeft w:val="0"/>
                                      <w:marRight w:val="0"/>
                                      <w:marTop w:val="0"/>
                                      <w:marBottom w:val="0"/>
                                      <w:divBdr>
                                        <w:top w:val="single" w:sz="2" w:space="0" w:color="E3E3E3"/>
                                        <w:left w:val="single" w:sz="2" w:space="0" w:color="E3E3E3"/>
                                        <w:bottom w:val="single" w:sz="2" w:space="0" w:color="E3E3E3"/>
                                        <w:right w:val="single" w:sz="2" w:space="0" w:color="E3E3E3"/>
                                      </w:divBdr>
                                      <w:divsChild>
                                        <w:div w:id="1158305600">
                                          <w:marLeft w:val="0"/>
                                          <w:marRight w:val="0"/>
                                          <w:marTop w:val="0"/>
                                          <w:marBottom w:val="0"/>
                                          <w:divBdr>
                                            <w:top w:val="single" w:sz="2" w:space="0" w:color="E3E3E3"/>
                                            <w:left w:val="single" w:sz="2" w:space="0" w:color="E3E3E3"/>
                                            <w:bottom w:val="single" w:sz="2" w:space="0" w:color="E3E3E3"/>
                                            <w:right w:val="single" w:sz="2" w:space="0" w:color="E3E3E3"/>
                                          </w:divBdr>
                                          <w:divsChild>
                                            <w:div w:id="1385250549">
                                              <w:marLeft w:val="0"/>
                                              <w:marRight w:val="0"/>
                                              <w:marTop w:val="0"/>
                                              <w:marBottom w:val="0"/>
                                              <w:divBdr>
                                                <w:top w:val="single" w:sz="2" w:space="0" w:color="E3E3E3"/>
                                                <w:left w:val="single" w:sz="2" w:space="0" w:color="E3E3E3"/>
                                                <w:bottom w:val="single" w:sz="2" w:space="0" w:color="E3E3E3"/>
                                                <w:right w:val="single" w:sz="2" w:space="0" w:color="E3E3E3"/>
                                              </w:divBdr>
                                              <w:divsChild>
                                                <w:div w:id="1184397703">
                                                  <w:marLeft w:val="0"/>
                                                  <w:marRight w:val="0"/>
                                                  <w:marTop w:val="0"/>
                                                  <w:marBottom w:val="0"/>
                                                  <w:divBdr>
                                                    <w:top w:val="single" w:sz="2" w:space="0" w:color="E3E3E3"/>
                                                    <w:left w:val="single" w:sz="2" w:space="0" w:color="E3E3E3"/>
                                                    <w:bottom w:val="single" w:sz="2" w:space="0" w:color="E3E3E3"/>
                                                    <w:right w:val="single" w:sz="2" w:space="0" w:color="E3E3E3"/>
                                                  </w:divBdr>
                                                  <w:divsChild>
                                                    <w:div w:id="1443917944">
                                                      <w:marLeft w:val="0"/>
                                                      <w:marRight w:val="0"/>
                                                      <w:marTop w:val="0"/>
                                                      <w:marBottom w:val="0"/>
                                                      <w:divBdr>
                                                        <w:top w:val="single" w:sz="2" w:space="0" w:color="E3E3E3"/>
                                                        <w:left w:val="single" w:sz="2" w:space="0" w:color="E3E3E3"/>
                                                        <w:bottom w:val="single" w:sz="2" w:space="0" w:color="E3E3E3"/>
                                                        <w:right w:val="single" w:sz="2" w:space="0" w:color="E3E3E3"/>
                                                      </w:divBdr>
                                                      <w:divsChild>
                                                        <w:div w:id="1920482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135415">
          <w:marLeft w:val="0"/>
          <w:marRight w:val="0"/>
          <w:marTop w:val="0"/>
          <w:marBottom w:val="0"/>
          <w:divBdr>
            <w:top w:val="none" w:sz="0" w:space="0" w:color="auto"/>
            <w:left w:val="none" w:sz="0" w:space="0" w:color="auto"/>
            <w:bottom w:val="none" w:sz="0" w:space="0" w:color="auto"/>
            <w:right w:val="none" w:sz="0" w:space="0" w:color="auto"/>
          </w:divBdr>
          <w:divsChild>
            <w:div w:id="1809084614">
              <w:marLeft w:val="0"/>
              <w:marRight w:val="0"/>
              <w:marTop w:val="100"/>
              <w:marBottom w:val="100"/>
              <w:divBdr>
                <w:top w:val="single" w:sz="2" w:space="0" w:color="E3E3E3"/>
                <w:left w:val="single" w:sz="2" w:space="0" w:color="E3E3E3"/>
                <w:bottom w:val="single" w:sz="2" w:space="0" w:color="E3E3E3"/>
                <w:right w:val="single" w:sz="2" w:space="0" w:color="E3E3E3"/>
              </w:divBdr>
              <w:divsChild>
                <w:div w:id="1349680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967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2838B-3692-4E05-A80D-7A82BF32C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4013</Words>
  <Characters>22877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 FATIMA</dc:creator>
  <cp:keywords/>
  <dc:description/>
  <cp:lastModifiedBy>Ella Mirea</cp:lastModifiedBy>
  <cp:revision>5</cp:revision>
  <dcterms:created xsi:type="dcterms:W3CDTF">2024-05-16T22:39:00Z</dcterms:created>
  <dcterms:modified xsi:type="dcterms:W3CDTF">2024-05-17T20:12:00Z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80ae90e0-5da8-43d8-9b31-97f7cf284a02</vt:lpwstr>
  </property>
</Properties>
</file>