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C147D3" w14:textId="77777777" w:rsidR="004B0194" w:rsidRPr="000C56BB" w:rsidRDefault="004B0194" w:rsidP="004B0194"/>
    <w:p w14:paraId="39978FF4" w14:textId="77777777" w:rsidR="004B0194" w:rsidRPr="000C56BB" w:rsidRDefault="004B0194" w:rsidP="004B0194"/>
    <w:p w14:paraId="1BEBB131" w14:textId="77777777" w:rsidR="004B0194" w:rsidRPr="000C56BB" w:rsidRDefault="004B0194" w:rsidP="004B0194"/>
    <w:p w14:paraId="6829A88C" w14:textId="77777777" w:rsidR="004B0194" w:rsidRPr="000C56BB" w:rsidRDefault="004B0194" w:rsidP="004B0194"/>
    <w:p w14:paraId="62DC54B1" w14:textId="77777777" w:rsidR="004B0194" w:rsidRPr="000C56BB" w:rsidRDefault="004B0194" w:rsidP="004B0194"/>
    <w:p w14:paraId="4676C12E" w14:textId="77777777" w:rsidR="004B0194" w:rsidRPr="000C56BB" w:rsidRDefault="004B0194" w:rsidP="004B0194"/>
    <w:p w14:paraId="1223A6A5" w14:textId="77777777" w:rsidR="004B0194" w:rsidRPr="000C56BB" w:rsidRDefault="004B0194" w:rsidP="004B0194"/>
    <w:p w14:paraId="6E88D3E3" w14:textId="77777777" w:rsidR="004B0194" w:rsidRPr="000C56BB" w:rsidRDefault="004B0194" w:rsidP="004B0194"/>
    <w:p w14:paraId="23C93A1C" w14:textId="77777777" w:rsidR="004B0194" w:rsidRPr="000C56BB" w:rsidRDefault="004B0194" w:rsidP="004B0194"/>
    <w:p w14:paraId="62BDF9F7" w14:textId="77777777" w:rsidR="004B0194" w:rsidRPr="000C56BB" w:rsidRDefault="004B0194" w:rsidP="004B0194">
      <w:pPr>
        <w:rPr>
          <w:sz w:val="28"/>
          <w:szCs w:val="28"/>
        </w:rPr>
      </w:pPr>
    </w:p>
    <w:p w14:paraId="4745DD35" w14:textId="44FB64AD" w:rsidR="004B0194" w:rsidRPr="000C56BB" w:rsidRDefault="004B0194" w:rsidP="004B0194">
      <w:pPr>
        <w:jc w:val="center"/>
        <w:rPr>
          <w:b/>
          <w:bCs/>
          <w:sz w:val="28"/>
          <w:szCs w:val="28"/>
          <w:u w:val="single"/>
        </w:rPr>
      </w:pPr>
      <w:r w:rsidRPr="000C56BB">
        <w:rPr>
          <w:b/>
          <w:bCs/>
          <w:sz w:val="28"/>
          <w:szCs w:val="28"/>
          <w:u w:val="single"/>
        </w:rPr>
        <w:t>Adapting traditional performance management to Remote workers</w:t>
      </w:r>
    </w:p>
    <w:p w14:paraId="4B946060" w14:textId="00E4901A" w:rsidR="004B0194" w:rsidRPr="000C56BB" w:rsidRDefault="004B0194" w:rsidP="004B0194">
      <w:pPr>
        <w:rPr>
          <w:sz w:val="28"/>
          <w:szCs w:val="28"/>
        </w:rPr>
      </w:pPr>
    </w:p>
    <w:p w14:paraId="16421466" w14:textId="77777777" w:rsidR="004B0194" w:rsidRPr="000C56BB" w:rsidRDefault="004B0194" w:rsidP="004B0194">
      <w:pPr>
        <w:rPr>
          <w:sz w:val="28"/>
          <w:szCs w:val="28"/>
        </w:rPr>
      </w:pPr>
    </w:p>
    <w:p w14:paraId="00155883" w14:textId="77777777" w:rsidR="004B0194" w:rsidRPr="000C56BB" w:rsidRDefault="004B0194" w:rsidP="004B0194">
      <w:pPr>
        <w:rPr>
          <w:sz w:val="28"/>
          <w:szCs w:val="28"/>
        </w:rPr>
      </w:pPr>
    </w:p>
    <w:p w14:paraId="4DF149B1" w14:textId="77777777" w:rsidR="004B0194" w:rsidRPr="000C56BB" w:rsidRDefault="004B0194" w:rsidP="004B0194">
      <w:pPr>
        <w:rPr>
          <w:sz w:val="28"/>
          <w:szCs w:val="28"/>
        </w:rPr>
      </w:pPr>
    </w:p>
    <w:p w14:paraId="3CA4FCAB" w14:textId="77777777" w:rsidR="004B0194" w:rsidRPr="000C56BB" w:rsidRDefault="004B0194" w:rsidP="004B0194">
      <w:pPr>
        <w:rPr>
          <w:sz w:val="28"/>
          <w:szCs w:val="28"/>
        </w:rPr>
      </w:pPr>
    </w:p>
    <w:p w14:paraId="207E0CC8" w14:textId="77777777" w:rsidR="004B0194" w:rsidRPr="000C56BB" w:rsidRDefault="004B0194" w:rsidP="004B0194">
      <w:pPr>
        <w:rPr>
          <w:sz w:val="28"/>
          <w:szCs w:val="28"/>
        </w:rPr>
      </w:pPr>
    </w:p>
    <w:p w14:paraId="1EBD1446" w14:textId="77777777" w:rsidR="004B0194" w:rsidRPr="000C56BB" w:rsidRDefault="004B0194" w:rsidP="004B0194">
      <w:pPr>
        <w:rPr>
          <w:sz w:val="28"/>
          <w:szCs w:val="28"/>
        </w:rPr>
      </w:pPr>
    </w:p>
    <w:p w14:paraId="775BB083" w14:textId="77777777" w:rsidR="004B0194" w:rsidRPr="000C56BB" w:rsidRDefault="004B0194" w:rsidP="004B0194">
      <w:pPr>
        <w:rPr>
          <w:sz w:val="28"/>
          <w:szCs w:val="28"/>
        </w:rPr>
      </w:pPr>
    </w:p>
    <w:p w14:paraId="06D8BEE9" w14:textId="77777777" w:rsidR="004B0194" w:rsidRPr="000C56BB" w:rsidRDefault="004B0194" w:rsidP="004B0194">
      <w:pPr>
        <w:rPr>
          <w:sz w:val="28"/>
          <w:szCs w:val="28"/>
        </w:rPr>
      </w:pPr>
    </w:p>
    <w:p w14:paraId="35BA8E9D" w14:textId="77777777" w:rsidR="004B0194" w:rsidRPr="000C56BB" w:rsidRDefault="004B0194" w:rsidP="004B0194">
      <w:pPr>
        <w:rPr>
          <w:sz w:val="28"/>
          <w:szCs w:val="28"/>
        </w:rPr>
      </w:pPr>
    </w:p>
    <w:p w14:paraId="0B2E0BDC" w14:textId="3C1F16C6" w:rsidR="004B0194" w:rsidRPr="000C56BB" w:rsidRDefault="004B0194" w:rsidP="004B0194">
      <w:pPr>
        <w:jc w:val="center"/>
        <w:rPr>
          <w:b/>
          <w:bCs/>
          <w:sz w:val="28"/>
          <w:szCs w:val="28"/>
        </w:rPr>
      </w:pPr>
      <w:r w:rsidRPr="000C56BB">
        <w:rPr>
          <w:b/>
          <w:bCs/>
          <w:sz w:val="28"/>
          <w:szCs w:val="28"/>
        </w:rPr>
        <w:t>Student Number: 2227304</w:t>
      </w:r>
    </w:p>
    <w:p w14:paraId="0A800BE2" w14:textId="6D54966B" w:rsidR="00BE3D67" w:rsidRPr="000C56BB" w:rsidRDefault="004B0194" w:rsidP="00BE3D67">
      <w:pPr>
        <w:jc w:val="center"/>
        <w:rPr>
          <w:b/>
          <w:bCs/>
          <w:sz w:val="28"/>
          <w:szCs w:val="28"/>
        </w:rPr>
      </w:pPr>
      <w:r w:rsidRPr="000C56BB">
        <w:rPr>
          <w:b/>
          <w:bCs/>
          <w:sz w:val="28"/>
          <w:szCs w:val="28"/>
        </w:rPr>
        <w:t>Module Code: LCBB5004</w:t>
      </w:r>
    </w:p>
    <w:p w14:paraId="0379A052" w14:textId="77777777" w:rsidR="005001BE" w:rsidRDefault="004B0194" w:rsidP="005001BE">
      <w:pPr>
        <w:jc w:val="center"/>
        <w:rPr>
          <w:b/>
          <w:bCs/>
          <w:sz w:val="28"/>
          <w:szCs w:val="28"/>
        </w:rPr>
      </w:pPr>
      <w:r w:rsidRPr="000C56BB">
        <w:rPr>
          <w:b/>
          <w:bCs/>
          <w:sz w:val="28"/>
          <w:szCs w:val="28"/>
        </w:rPr>
        <w:t>Module Title: Managing People</w:t>
      </w:r>
    </w:p>
    <w:p w14:paraId="77D7988C" w14:textId="77777777" w:rsidR="00BE3D67" w:rsidRDefault="00BE3D67" w:rsidP="005001BE">
      <w:pPr>
        <w:jc w:val="center"/>
        <w:rPr>
          <w:b/>
          <w:bCs/>
          <w:sz w:val="28"/>
          <w:szCs w:val="28"/>
        </w:rPr>
      </w:pPr>
    </w:p>
    <w:p w14:paraId="2A0B8276" w14:textId="77777777" w:rsidR="00BE3D67" w:rsidRDefault="00BE3D67" w:rsidP="005001BE">
      <w:pPr>
        <w:jc w:val="center"/>
        <w:rPr>
          <w:b/>
          <w:bCs/>
          <w:sz w:val="28"/>
          <w:szCs w:val="28"/>
        </w:rPr>
      </w:pPr>
    </w:p>
    <w:p w14:paraId="2D9F9C20" w14:textId="3A8E6306" w:rsidR="004B0194" w:rsidRPr="005001BE" w:rsidRDefault="004B0194" w:rsidP="005001BE">
      <w:pPr>
        <w:jc w:val="center"/>
        <w:rPr>
          <w:b/>
          <w:bCs/>
          <w:sz w:val="28"/>
          <w:szCs w:val="28"/>
        </w:rPr>
      </w:pPr>
      <w:r w:rsidRPr="005001BE">
        <w:rPr>
          <w:b/>
          <w:bCs/>
          <w:u w:val="single"/>
        </w:rPr>
        <w:lastRenderedPageBreak/>
        <w:t>Introduction</w:t>
      </w:r>
    </w:p>
    <w:p w14:paraId="132F873E" w14:textId="0BA0F03E" w:rsidR="00856615" w:rsidRPr="005001BE" w:rsidRDefault="00856615" w:rsidP="005001BE">
      <w:pPr>
        <w:jc w:val="both"/>
      </w:pPr>
      <w:r w:rsidRPr="005001BE">
        <w:t xml:space="preserve">There almost was a reversal in the current working environment towards remote work, a trend that has been extended by the COVID-19 pandemic (ONS, 2023). Raw data indicates that before the global health crisis the remote work boom was already in progress, however since the COVID 19 related lockdowns working from home has become extremely popular despite researched negative impact </w:t>
      </w:r>
      <w:r w:rsidR="00676A90">
        <w:t>well-being</w:t>
      </w:r>
      <w:r w:rsidRPr="005001BE">
        <w:t xml:space="preserve"> (ONS, 2023). Remote work has brought some obstacles, especially issues regarding monitoring </w:t>
      </w:r>
      <w:r w:rsidR="00463E49" w:rsidRPr="005001BE">
        <w:t>employees ‘productivity</w:t>
      </w:r>
      <w:r w:rsidRPr="005001BE">
        <w:t>.</w:t>
      </w:r>
    </w:p>
    <w:p w14:paraId="238A76D8" w14:textId="12D3E238" w:rsidR="00856615" w:rsidRPr="005001BE" w:rsidRDefault="00856615" w:rsidP="005001BE">
      <w:pPr>
        <w:jc w:val="both"/>
        <w:rPr>
          <w:rFonts w:eastAsia="Times New Roman" w:cs="Times New Roman"/>
          <w:kern w:val="0"/>
          <w:lang w:eastAsia="en-GB"/>
          <w14:ligatures w14:val="none"/>
        </w:rPr>
      </w:pPr>
      <w:r w:rsidRPr="005001BE">
        <w:t xml:space="preserve">Developing ways to evaluate and improve worker efficiency can be especially difficult for employers when it comes to working-from-home personnel, whose role separation from typical office environments can </w:t>
      </w:r>
      <w:r w:rsidR="00676A90">
        <w:t>develop</w:t>
      </w:r>
      <w:r w:rsidRPr="005001BE">
        <w:t xml:space="preserve"> various difficulties in communication, cooperation and </w:t>
      </w:r>
      <w:r w:rsidR="000C56BB" w:rsidRPr="005001BE">
        <w:t>responsibility (</w:t>
      </w:r>
      <w:r w:rsidR="000C56BB" w:rsidRPr="005001BE">
        <w:rPr>
          <w:rFonts w:eastAsia="Times New Roman" w:cs="Times New Roman"/>
          <w:kern w:val="0"/>
          <w:lang w:eastAsia="en-GB"/>
          <w14:ligatures w14:val="none"/>
        </w:rPr>
        <w:t xml:space="preserve">Bloom et al., 2015). </w:t>
      </w:r>
      <w:r w:rsidRPr="005001BE">
        <w:t>These challenges often necessitate novel ways of using performance-management interventions built upon technology that calls for increased creativity (with the use of technology’s advantages) but that also incorporates carefully designed assessment techniques and tools.</w:t>
      </w:r>
    </w:p>
    <w:p w14:paraId="54799121" w14:textId="6A7E2612" w:rsidR="000C56BB" w:rsidRPr="005001BE" w:rsidRDefault="00856615" w:rsidP="005001BE">
      <w:pPr>
        <w:jc w:val="both"/>
      </w:pPr>
      <w:r w:rsidRPr="005001BE">
        <w:t xml:space="preserve">The aim of this report will be to delve into the complex field of performance assessment in remote work and tackle the following research question “What is the role of technology in measuring the performance of remote workers?” To address the </w:t>
      </w:r>
      <w:r w:rsidR="00676A90" w:rsidRPr="005001BE">
        <w:t>research,</w:t>
      </w:r>
      <w:r w:rsidRPr="005001BE">
        <w:t xml:space="preserve"> question the report will scrutinise several methods of performance </w:t>
      </w:r>
      <w:r w:rsidR="00676A90">
        <w:t xml:space="preserve">which </w:t>
      </w:r>
      <w:r w:rsidRPr="005001BE">
        <w:t>will provide some answers and address the issue.</w:t>
      </w:r>
    </w:p>
    <w:p w14:paraId="0C6CADEE" w14:textId="75F07AA8" w:rsidR="00826935" w:rsidRPr="005001BE" w:rsidRDefault="000C56BB" w:rsidP="005001BE">
      <w:pPr>
        <w:jc w:val="center"/>
        <w:rPr>
          <w:b/>
          <w:bCs/>
          <w:u w:val="single"/>
        </w:rPr>
      </w:pPr>
      <w:r w:rsidRPr="005001BE">
        <w:rPr>
          <w:b/>
          <w:bCs/>
          <w:u w:val="single"/>
        </w:rPr>
        <w:t>Role of Technology when Appraising Performance</w:t>
      </w:r>
    </w:p>
    <w:p w14:paraId="64D1AAA2" w14:textId="4929FADD" w:rsidR="001D1B17" w:rsidRPr="005001BE" w:rsidRDefault="001D1B17" w:rsidP="005001BE">
      <w:pPr>
        <w:jc w:val="both"/>
      </w:pPr>
      <w:r w:rsidRPr="005001BE">
        <w:t xml:space="preserve">To make evaluations easier for remote workers, technology is a key component. It allows </w:t>
      </w:r>
      <w:r w:rsidR="00676A90">
        <w:t>employers</w:t>
      </w:r>
      <w:r w:rsidRPr="005001BE">
        <w:t xml:space="preserve"> to assess performance in a setting where resources are spread out across several locations</w:t>
      </w:r>
      <w:r w:rsidR="00676A90">
        <w:t xml:space="preserve"> and each resource </w:t>
      </w:r>
      <w:proofErr w:type="gramStart"/>
      <w:r w:rsidR="00676A90">
        <w:t>has to</w:t>
      </w:r>
      <w:proofErr w:type="gramEnd"/>
      <w:r w:rsidR="00676A90">
        <w:t xml:space="preserve"> get to the right employee</w:t>
      </w:r>
      <w:r w:rsidRPr="005001BE">
        <w:t>.</w:t>
      </w:r>
    </w:p>
    <w:p w14:paraId="3083E188" w14:textId="43151F3B" w:rsidR="00A71853" w:rsidRPr="005001BE" w:rsidRDefault="001D1B17" w:rsidP="005001BE">
      <w:pPr>
        <w:jc w:val="both"/>
        <w:rPr>
          <w:rFonts w:eastAsia="Times New Roman" w:cs="Times New Roman"/>
          <w:kern w:val="0"/>
          <w:lang w:eastAsia="en-GB"/>
          <w14:ligatures w14:val="none"/>
        </w:rPr>
      </w:pPr>
      <w:r w:rsidRPr="005001BE">
        <w:t>Technology may aid remote worker assessment in several ways, one of which is the development of tracking, monitoring, and evaluation technologies. Managers can use time tracking software to check for consistency and identify potential burnout concerns</w:t>
      </w:r>
      <w:r w:rsidR="00CA06A5" w:rsidRPr="005001BE">
        <w:t xml:space="preserve">. </w:t>
      </w:r>
      <w:r w:rsidR="00B41CD6" w:rsidRPr="005001BE">
        <w:t>(</w:t>
      </w:r>
      <w:proofErr w:type="spellStart"/>
      <w:r w:rsidR="00B41CD6" w:rsidRPr="005001BE">
        <w:t>Kalischko</w:t>
      </w:r>
      <w:proofErr w:type="spellEnd"/>
      <w:r w:rsidR="00B41CD6" w:rsidRPr="005001BE">
        <w:t xml:space="preserve"> and Riedl, 2021). </w:t>
      </w:r>
      <w:r w:rsidRPr="005001BE">
        <w:t>Minimising micromanagement requires a focus on both productivity and hours worked. To provide a better picture of total productivity, monitoring systems</w:t>
      </w:r>
      <w:r w:rsidR="00676A90">
        <w:t xml:space="preserve"> now</w:t>
      </w:r>
      <w:r w:rsidRPr="005001BE">
        <w:t xml:space="preserve"> look at more than simply time. They also evaluate programme usage, typing habits, and mouse activity. </w:t>
      </w:r>
      <w:r w:rsidR="00676A90">
        <w:t>Any c</w:t>
      </w:r>
      <w:r w:rsidRPr="005001BE">
        <w:t xml:space="preserve">oncerns about accuracy and potential privacy implications for employees </w:t>
      </w:r>
      <w:r w:rsidR="00676A90">
        <w:t>get immediately</w:t>
      </w:r>
      <w:r w:rsidRPr="005001BE">
        <w:t xml:space="preserve"> raised </w:t>
      </w:r>
      <w:r w:rsidR="00B41CD6" w:rsidRPr="005001BE">
        <w:t xml:space="preserve">(Castrillon, 2022). </w:t>
      </w:r>
      <w:r w:rsidRPr="005001BE">
        <w:t xml:space="preserve">Project management and communication are both made easier with collaboration tools </w:t>
      </w:r>
      <w:proofErr w:type="gramStart"/>
      <w:r w:rsidRPr="005001BE">
        <w:t>like  Microsoft</w:t>
      </w:r>
      <w:proofErr w:type="gramEnd"/>
      <w:r w:rsidRPr="005001BE">
        <w:t xml:space="preserve"> Teams. During team meetings and collaborative tasks, managers </w:t>
      </w:r>
      <w:proofErr w:type="gramStart"/>
      <w:r w:rsidRPr="005001BE">
        <w:t>have the opportunity to</w:t>
      </w:r>
      <w:proofErr w:type="gramEnd"/>
      <w:r w:rsidRPr="005001BE">
        <w:t xml:space="preserve"> observe team dynamics, the flow of information, and the individual contributions of team members </w:t>
      </w:r>
      <w:r w:rsidR="00A71853" w:rsidRPr="005001BE">
        <w:rPr>
          <w:rFonts w:eastAsia="Times New Roman" w:cs="Times New Roman"/>
          <w:kern w:val="0"/>
          <w:lang w:eastAsia="en-GB"/>
          <w14:ligatures w14:val="none"/>
        </w:rPr>
        <w:t>(</w:t>
      </w:r>
      <w:proofErr w:type="spellStart"/>
      <w:r w:rsidR="00A71853" w:rsidRPr="005001BE">
        <w:rPr>
          <w:rFonts w:eastAsia="Times New Roman" w:cs="Times New Roman"/>
          <w:kern w:val="0"/>
          <w:lang w:eastAsia="en-GB"/>
          <w14:ligatures w14:val="none"/>
        </w:rPr>
        <w:t>Rennenberg</w:t>
      </w:r>
      <w:proofErr w:type="spellEnd"/>
      <w:r w:rsidR="00A71853" w:rsidRPr="005001BE">
        <w:rPr>
          <w:rFonts w:eastAsia="Times New Roman" w:cs="Times New Roman"/>
          <w:kern w:val="0"/>
          <w:lang w:eastAsia="en-GB"/>
          <w14:ligatures w14:val="none"/>
        </w:rPr>
        <w:t>, 2016).</w:t>
      </w:r>
    </w:p>
    <w:p w14:paraId="0DD80B19" w14:textId="4E6FE5E3" w:rsidR="001D1B17" w:rsidRPr="005001BE" w:rsidRDefault="001D1B17" w:rsidP="005001BE">
      <w:pPr>
        <w:jc w:val="both"/>
      </w:pPr>
    </w:p>
    <w:p w14:paraId="2C6B094B" w14:textId="409E50EE" w:rsidR="001D1B17" w:rsidRPr="005001BE" w:rsidRDefault="001D1B17" w:rsidP="005001BE">
      <w:pPr>
        <w:jc w:val="both"/>
        <w:rPr>
          <w:rFonts w:eastAsia="Times New Roman" w:cs="Times New Roman"/>
          <w:kern w:val="0"/>
          <w:lang w:eastAsia="en-GB"/>
          <w14:ligatures w14:val="none"/>
        </w:rPr>
      </w:pPr>
      <w:r w:rsidRPr="005001BE">
        <w:lastRenderedPageBreak/>
        <w:t>There are a lot of advantages to using technology to assess remote workers.  To begin with, it facilitates the collection of statistical information relating to issues like activity levels, communication patterns, and work hours. According to</w:t>
      </w:r>
      <w:r w:rsidR="00A71853" w:rsidRPr="005001BE">
        <w:t xml:space="preserve"> </w:t>
      </w:r>
      <w:proofErr w:type="spellStart"/>
      <w:proofErr w:type="gramStart"/>
      <w:r w:rsidR="00A71853" w:rsidRPr="005001BE">
        <w:rPr>
          <w:rFonts w:eastAsia="Times New Roman" w:cs="Times New Roman"/>
          <w:kern w:val="0"/>
          <w:lang w:eastAsia="en-GB"/>
          <w14:ligatures w14:val="none"/>
        </w:rPr>
        <w:t>Masschelein</w:t>
      </w:r>
      <w:proofErr w:type="spellEnd"/>
      <w:r w:rsidR="00A71853" w:rsidRPr="005001BE">
        <w:rPr>
          <w:rFonts w:eastAsia="Times New Roman" w:cs="Times New Roman"/>
          <w:kern w:val="0"/>
          <w:lang w:eastAsia="en-GB"/>
          <w14:ligatures w14:val="none"/>
        </w:rPr>
        <w:t>,(</w:t>
      </w:r>
      <w:proofErr w:type="gramEnd"/>
      <w:r w:rsidR="00A71853" w:rsidRPr="005001BE">
        <w:rPr>
          <w:rFonts w:eastAsia="Times New Roman" w:cs="Times New Roman"/>
          <w:kern w:val="0"/>
          <w:lang w:eastAsia="en-GB"/>
          <w14:ligatures w14:val="none"/>
        </w:rPr>
        <w:t xml:space="preserve"> 2024</w:t>
      </w:r>
      <w:r w:rsidR="00A71853" w:rsidRPr="005001BE">
        <w:t>),</w:t>
      </w:r>
      <w:r w:rsidRPr="005001BE">
        <w:t xml:space="preserve"> this data provides valuable objective metrics for evaluating performance.</w:t>
      </w:r>
      <w:r w:rsidR="00676A90">
        <w:t xml:space="preserve"> </w:t>
      </w:r>
      <w:r w:rsidRPr="005001BE">
        <w:t>Second</w:t>
      </w:r>
      <w:r w:rsidR="00676A90">
        <w:t>ly</w:t>
      </w:r>
      <w:r w:rsidRPr="005001BE">
        <w:t xml:space="preserve">, regardless of where a remote worker is located, they may be efficiently </w:t>
      </w:r>
      <w:r w:rsidR="00676A90">
        <w:t>helped when in need</w:t>
      </w:r>
      <w:r w:rsidRPr="005001BE">
        <w:t xml:space="preserve"> thanks to technological advancements that </w:t>
      </w:r>
      <w:r w:rsidR="00676A90">
        <w:t xml:space="preserve">makes sure everyone is on track without the need of a physical </w:t>
      </w:r>
      <w:proofErr w:type="gramStart"/>
      <w:r w:rsidR="00676A90">
        <w:t>presence .</w:t>
      </w:r>
      <w:proofErr w:type="gramEnd"/>
      <w:r w:rsidR="00676A90">
        <w:t xml:space="preserve"> </w:t>
      </w:r>
      <w:proofErr w:type="gramStart"/>
      <w:r w:rsidRPr="005001BE">
        <w:t>Last but not least</w:t>
      </w:r>
      <w:proofErr w:type="gramEnd"/>
      <w:r w:rsidRPr="005001BE">
        <w:t xml:space="preserve">, a number of </w:t>
      </w:r>
      <w:r w:rsidR="00676A90">
        <w:t>methods</w:t>
      </w:r>
      <w:r w:rsidRPr="005001BE">
        <w:t xml:space="preserve"> provide data in real-time, which helps managers spot potential issues and respond quickly, ultimately leading to continuous performance improvement.</w:t>
      </w:r>
    </w:p>
    <w:p w14:paraId="31F5367B" w14:textId="403DF2FF" w:rsidR="001D1B17" w:rsidRPr="005001BE" w:rsidRDefault="001D1B17" w:rsidP="005001BE">
      <w:pPr>
        <w:jc w:val="both"/>
        <w:rPr>
          <w:rFonts w:eastAsia="Times New Roman" w:cs="Times New Roman"/>
          <w:kern w:val="0"/>
          <w:lang w:eastAsia="en-GB"/>
          <w14:ligatures w14:val="none"/>
        </w:rPr>
      </w:pPr>
      <w:r w:rsidRPr="005001BE">
        <w:t xml:space="preserve">But there are disadvantages to relying just on technology to evaluate remote workers. Employees may become disengaged and unmotivated if monitoring is overdone to the point that it becomes intrusive and creates a distrustful atmosphere </w:t>
      </w:r>
      <w:r w:rsidR="00A71853" w:rsidRPr="005001BE">
        <w:t>(Brynjolfsson et al., 1993</w:t>
      </w:r>
      <w:r w:rsidRPr="005001BE">
        <w:t>).  In addition, technology isn't always up to speed when it comes to capturing remote workers' individual challenges or the quality of their work. New forms of assessment may be required to evaluate creative thinking, problem-solving, and interpersonal communication skills.  In addition, monitoring systems' algorithms could be biassed, leading to inaccurate performance assessments</w:t>
      </w:r>
      <w:r w:rsidR="00A71853" w:rsidRPr="005001BE">
        <w:t xml:space="preserve"> </w:t>
      </w:r>
      <w:r w:rsidR="00A71853" w:rsidRPr="005001BE">
        <w:rPr>
          <w:rFonts w:eastAsia="Times New Roman" w:cs="Times New Roman"/>
          <w:kern w:val="0"/>
          <w:lang w:eastAsia="en-GB"/>
          <w14:ligatures w14:val="none"/>
        </w:rPr>
        <w:t>(</w:t>
      </w:r>
      <w:proofErr w:type="spellStart"/>
      <w:r w:rsidR="00A71853" w:rsidRPr="005001BE">
        <w:rPr>
          <w:rFonts w:eastAsia="Times New Roman" w:cs="Times New Roman"/>
          <w:kern w:val="0"/>
          <w:lang w:eastAsia="en-GB"/>
          <w14:ligatures w14:val="none"/>
        </w:rPr>
        <w:t>Masschelein</w:t>
      </w:r>
      <w:proofErr w:type="spellEnd"/>
      <w:r w:rsidR="00A71853" w:rsidRPr="005001BE">
        <w:rPr>
          <w:rFonts w:eastAsia="Times New Roman" w:cs="Times New Roman"/>
          <w:kern w:val="0"/>
          <w:lang w:eastAsia="en-GB"/>
          <w14:ligatures w14:val="none"/>
        </w:rPr>
        <w:t xml:space="preserve">, 2024). </w:t>
      </w:r>
      <w:r w:rsidRPr="005001BE">
        <w:t>Human monitoring should be done regularly.</w:t>
      </w:r>
    </w:p>
    <w:p w14:paraId="2A06A835" w14:textId="1F62F246" w:rsidR="001D1B17" w:rsidRPr="005001BE" w:rsidRDefault="001D1B17" w:rsidP="005001BE">
      <w:pPr>
        <w:jc w:val="both"/>
      </w:pPr>
      <w:r w:rsidRPr="005001BE">
        <w:t xml:space="preserve">Examples demonstrate the efficacy of technology in certain scenarios. </w:t>
      </w:r>
      <w:proofErr w:type="spellStart"/>
      <w:r w:rsidRPr="005001BE">
        <w:t>Mithas</w:t>
      </w:r>
      <w:proofErr w:type="spellEnd"/>
      <w:r w:rsidRPr="005001BE">
        <w:t xml:space="preserve"> et al. (2012) evaluated a software development business that used project management software with extensive task tracking capabilities. Managers remotely tracked project progress, identified impediments, and evaluated individual contributions. This data-driven strategy enabled prompt intervention and increased team performance (</w:t>
      </w:r>
      <w:proofErr w:type="spellStart"/>
      <w:r w:rsidRPr="005001BE">
        <w:t>Mithas</w:t>
      </w:r>
      <w:proofErr w:type="spellEnd"/>
      <w:r w:rsidRPr="005001BE">
        <w:t xml:space="preserve"> et al., 2012).  A marketing agency might use technologies like Google Analytics to measure website traffic remotely, evaluate the efficiency of marketing campaigns directed by remote teams, and connect results with individual performance KPIs in a performance management system.</w:t>
      </w:r>
    </w:p>
    <w:p w14:paraId="2F4A1342" w14:textId="5486DE34" w:rsidR="00F43692" w:rsidRPr="005001BE" w:rsidRDefault="001D1B17" w:rsidP="005001BE">
      <w:pPr>
        <w:jc w:val="both"/>
      </w:pPr>
      <w:r w:rsidRPr="005001BE">
        <w:t>While technology provides useful tools for evaluating remote workers, it is not a complete answer. To minimise employee animosity, technology should be utilised carefully, alongside with other strategies, and carefully incorporated.  Understanding the limitations of technology is critical for its efficient use</w:t>
      </w:r>
      <w:r w:rsidR="00A71853" w:rsidRPr="005001BE">
        <w:t xml:space="preserve"> </w:t>
      </w:r>
      <w:r w:rsidR="00A71853" w:rsidRPr="005001BE">
        <w:rPr>
          <w:rFonts w:eastAsia="Times New Roman" w:cs="Times New Roman"/>
          <w:kern w:val="0"/>
          <w:lang w:eastAsia="en-GB"/>
          <w14:ligatures w14:val="none"/>
        </w:rPr>
        <w:t>(</w:t>
      </w:r>
      <w:proofErr w:type="spellStart"/>
      <w:r w:rsidR="00A71853" w:rsidRPr="005001BE">
        <w:rPr>
          <w:rFonts w:eastAsia="Times New Roman" w:cs="Times New Roman"/>
          <w:kern w:val="0"/>
          <w:lang w:eastAsia="en-GB"/>
          <w14:ligatures w14:val="none"/>
        </w:rPr>
        <w:t>Masschelein</w:t>
      </w:r>
      <w:proofErr w:type="spellEnd"/>
      <w:r w:rsidR="00A71853" w:rsidRPr="005001BE">
        <w:rPr>
          <w:rFonts w:eastAsia="Times New Roman" w:cs="Times New Roman"/>
          <w:kern w:val="0"/>
          <w:lang w:eastAsia="en-GB"/>
          <w14:ligatures w14:val="none"/>
        </w:rPr>
        <w:t xml:space="preserve">, 2024). </w:t>
      </w:r>
      <w:r w:rsidRPr="005001BE">
        <w:t>Finally, a balanced strategy that combines technology for data collecting with human judgement results in a more thorough evaluation of remote worker performance.</w:t>
      </w:r>
    </w:p>
    <w:p w14:paraId="17AD4CDD" w14:textId="77777777" w:rsidR="00A71853" w:rsidRPr="005001BE" w:rsidRDefault="00A71853" w:rsidP="005001BE">
      <w:pPr>
        <w:jc w:val="both"/>
      </w:pPr>
    </w:p>
    <w:p w14:paraId="02F92F6A" w14:textId="77777777" w:rsidR="00A71853" w:rsidRPr="005001BE" w:rsidRDefault="00A71853" w:rsidP="005001BE">
      <w:pPr>
        <w:jc w:val="both"/>
      </w:pPr>
    </w:p>
    <w:p w14:paraId="1053A580" w14:textId="77777777" w:rsidR="00A71853" w:rsidRPr="005001BE" w:rsidRDefault="00A71853" w:rsidP="005001BE">
      <w:pPr>
        <w:jc w:val="both"/>
      </w:pPr>
    </w:p>
    <w:p w14:paraId="6153D3D7" w14:textId="77777777" w:rsidR="00A71853" w:rsidRPr="005001BE" w:rsidRDefault="00A71853" w:rsidP="005001BE">
      <w:pPr>
        <w:jc w:val="both"/>
      </w:pPr>
    </w:p>
    <w:p w14:paraId="46F31F7B" w14:textId="25C09E73" w:rsidR="00A71853" w:rsidRPr="005001BE" w:rsidRDefault="00A71853" w:rsidP="005001BE">
      <w:pPr>
        <w:jc w:val="center"/>
        <w:rPr>
          <w:b/>
          <w:bCs/>
          <w:u w:val="single"/>
        </w:rPr>
      </w:pPr>
      <w:r w:rsidRPr="005001BE">
        <w:rPr>
          <w:b/>
          <w:bCs/>
          <w:u w:val="single"/>
        </w:rPr>
        <w:lastRenderedPageBreak/>
        <w:t>Performance Measurement Techniques for Remote Workers</w:t>
      </w:r>
    </w:p>
    <w:p w14:paraId="68BBCA68" w14:textId="1A7B23A4" w:rsidR="00A71853" w:rsidRPr="005001BE" w:rsidRDefault="000F643E" w:rsidP="005001BE">
      <w:pPr>
        <w:jc w:val="both"/>
        <w:rPr>
          <w:rFonts w:eastAsia="Times New Roman" w:cs="Times New Roman"/>
          <w:kern w:val="0"/>
          <w:lang w:eastAsia="en-GB"/>
          <w14:ligatures w14:val="none"/>
        </w:rPr>
      </w:pPr>
      <w:r w:rsidRPr="005001BE">
        <w:rPr>
          <w:rFonts w:eastAsia="Times New Roman" w:cs="Times New Roman"/>
          <w:kern w:val="0"/>
          <w:lang w:eastAsia="en-GB"/>
          <w14:ligatures w14:val="none"/>
        </w:rPr>
        <w:t>Performance evaluation is an essential element of efficient remote job supervision. It enables the assessment of an employee's performance, pinpointing areas that need development, and ensuring that their work aligns with the aims of the organisation. Nevertheless, conventional methods tailored for physical workplaces may not seamlessly apply to the remote setting. In this section, we will examine some efficient methods that are particularly tailored for evaluating remote employees:</w:t>
      </w:r>
    </w:p>
    <w:p w14:paraId="458F344C" w14:textId="2EF4627F" w:rsidR="001945D5" w:rsidRPr="005001BE" w:rsidRDefault="001945D5" w:rsidP="005001BE">
      <w:pPr>
        <w:jc w:val="both"/>
        <w:rPr>
          <w:rFonts w:eastAsia="Times New Roman" w:cs="Times New Roman"/>
          <w:kern w:val="0"/>
          <w:u w:val="single"/>
          <w:lang w:eastAsia="en-GB"/>
          <w14:ligatures w14:val="none"/>
        </w:rPr>
      </w:pPr>
      <w:r w:rsidRPr="005001BE">
        <w:rPr>
          <w:rFonts w:eastAsia="Times New Roman" w:cs="Times New Roman"/>
          <w:kern w:val="0"/>
          <w:u w:val="single"/>
          <w:lang w:eastAsia="en-GB"/>
          <w14:ligatures w14:val="none"/>
        </w:rPr>
        <w:t>1. OKRs (Objective Key Results):</w:t>
      </w:r>
    </w:p>
    <w:p w14:paraId="2C920430" w14:textId="0800BDED" w:rsidR="001945D5" w:rsidRPr="005001BE" w:rsidRDefault="001945D5" w:rsidP="005001BE">
      <w:pPr>
        <w:jc w:val="both"/>
        <w:rPr>
          <w:rFonts w:eastAsia="Times New Roman" w:cs="Times New Roman"/>
          <w:kern w:val="0"/>
          <w:lang w:eastAsia="en-GB"/>
          <w14:ligatures w14:val="none"/>
        </w:rPr>
      </w:pPr>
      <w:r w:rsidRPr="005001BE">
        <w:rPr>
          <w:rFonts w:eastAsia="Times New Roman" w:cs="Times New Roman"/>
          <w:kern w:val="0"/>
          <w:lang w:eastAsia="en-GB"/>
          <w14:ligatures w14:val="none"/>
        </w:rPr>
        <w:t>This goal-setting framework emphasises the need of establishing precise and quantifiable goals and critical results</w:t>
      </w:r>
      <w:r w:rsidR="008830F7" w:rsidRPr="005001BE">
        <w:rPr>
          <w:rFonts w:eastAsia="Times New Roman" w:cs="Times New Roman"/>
          <w:kern w:val="0"/>
          <w:lang w:eastAsia="en-GB"/>
          <w14:ligatures w14:val="none"/>
        </w:rPr>
        <w:t xml:space="preserve">. </w:t>
      </w:r>
      <w:r w:rsidRPr="005001BE">
        <w:rPr>
          <w:rFonts w:eastAsia="Times New Roman" w:cs="Times New Roman"/>
          <w:kern w:val="0"/>
          <w:lang w:eastAsia="en-GB"/>
          <w14:ligatures w14:val="none"/>
        </w:rPr>
        <w:t>Objectives are qualitative declarations that specify what must be accomplished, whereas key results are measurable indicators that monitor advancement towards those objectives. An example of a target for a remote marketing manager may be to "achieve a 20% increase in brand awareness during the third quarter." The key outcomes might encompass "Increase social media followers by 15%" and "Generate 100 high calibre leads."</w:t>
      </w:r>
    </w:p>
    <w:p w14:paraId="3C8EB3C1" w14:textId="33B662D1" w:rsidR="00C20830" w:rsidRPr="005001BE" w:rsidRDefault="001945D5" w:rsidP="005001BE">
      <w:pPr>
        <w:jc w:val="both"/>
        <w:rPr>
          <w:rFonts w:eastAsia="Times New Roman" w:cs="Times New Roman"/>
          <w:kern w:val="0"/>
          <w:lang w:eastAsia="en-GB"/>
          <w14:ligatures w14:val="none"/>
        </w:rPr>
      </w:pPr>
      <w:r w:rsidRPr="005001BE">
        <w:rPr>
          <w:rFonts w:eastAsia="Times New Roman" w:cs="Times New Roman"/>
          <w:kern w:val="0"/>
          <w:lang w:eastAsia="en-GB"/>
          <w14:ligatures w14:val="none"/>
        </w:rPr>
        <w:t>OKRs offer several advantages for remote workers, such as increased transparency, improved alignment, and the capability to remotely monitor progress (Niven, 2023).  Through the establishment of explicit goals and quantifiable outcomes, managers and remote employees may comprehend the criteria for achieving success and monitor their progress autonomously. This promotes a culture where individuals take responsibility and are held accountable, even when they are in different geographical locations</w:t>
      </w:r>
      <w:r w:rsidR="00C20830" w:rsidRPr="005001BE">
        <w:rPr>
          <w:rFonts w:eastAsia="Times New Roman" w:cs="Times New Roman"/>
          <w:kern w:val="0"/>
          <w:lang w:eastAsia="en-GB"/>
          <w14:ligatures w14:val="none"/>
        </w:rPr>
        <w:t>.</w:t>
      </w:r>
    </w:p>
    <w:p w14:paraId="2DA93AE6" w14:textId="52D5FBCD" w:rsidR="00B7616B" w:rsidRPr="005001BE" w:rsidRDefault="00B7616B" w:rsidP="005001BE">
      <w:pPr>
        <w:jc w:val="both"/>
        <w:rPr>
          <w:u w:val="single"/>
        </w:rPr>
      </w:pPr>
      <w:r w:rsidRPr="005001BE">
        <w:rPr>
          <w:rFonts w:eastAsia="Times New Roman" w:cs="Times New Roman"/>
          <w:kern w:val="0"/>
          <w:u w:val="single"/>
          <w:lang w:eastAsia="en-GB"/>
          <w14:ligatures w14:val="none"/>
        </w:rPr>
        <w:t xml:space="preserve">2. </w:t>
      </w:r>
      <w:r w:rsidR="008830F7" w:rsidRPr="005001BE">
        <w:rPr>
          <w:u w:val="single"/>
        </w:rPr>
        <w:t>Self-assessment and Peer Evaluation:</w:t>
      </w:r>
    </w:p>
    <w:p w14:paraId="1E104B2E" w14:textId="61F6EC7A" w:rsidR="008830F7" w:rsidRPr="005001BE" w:rsidRDefault="008830F7" w:rsidP="005001BE">
      <w:pPr>
        <w:jc w:val="both"/>
        <w:rPr>
          <w:rFonts w:eastAsia="Times New Roman" w:cs="Times New Roman"/>
          <w:kern w:val="0"/>
          <w:lang w:eastAsia="en-GB"/>
          <w14:ligatures w14:val="none"/>
        </w:rPr>
      </w:pPr>
      <w:r w:rsidRPr="005001BE">
        <w:rPr>
          <w:rFonts w:eastAsia="Times New Roman" w:cs="Times New Roman"/>
          <w:kern w:val="0"/>
          <w:lang w:eastAsia="en-GB"/>
          <w14:ligatures w14:val="none"/>
        </w:rPr>
        <w:t>These strategies promote reflection and cultivate a collaborative atmosphere among remote employees (Cardy &amp; Devinney, 2010). Self-assessment is the process in which personnel evaluate their own performance in relation to predetermined objectives and identify areas that need improvement. Peer assessment enables coworkers to offer comments on one another's professional contributions and cooperation abilities. Online forms and platforms can be used for anonymous self-assessment and peer evaluation in a remote work environment. (Kluger &amp; DeNisi, 1996).</w:t>
      </w:r>
    </w:p>
    <w:p w14:paraId="7220E485" w14:textId="77777777" w:rsidR="008830F7" w:rsidRPr="005001BE" w:rsidRDefault="008830F7" w:rsidP="005001BE">
      <w:pPr>
        <w:jc w:val="both"/>
        <w:rPr>
          <w:rFonts w:eastAsia="Times New Roman" w:cs="Times New Roman"/>
          <w:i/>
          <w:iCs/>
          <w:kern w:val="0"/>
          <w:lang w:eastAsia="en-GB"/>
          <w14:ligatures w14:val="none"/>
        </w:rPr>
      </w:pPr>
      <w:r w:rsidRPr="005001BE">
        <w:rPr>
          <w:rFonts w:eastAsia="Times New Roman" w:cs="Times New Roman"/>
          <w:i/>
          <w:iCs/>
          <w:kern w:val="0"/>
          <w:lang w:eastAsia="en-GB"/>
          <w14:ligatures w14:val="none"/>
        </w:rPr>
        <w:t>The benefits of self-assessment and peer evaluation encompass:</w:t>
      </w:r>
    </w:p>
    <w:p w14:paraId="0F1C53FC" w14:textId="77777777" w:rsidR="008830F7" w:rsidRPr="005001BE" w:rsidRDefault="008830F7" w:rsidP="005001BE">
      <w:pPr>
        <w:jc w:val="both"/>
        <w:rPr>
          <w:rFonts w:eastAsia="Times New Roman" w:cs="Times New Roman"/>
          <w:kern w:val="0"/>
          <w:lang w:eastAsia="en-GB"/>
          <w14:ligatures w14:val="none"/>
        </w:rPr>
      </w:pPr>
      <w:r w:rsidRPr="005001BE">
        <w:rPr>
          <w:rFonts w:eastAsia="Times New Roman" w:cs="Times New Roman"/>
          <w:kern w:val="0"/>
          <w:lang w:eastAsia="en-GB"/>
          <w14:ligatures w14:val="none"/>
        </w:rPr>
        <w:t>Enhanced ownership: Through active engagement in the performance review process, remote workers have a heightened feeling of ownership over their performance and career advancement.</w:t>
      </w:r>
    </w:p>
    <w:p w14:paraId="1D90EC71" w14:textId="152A3412" w:rsidR="008830F7" w:rsidRPr="005001BE" w:rsidRDefault="008830F7" w:rsidP="005001BE">
      <w:pPr>
        <w:jc w:val="both"/>
        <w:rPr>
          <w:rFonts w:eastAsia="Times New Roman" w:cs="Times New Roman"/>
          <w:kern w:val="0"/>
          <w:lang w:eastAsia="en-GB"/>
          <w14:ligatures w14:val="none"/>
        </w:rPr>
      </w:pPr>
      <w:r w:rsidRPr="005001BE">
        <w:rPr>
          <w:rFonts w:eastAsia="Times New Roman" w:cs="Times New Roman"/>
          <w:kern w:val="0"/>
          <w:lang w:eastAsia="en-GB"/>
          <w14:ligatures w14:val="none"/>
        </w:rPr>
        <w:t>Improved communication and cooperation: The practice of self-assessment and peer evaluation may promote transparent communication and collaboration among team members.</w:t>
      </w:r>
    </w:p>
    <w:p w14:paraId="0B2F1A96" w14:textId="4CCE9BED" w:rsidR="00B7616B" w:rsidRPr="005001BE" w:rsidRDefault="008830F7" w:rsidP="005001BE">
      <w:pPr>
        <w:rPr>
          <w:rFonts w:eastAsia="Times New Roman" w:cs="Times New Roman"/>
          <w:kern w:val="0"/>
          <w:lang w:eastAsia="en-GB"/>
          <w14:ligatures w14:val="none"/>
        </w:rPr>
      </w:pPr>
      <w:r w:rsidRPr="005001BE">
        <w:rPr>
          <w:rFonts w:eastAsia="Times New Roman" w:cs="Times New Roman"/>
          <w:kern w:val="0"/>
          <w:lang w:eastAsia="en-GB"/>
          <w14:ligatures w14:val="none"/>
        </w:rPr>
        <w:lastRenderedPageBreak/>
        <w:t>Nevertheless, the use of these strategies necessitates the establishment of clear guidelines that guarantee the delivery of constructive feedback and prevent the influence of prejudice.</w:t>
      </w:r>
    </w:p>
    <w:p w14:paraId="705C165B" w14:textId="024542B5" w:rsidR="00057D27" w:rsidRPr="005001BE" w:rsidRDefault="00B7616B" w:rsidP="005001BE">
      <w:pPr>
        <w:spacing w:after="0" w:line="240" w:lineRule="auto"/>
        <w:rPr>
          <w:rFonts w:eastAsia="Times New Roman" w:cs="Times New Roman"/>
          <w:kern w:val="0"/>
          <w:u w:val="single"/>
          <w:lang w:eastAsia="en-GB"/>
          <w14:ligatures w14:val="none"/>
        </w:rPr>
      </w:pPr>
      <w:r w:rsidRPr="005001BE">
        <w:rPr>
          <w:rFonts w:eastAsia="Times New Roman" w:cs="Times New Roman"/>
          <w:kern w:val="0"/>
          <w:u w:val="single"/>
          <w:lang w:eastAsia="en-GB"/>
          <w14:ligatures w14:val="none"/>
        </w:rPr>
        <w:t>3</w:t>
      </w:r>
      <w:r w:rsidR="001945D5" w:rsidRPr="005001BE">
        <w:rPr>
          <w:rFonts w:eastAsia="Times New Roman" w:cs="Times New Roman"/>
          <w:kern w:val="0"/>
          <w:u w:val="single"/>
          <w:lang w:eastAsia="en-GB"/>
          <w14:ligatures w14:val="none"/>
        </w:rPr>
        <w:t xml:space="preserve">. </w:t>
      </w:r>
      <w:r w:rsidR="001B0B0A">
        <w:rPr>
          <w:rFonts w:eastAsia="Times New Roman" w:cs="Times New Roman"/>
          <w:kern w:val="0"/>
          <w:u w:val="single"/>
          <w:lang w:eastAsia="en-GB"/>
          <w14:ligatures w14:val="none"/>
        </w:rPr>
        <w:t xml:space="preserve">Key </w:t>
      </w:r>
      <w:r w:rsidR="001945D5" w:rsidRPr="005001BE">
        <w:rPr>
          <w:rFonts w:eastAsia="Times New Roman" w:cs="Times New Roman"/>
          <w:kern w:val="0"/>
          <w:u w:val="single"/>
          <w:lang w:eastAsia="en-GB"/>
          <w14:ligatures w14:val="none"/>
        </w:rPr>
        <w:t>Performance Indicators (KPIs):</w:t>
      </w:r>
      <w:r w:rsidR="001945D5" w:rsidRPr="005001BE">
        <w:rPr>
          <w:rFonts w:eastAsia="Times New Roman" w:cs="Times New Roman"/>
          <w:kern w:val="0"/>
          <w:lang w:eastAsia="en-GB"/>
          <w14:ligatures w14:val="none"/>
        </w:rPr>
        <w:br/>
      </w:r>
      <w:r w:rsidR="001945D5" w:rsidRPr="005001BE">
        <w:rPr>
          <w:rFonts w:eastAsia="Times New Roman" w:cs="Times New Roman"/>
          <w:kern w:val="0"/>
          <w:lang w:eastAsia="en-GB"/>
          <w14:ligatures w14:val="none"/>
        </w:rPr>
        <w:br/>
        <w:t>Key performance indicators (KPIs) are quantifiable measurements used to evaluate certain parts of a job function (Niven, P., 2011). Unlike Objectives and Key Results (OKRs), Key Performance Indicators (KPIs) are often predetermined by the organisation and may not be directly impacted by an individual employee. Nevertheless, they offer significant perspectives on the functioning of individuals and teams within the larger organisational framework.</w:t>
      </w:r>
    </w:p>
    <w:p w14:paraId="7D33BB47" w14:textId="0C10821C" w:rsidR="00C20830" w:rsidRPr="005001BE" w:rsidRDefault="001945D5" w:rsidP="005001BE">
      <w:pPr>
        <w:spacing w:after="0" w:line="240" w:lineRule="auto"/>
        <w:rPr>
          <w:rFonts w:eastAsia="Times New Roman" w:cs="Times New Roman"/>
          <w:kern w:val="0"/>
          <w:lang w:eastAsia="en-GB"/>
          <w14:ligatures w14:val="none"/>
        </w:rPr>
      </w:pPr>
      <w:r w:rsidRPr="005001BE">
        <w:rPr>
          <w:rFonts w:eastAsia="Times New Roman" w:cs="Times New Roman"/>
          <w:kern w:val="0"/>
          <w:lang w:eastAsia="en-GB"/>
          <w14:ligatures w14:val="none"/>
        </w:rPr>
        <w:br/>
        <w:t>Relevant key performance indicators (KPIs) for remote workers include:</w:t>
      </w:r>
      <w:r w:rsidRPr="005001BE">
        <w:rPr>
          <w:rFonts w:eastAsia="Times New Roman" w:cs="Times New Roman"/>
          <w:kern w:val="0"/>
          <w:lang w:eastAsia="en-GB"/>
          <w14:ligatures w14:val="none"/>
        </w:rPr>
        <w:br/>
      </w:r>
      <w:r w:rsidRPr="005001BE">
        <w:rPr>
          <w:rFonts w:eastAsia="Times New Roman" w:cs="Times New Roman"/>
          <w:kern w:val="0"/>
          <w:lang w:eastAsia="en-GB"/>
          <w14:ligatures w14:val="none"/>
        </w:rPr>
        <w:br/>
      </w:r>
      <w:r w:rsidR="00C20830" w:rsidRPr="005001BE">
        <w:rPr>
          <w:rFonts w:eastAsia="Times New Roman" w:cs="Times New Roman"/>
          <w:kern w:val="0"/>
          <w:lang w:eastAsia="en-GB"/>
          <w14:ligatures w14:val="none"/>
        </w:rPr>
        <w:t xml:space="preserve">- </w:t>
      </w:r>
      <w:r w:rsidRPr="005001BE">
        <w:rPr>
          <w:rFonts w:eastAsia="Times New Roman" w:cs="Times New Roman"/>
          <w:kern w:val="0"/>
          <w:lang w:eastAsia="en-GB"/>
          <w14:ligatures w14:val="none"/>
        </w:rPr>
        <w:t>Tracking the sales numbers of individual remote sales reps enables managers to evaluate performance and pinpoint areas that require development</w:t>
      </w:r>
      <w:r w:rsidRPr="005001BE">
        <w:rPr>
          <w:rFonts w:eastAsia="Times New Roman" w:cs="Times New Roman"/>
          <w:kern w:val="0"/>
          <w:lang w:eastAsia="en-GB"/>
          <w14:ligatures w14:val="none"/>
        </w:rPr>
        <w:br/>
      </w:r>
      <w:r w:rsidR="00C20830" w:rsidRPr="005001BE">
        <w:rPr>
          <w:rFonts w:eastAsia="Times New Roman" w:cs="Times New Roman"/>
          <w:kern w:val="0"/>
          <w:lang w:eastAsia="en-GB"/>
          <w14:ligatures w14:val="none"/>
        </w:rPr>
        <w:t xml:space="preserve">- </w:t>
      </w:r>
      <w:r w:rsidRPr="005001BE">
        <w:rPr>
          <w:rFonts w:eastAsia="Times New Roman" w:cs="Times New Roman"/>
          <w:kern w:val="0"/>
          <w:lang w:eastAsia="en-GB"/>
          <w14:ligatures w14:val="none"/>
        </w:rPr>
        <w:t>Customer satisfaction ratings: Assessing client satisfaction through surveys or reviews can offer valuable information into the efficiency of remote customer support workers.</w:t>
      </w:r>
      <w:r w:rsidRPr="005001BE">
        <w:rPr>
          <w:rFonts w:eastAsia="Times New Roman" w:cs="Times New Roman"/>
          <w:kern w:val="0"/>
          <w:lang w:eastAsia="en-GB"/>
          <w14:ligatures w14:val="none"/>
        </w:rPr>
        <w:br/>
      </w:r>
      <w:r w:rsidR="00C20830" w:rsidRPr="005001BE">
        <w:rPr>
          <w:rFonts w:eastAsia="Times New Roman" w:cs="Times New Roman"/>
          <w:kern w:val="0"/>
          <w:lang w:eastAsia="en-GB"/>
          <w14:ligatures w14:val="none"/>
        </w:rPr>
        <w:t xml:space="preserve">- </w:t>
      </w:r>
      <w:r w:rsidRPr="005001BE">
        <w:rPr>
          <w:rFonts w:eastAsia="Times New Roman" w:cs="Times New Roman"/>
          <w:kern w:val="0"/>
          <w:lang w:eastAsia="en-GB"/>
          <w14:ligatures w14:val="none"/>
        </w:rPr>
        <w:t>Statistics on the rate of project completion: Monitoring the proportion of projects that are finished according to schedule and within the allocated budget can serve as a significant key performance indicator (KPI) for project managers working remotely.</w:t>
      </w:r>
    </w:p>
    <w:p w14:paraId="43F925AA" w14:textId="28F2E5B1" w:rsidR="001945D5" w:rsidRPr="005001BE" w:rsidRDefault="001945D5" w:rsidP="005001BE">
      <w:pPr>
        <w:spacing w:after="0" w:line="240" w:lineRule="auto"/>
        <w:rPr>
          <w:rFonts w:eastAsia="Times New Roman" w:cs="Times New Roman"/>
          <w:kern w:val="0"/>
          <w:lang w:eastAsia="en-GB"/>
          <w14:ligatures w14:val="none"/>
        </w:rPr>
      </w:pPr>
      <w:r w:rsidRPr="001945D5">
        <w:rPr>
          <w:rFonts w:eastAsia="Times New Roman" w:cs="Times New Roman"/>
          <w:kern w:val="0"/>
          <w:lang w:eastAsia="en-GB"/>
          <w14:ligatures w14:val="none"/>
        </w:rPr>
        <w:br/>
        <w:t xml:space="preserve">KPIs provide a distinct edge by providing unbiased, data-based insights into performance. Managers may employ these indicators to discern patterns, monitor advancement towards overarching objectives, and intervene as necessary to assist remote </w:t>
      </w:r>
      <w:r w:rsidR="00C20830" w:rsidRPr="005001BE">
        <w:rPr>
          <w:rFonts w:eastAsia="Times New Roman" w:cs="Times New Roman"/>
          <w:kern w:val="0"/>
          <w:lang w:eastAsia="en-GB"/>
          <w14:ligatures w14:val="none"/>
        </w:rPr>
        <w:t xml:space="preserve">staff </w:t>
      </w:r>
      <w:r w:rsidR="00C20830" w:rsidRPr="005001BE">
        <w:t>(</w:t>
      </w:r>
      <w:r w:rsidR="00C20830" w:rsidRPr="005001BE">
        <w:rPr>
          <w:rFonts w:eastAsia="Times New Roman" w:cs="Times New Roman"/>
          <w:kern w:val="0"/>
          <w:lang w:eastAsia="en-GB"/>
          <w14:ligatures w14:val="none"/>
        </w:rPr>
        <w:t>Ishaq Bhatti, Awan and Razaq, 2014).</w:t>
      </w:r>
    </w:p>
    <w:p w14:paraId="256403E2" w14:textId="77777777" w:rsidR="00C20830" w:rsidRPr="005001BE" w:rsidRDefault="00C20830" w:rsidP="005001BE">
      <w:pPr>
        <w:spacing w:after="0" w:line="240" w:lineRule="auto"/>
        <w:rPr>
          <w:rFonts w:eastAsia="Times New Roman" w:cs="Times New Roman"/>
          <w:kern w:val="0"/>
          <w:lang w:eastAsia="en-GB"/>
          <w14:ligatures w14:val="none"/>
        </w:rPr>
      </w:pPr>
    </w:p>
    <w:p w14:paraId="53DDE11A" w14:textId="0BF23EED" w:rsidR="00C20830" w:rsidRPr="005001BE" w:rsidRDefault="00B7616B" w:rsidP="005001BE">
      <w:pPr>
        <w:spacing w:after="0" w:line="240" w:lineRule="auto"/>
        <w:rPr>
          <w:rFonts w:eastAsia="Times New Roman" w:cs="Times New Roman"/>
          <w:kern w:val="0"/>
          <w:u w:val="single"/>
          <w:lang w:eastAsia="en-GB"/>
          <w14:ligatures w14:val="none"/>
        </w:rPr>
      </w:pPr>
      <w:r w:rsidRPr="005001BE">
        <w:rPr>
          <w:rFonts w:eastAsia="Times New Roman" w:cs="Times New Roman"/>
          <w:kern w:val="0"/>
          <w:u w:val="single"/>
          <w:lang w:eastAsia="en-GB"/>
          <w14:ligatures w14:val="none"/>
        </w:rPr>
        <w:t>4</w:t>
      </w:r>
      <w:r w:rsidR="00EC0EB2" w:rsidRPr="005001BE">
        <w:rPr>
          <w:rFonts w:eastAsia="Times New Roman" w:cs="Times New Roman"/>
          <w:kern w:val="0"/>
          <w:u w:val="single"/>
          <w:lang w:eastAsia="en-GB"/>
          <w14:ligatures w14:val="none"/>
        </w:rPr>
        <w:t xml:space="preserve">. </w:t>
      </w:r>
      <w:r w:rsidR="00F05810" w:rsidRPr="005001BE">
        <w:rPr>
          <w:rFonts w:eastAsia="Times New Roman" w:cs="Times New Roman"/>
          <w:kern w:val="0"/>
          <w:u w:val="single"/>
          <w:lang w:eastAsia="en-GB"/>
          <w14:ligatures w14:val="none"/>
        </w:rPr>
        <w:t>Skill based assessments:</w:t>
      </w:r>
    </w:p>
    <w:p w14:paraId="030F8378" w14:textId="77777777" w:rsidR="00F05810" w:rsidRPr="005001BE" w:rsidRDefault="00F05810" w:rsidP="005001BE">
      <w:pPr>
        <w:spacing w:after="0" w:line="240" w:lineRule="auto"/>
        <w:rPr>
          <w:rFonts w:eastAsia="Times New Roman" w:cs="Times New Roman"/>
          <w:kern w:val="0"/>
          <w:u w:val="single"/>
          <w:lang w:eastAsia="en-GB"/>
          <w14:ligatures w14:val="none"/>
        </w:rPr>
      </w:pPr>
    </w:p>
    <w:p w14:paraId="562B3041" w14:textId="7C8FEA49" w:rsidR="00F05810" w:rsidRPr="005001BE" w:rsidRDefault="00F05810"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This technique centres on assessing the precise skills and information that a remote worker needs to do their job effectively.  Skills evaluations can be undertaken using many methods: Online competence exams are standardised assessments that can evaluate expertise in certain software, programming languages, or other job-related abilities (</w:t>
      </w:r>
      <w:proofErr w:type="spellStart"/>
      <w:r w:rsidRPr="005001BE">
        <w:rPr>
          <w:rFonts w:eastAsia="Times New Roman" w:cs="Times New Roman"/>
          <w:kern w:val="0"/>
          <w:lang w:eastAsia="en-GB"/>
          <w14:ligatures w14:val="none"/>
        </w:rPr>
        <w:t>Muchinsky</w:t>
      </w:r>
      <w:proofErr w:type="spellEnd"/>
      <w:r w:rsidRPr="005001BE">
        <w:rPr>
          <w:rFonts w:eastAsia="Times New Roman" w:cs="Times New Roman"/>
          <w:kern w:val="0"/>
          <w:lang w:eastAsia="en-GB"/>
          <w14:ligatures w14:val="none"/>
        </w:rPr>
        <w:t>, 2000). Simulating tasks and assigning them to remote workers can offer valuable insights on their problem-solving talents and their ability to apply certain skills (Burke &amp; Jackson, 2008). Peer evaluation of technical ability: In the case of technical positions, coworkers have the capability to evaluate a remote employee's coding competency, technical writing abilities, and capacity to resolve technical problems.</w:t>
      </w:r>
    </w:p>
    <w:p w14:paraId="51E6FE76" w14:textId="77777777" w:rsidR="00F05810" w:rsidRPr="005001BE" w:rsidRDefault="00F05810" w:rsidP="005001BE">
      <w:pPr>
        <w:spacing w:after="0" w:line="240" w:lineRule="auto"/>
        <w:jc w:val="both"/>
        <w:rPr>
          <w:rFonts w:eastAsia="Times New Roman" w:cs="Times New Roman"/>
          <w:kern w:val="0"/>
          <w:lang w:eastAsia="en-GB"/>
          <w14:ligatures w14:val="none"/>
        </w:rPr>
      </w:pPr>
    </w:p>
    <w:p w14:paraId="25BCCE55" w14:textId="77777777" w:rsidR="00F05810" w:rsidRPr="005001BE" w:rsidRDefault="00F05810"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Advantages of Skill-Based Assessments:</w:t>
      </w:r>
    </w:p>
    <w:p w14:paraId="57446812" w14:textId="77777777" w:rsidR="00F05810" w:rsidRPr="005001BE" w:rsidRDefault="00F05810" w:rsidP="005001BE">
      <w:pPr>
        <w:spacing w:after="0" w:line="240" w:lineRule="auto"/>
        <w:jc w:val="both"/>
        <w:rPr>
          <w:rFonts w:eastAsia="Times New Roman" w:cs="Times New Roman"/>
          <w:kern w:val="0"/>
          <w:lang w:eastAsia="en-GB"/>
          <w14:ligatures w14:val="none"/>
        </w:rPr>
      </w:pPr>
    </w:p>
    <w:p w14:paraId="76596888" w14:textId="77777777" w:rsidR="00F05810" w:rsidRPr="005001BE" w:rsidRDefault="00F05810"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Identifying skill gaps: Consistently conducting skill evaluations can uncover specific areas where employees require more training or development to uphold or improve their skillsets.</w:t>
      </w:r>
    </w:p>
    <w:p w14:paraId="5F0C1C1F" w14:textId="77777777" w:rsidR="00F05810" w:rsidRPr="005001BE" w:rsidRDefault="00F05810" w:rsidP="005001BE">
      <w:pPr>
        <w:spacing w:after="0" w:line="240" w:lineRule="auto"/>
        <w:jc w:val="both"/>
        <w:rPr>
          <w:rFonts w:eastAsia="Times New Roman" w:cs="Times New Roman"/>
          <w:kern w:val="0"/>
          <w:lang w:eastAsia="en-GB"/>
          <w14:ligatures w14:val="none"/>
        </w:rPr>
      </w:pPr>
    </w:p>
    <w:p w14:paraId="6E9FAEB2" w14:textId="77777777" w:rsidR="00F05810" w:rsidRPr="005001BE" w:rsidRDefault="00F05810"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lastRenderedPageBreak/>
        <w:t>Facilitating professional development conversations: Information obtained from skill evaluations may be utilised to generate individualised development strategies and prospects for career progression for employees working remotely.</w:t>
      </w:r>
    </w:p>
    <w:p w14:paraId="7EFDCFE8" w14:textId="22D3F99D" w:rsidR="00F05810" w:rsidRPr="005001BE" w:rsidRDefault="00F05810"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Factors should be considered while conducting skill-based assessments:</w:t>
      </w:r>
    </w:p>
    <w:p w14:paraId="6A1DF130" w14:textId="77777777" w:rsidR="00F05810" w:rsidRPr="005001BE" w:rsidRDefault="00F05810" w:rsidP="005001BE">
      <w:pPr>
        <w:spacing w:after="0" w:line="240" w:lineRule="auto"/>
        <w:jc w:val="both"/>
        <w:rPr>
          <w:rFonts w:eastAsia="Times New Roman" w:cs="Times New Roman"/>
          <w:kern w:val="0"/>
          <w:lang w:eastAsia="en-GB"/>
          <w14:ligatures w14:val="none"/>
        </w:rPr>
      </w:pPr>
    </w:p>
    <w:p w14:paraId="1B5EAEDA" w14:textId="19BAACA9" w:rsidR="00F05810" w:rsidRPr="005001BE" w:rsidRDefault="00F05810"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Emphasise progress and advancement: The objective of evaluations should be to pinpoint areas that need enhancement, rather than only penalising failures.</w:t>
      </w:r>
    </w:p>
    <w:p w14:paraId="2DD903AC" w14:textId="77777777" w:rsidR="003B43C0" w:rsidRPr="005001BE" w:rsidRDefault="003B43C0" w:rsidP="005001BE">
      <w:pPr>
        <w:spacing w:after="0" w:line="240" w:lineRule="auto"/>
        <w:rPr>
          <w:rFonts w:eastAsia="Times New Roman" w:cs="Times New Roman"/>
          <w:kern w:val="0"/>
          <w:lang w:eastAsia="en-GB"/>
          <w14:ligatures w14:val="none"/>
        </w:rPr>
      </w:pPr>
    </w:p>
    <w:p w14:paraId="51DDC920" w14:textId="39BC94E7" w:rsidR="005001BE" w:rsidRPr="005001BE" w:rsidRDefault="005001BE" w:rsidP="005001BE">
      <w:pPr>
        <w:jc w:val="center"/>
        <w:rPr>
          <w:b/>
          <w:bCs/>
          <w:u w:val="single"/>
        </w:rPr>
      </w:pPr>
      <w:r w:rsidRPr="005001BE">
        <w:rPr>
          <w:b/>
          <w:bCs/>
          <w:u w:val="single"/>
        </w:rPr>
        <w:t>Performance Appraisal tools for Remote Workers</w:t>
      </w:r>
    </w:p>
    <w:p w14:paraId="47E8F38F" w14:textId="77777777" w:rsidR="005001BE" w:rsidRPr="005001BE" w:rsidRDefault="005001BE"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Performance assessment is crucial in overseeing remote workers, providing valuable information about their performance, pinpointing areas that need development, and matching individual ambitions with organisational objectives. Specialised assessment tools are crucial in distant work situations for efficient performance evaluation. This section will provide four unique performance assessment techniques for remote workers, providing a clear explanation of their characteristics, capabilities, ease of use, difficulties, and efficacy.</w:t>
      </w:r>
    </w:p>
    <w:p w14:paraId="4ED4A112" w14:textId="77777777" w:rsidR="005001BE" w:rsidRPr="005001BE" w:rsidRDefault="005001BE" w:rsidP="005001BE">
      <w:pPr>
        <w:spacing w:after="0" w:line="240" w:lineRule="auto"/>
        <w:jc w:val="both"/>
        <w:rPr>
          <w:rFonts w:eastAsia="Times New Roman" w:cs="Times New Roman"/>
          <w:kern w:val="0"/>
          <w:lang w:eastAsia="en-GB"/>
          <w14:ligatures w14:val="none"/>
        </w:rPr>
      </w:pPr>
    </w:p>
    <w:p w14:paraId="4E340D80" w14:textId="77777777" w:rsidR="005001BE" w:rsidRPr="005001BE" w:rsidRDefault="005001BE"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1. Virtual Performance Reviews and Meetings: Virtual performance reviews done using video conferencing systems like as Zoom or Microsoft Teams enable distant workers and supervisors to participate in live conversations and feedback sessions, eliminating geographical limitations. These platforms enable participatory performance assessments, conversations on aligning goals, and sessions for planned development (Rodrigues &amp; Guest, 2010). Virtual performance meetings enhance openness, cooperation, and responsibility across geographically dispersed teams, hence facilitating ongoing improvement and professional development.</w:t>
      </w:r>
    </w:p>
    <w:p w14:paraId="3DF6B8CC" w14:textId="77777777" w:rsidR="005001BE" w:rsidRPr="005001BE" w:rsidRDefault="005001BE" w:rsidP="005001BE">
      <w:pPr>
        <w:spacing w:after="0" w:line="240" w:lineRule="auto"/>
        <w:jc w:val="both"/>
        <w:rPr>
          <w:rFonts w:eastAsia="Times New Roman" w:cs="Times New Roman"/>
          <w:kern w:val="0"/>
          <w:lang w:eastAsia="en-GB"/>
          <w14:ligatures w14:val="none"/>
        </w:rPr>
      </w:pPr>
    </w:p>
    <w:p w14:paraId="3D1C4705" w14:textId="6473879A" w:rsidR="005001BE" w:rsidRPr="005001BE" w:rsidRDefault="005001BE"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2. Continuous Feedback systems: Continuous feedback systems, such as Microsoft Teams, offer channels for consistent communication and exchange of feedback among team members who are working remotely. These systems facilitate the sharing of updates, immediate feedback, and real-time collaboration among distant workers (Tannenbaum et al., 2013). Features such as discussion threads, task assignments, and alerts enable smooth communication and collaboration, hence improving team productivity and performance.</w:t>
      </w:r>
    </w:p>
    <w:p w14:paraId="00DD6DA7" w14:textId="77777777" w:rsidR="005001BE" w:rsidRPr="005001BE" w:rsidRDefault="005001BE" w:rsidP="005001BE">
      <w:pPr>
        <w:spacing w:after="0" w:line="240" w:lineRule="auto"/>
        <w:jc w:val="both"/>
        <w:rPr>
          <w:rFonts w:eastAsia="Times New Roman" w:cs="Times New Roman"/>
          <w:kern w:val="0"/>
          <w:lang w:eastAsia="en-GB"/>
          <w14:ligatures w14:val="none"/>
        </w:rPr>
      </w:pPr>
    </w:p>
    <w:p w14:paraId="49C4432F" w14:textId="4E4970B7" w:rsidR="005001BE" w:rsidRPr="005001BE" w:rsidRDefault="005001BE"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 xml:space="preserve">3.Employee engagement surveys and sentiment analysis tools enable organisations to assess the contentment, motivation, and general engagement levels of remote workers. Surveys or surveys evaluate numerous aspects of the remote work experience, including job satisfaction, work-life balance, and communication efficacy (Tannenbaum et al., 2013). Sentiment analysis tools employ </w:t>
      </w:r>
      <w:r w:rsidR="001B0B0A">
        <w:rPr>
          <w:rFonts w:eastAsia="Times New Roman" w:cs="Times New Roman"/>
          <w:kern w:val="0"/>
          <w:lang w:eastAsia="en-GB"/>
          <w14:ligatures w14:val="none"/>
        </w:rPr>
        <w:t>human</w:t>
      </w:r>
      <w:r w:rsidRPr="005001BE">
        <w:rPr>
          <w:rFonts w:eastAsia="Times New Roman" w:cs="Times New Roman"/>
          <w:kern w:val="0"/>
          <w:lang w:eastAsia="en-GB"/>
          <w14:ligatures w14:val="none"/>
        </w:rPr>
        <w:t xml:space="preserve"> language processing algorithms to examine text-based feedback and detect patterns or trends in the feelings and attitudes of remote workers.</w:t>
      </w:r>
    </w:p>
    <w:p w14:paraId="09523FAA" w14:textId="77777777" w:rsidR="005001BE" w:rsidRPr="005001BE" w:rsidRDefault="005001BE" w:rsidP="005001BE">
      <w:pPr>
        <w:spacing w:after="0" w:line="240" w:lineRule="auto"/>
        <w:jc w:val="both"/>
        <w:rPr>
          <w:rFonts w:eastAsia="Times New Roman" w:cs="Times New Roman"/>
          <w:kern w:val="0"/>
          <w:lang w:eastAsia="en-GB"/>
          <w14:ligatures w14:val="none"/>
        </w:rPr>
      </w:pPr>
    </w:p>
    <w:p w14:paraId="336116AE" w14:textId="22F90917" w:rsidR="005001BE" w:rsidRPr="005001BE" w:rsidRDefault="005001BE"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4.Peer evaluations and 360-degree feedback are methods that collect input from several sources, like as peers, supervisors, and subordinates, to assess the performance of remote workers. Platforms such as Small Improvements</w:t>
      </w:r>
      <w:r w:rsidR="001B0B0A">
        <w:rPr>
          <w:rFonts w:eastAsia="Times New Roman" w:cs="Times New Roman"/>
          <w:kern w:val="0"/>
          <w:lang w:eastAsia="en-GB"/>
          <w14:ligatures w14:val="none"/>
        </w:rPr>
        <w:t xml:space="preserve"> </w:t>
      </w:r>
      <w:r w:rsidRPr="005001BE">
        <w:rPr>
          <w:rFonts w:eastAsia="Times New Roman" w:cs="Times New Roman"/>
          <w:kern w:val="0"/>
          <w:lang w:eastAsia="en-GB"/>
          <w14:ligatures w14:val="none"/>
        </w:rPr>
        <w:t xml:space="preserve">enable the gathering and examination of comments from many viewpoints (Rodrigues &amp; Guest, 2010). Peer </w:t>
      </w:r>
      <w:r w:rsidRPr="005001BE">
        <w:rPr>
          <w:rFonts w:eastAsia="Times New Roman" w:cs="Times New Roman"/>
          <w:kern w:val="0"/>
          <w:lang w:eastAsia="en-GB"/>
          <w14:ligatures w14:val="none"/>
        </w:rPr>
        <w:lastRenderedPageBreak/>
        <w:t>evaluations and 360-degree feedback provide an in-depth understanding of the strengths and areas for growth of remote workers, creating a culture of ongoing learning and enhancement.</w:t>
      </w:r>
    </w:p>
    <w:p w14:paraId="2EAFD459" w14:textId="77777777" w:rsidR="005001BE" w:rsidRPr="005001BE" w:rsidRDefault="005001BE" w:rsidP="005001BE">
      <w:pPr>
        <w:spacing w:after="0" w:line="240" w:lineRule="auto"/>
        <w:jc w:val="both"/>
        <w:rPr>
          <w:rFonts w:eastAsia="Times New Roman" w:cs="Times New Roman"/>
          <w:kern w:val="0"/>
          <w:lang w:eastAsia="en-GB"/>
          <w14:ligatures w14:val="none"/>
        </w:rPr>
      </w:pPr>
    </w:p>
    <w:p w14:paraId="78D85E35" w14:textId="7249632C" w:rsidR="005001BE" w:rsidRPr="005001BE" w:rsidRDefault="005001BE" w:rsidP="005001BE">
      <w:pPr>
        <w:spacing w:after="0" w:line="240" w:lineRule="auto"/>
        <w:jc w:val="both"/>
        <w:rPr>
          <w:rFonts w:eastAsia="Times New Roman" w:cs="Times New Roman"/>
          <w:i/>
          <w:iCs/>
          <w:kern w:val="0"/>
          <w:lang w:eastAsia="en-GB"/>
          <w14:ligatures w14:val="none"/>
        </w:rPr>
      </w:pPr>
      <w:r w:rsidRPr="005001BE">
        <w:rPr>
          <w:rFonts w:eastAsia="Times New Roman" w:cs="Times New Roman"/>
          <w:i/>
          <w:iCs/>
          <w:kern w:val="0"/>
          <w:lang w:eastAsia="en-GB"/>
          <w14:ligatures w14:val="none"/>
        </w:rPr>
        <w:t>Effectiveness and Challenges:</w:t>
      </w:r>
    </w:p>
    <w:p w14:paraId="1FA30D6B" w14:textId="77777777" w:rsidR="005001BE" w:rsidRPr="005001BE" w:rsidRDefault="005001BE" w:rsidP="005001BE">
      <w:pPr>
        <w:spacing w:after="0" w:line="240" w:lineRule="auto"/>
        <w:jc w:val="both"/>
        <w:rPr>
          <w:rFonts w:eastAsia="Times New Roman" w:cs="Times New Roman"/>
          <w:kern w:val="0"/>
          <w:lang w:eastAsia="en-GB"/>
          <w14:ligatures w14:val="none"/>
        </w:rPr>
      </w:pPr>
    </w:p>
    <w:p w14:paraId="4D468694" w14:textId="77777777" w:rsidR="005001BE" w:rsidRPr="005001BE" w:rsidRDefault="005001BE" w:rsidP="005001BE">
      <w:pPr>
        <w:spacing w:after="0" w:line="240" w:lineRule="auto"/>
        <w:jc w:val="both"/>
        <w:rPr>
          <w:rFonts w:eastAsia="Times New Roman" w:cs="Times New Roman"/>
          <w:kern w:val="0"/>
          <w:lang w:eastAsia="en-GB"/>
          <w14:ligatures w14:val="none"/>
        </w:rPr>
      </w:pPr>
      <w:r w:rsidRPr="005001BE">
        <w:rPr>
          <w:rFonts w:eastAsia="Times New Roman" w:cs="Times New Roman"/>
          <w:kern w:val="0"/>
          <w:lang w:eastAsia="en-GB"/>
          <w14:ligatures w14:val="none"/>
        </w:rPr>
        <w:t xml:space="preserve">Every performance assessment instrument has distinct advantages and difficulties in remote work settings. Virtual performance evaluations and ongoing feedback systems foster openness, cooperation, and responsibility among remote teams, hence improving performance and engagement. Nevertheless, it is crucial to tackle obstacles such as technological malfunctions, privacy issues, and possible prejudices </w:t>
      </w:r>
      <w:proofErr w:type="gramStart"/>
      <w:r w:rsidRPr="005001BE">
        <w:rPr>
          <w:rFonts w:eastAsia="Times New Roman" w:cs="Times New Roman"/>
          <w:kern w:val="0"/>
          <w:lang w:eastAsia="en-GB"/>
          <w14:ligatures w14:val="none"/>
        </w:rPr>
        <w:t>in order to</w:t>
      </w:r>
      <w:proofErr w:type="gramEnd"/>
      <w:r w:rsidRPr="005001BE">
        <w:rPr>
          <w:rFonts w:eastAsia="Times New Roman" w:cs="Times New Roman"/>
          <w:kern w:val="0"/>
          <w:lang w:eastAsia="en-GB"/>
          <w14:ligatures w14:val="none"/>
        </w:rPr>
        <w:t xml:space="preserve"> guarantee the efficiency and impartiality of remote performance evaluation (Tannenbaum et al., 2013).</w:t>
      </w:r>
    </w:p>
    <w:p w14:paraId="272E2051" w14:textId="10C02D45" w:rsidR="003B43C0" w:rsidRDefault="003B43C0" w:rsidP="005001BE">
      <w:pPr>
        <w:spacing w:after="0" w:line="240" w:lineRule="auto"/>
        <w:jc w:val="both"/>
        <w:rPr>
          <w:rFonts w:eastAsia="Times New Roman" w:cs="Times New Roman"/>
          <w:kern w:val="0"/>
          <w:lang w:eastAsia="en-GB"/>
          <w14:ligatures w14:val="none"/>
        </w:rPr>
      </w:pPr>
    </w:p>
    <w:p w14:paraId="104852F5" w14:textId="7C26F566" w:rsidR="00EC7511" w:rsidRDefault="00EC7511" w:rsidP="00EC7511">
      <w:pPr>
        <w:spacing w:after="0" w:line="240" w:lineRule="auto"/>
        <w:jc w:val="center"/>
        <w:rPr>
          <w:rFonts w:eastAsia="Times New Roman" w:cs="Times New Roman"/>
          <w:b/>
          <w:bCs/>
          <w:kern w:val="0"/>
          <w:u w:val="single"/>
          <w:lang w:eastAsia="en-GB"/>
          <w14:ligatures w14:val="none"/>
        </w:rPr>
      </w:pPr>
      <w:r w:rsidRPr="00EC7511">
        <w:rPr>
          <w:rFonts w:eastAsia="Times New Roman" w:cs="Times New Roman"/>
          <w:b/>
          <w:bCs/>
          <w:kern w:val="0"/>
          <w:u w:val="single"/>
          <w:lang w:eastAsia="en-GB"/>
          <w14:ligatures w14:val="none"/>
        </w:rPr>
        <w:t>Conclusion</w:t>
      </w:r>
    </w:p>
    <w:p w14:paraId="28FC782A" w14:textId="77777777" w:rsidR="00F75BE6" w:rsidRDefault="00F75BE6" w:rsidP="00EC7511">
      <w:pPr>
        <w:spacing w:after="0" w:line="240" w:lineRule="auto"/>
        <w:jc w:val="center"/>
        <w:rPr>
          <w:rFonts w:eastAsia="Times New Roman" w:cs="Times New Roman"/>
          <w:b/>
          <w:bCs/>
          <w:kern w:val="0"/>
          <w:u w:val="single"/>
          <w:lang w:eastAsia="en-GB"/>
          <w14:ligatures w14:val="none"/>
        </w:rPr>
      </w:pPr>
    </w:p>
    <w:p w14:paraId="6B57F552" w14:textId="77777777" w:rsidR="00F75BE6" w:rsidRPr="00F75BE6" w:rsidRDefault="00F75BE6" w:rsidP="00F75BE6">
      <w:pPr>
        <w:spacing w:after="0" w:line="240" w:lineRule="auto"/>
        <w:jc w:val="both"/>
        <w:rPr>
          <w:rFonts w:eastAsia="Times New Roman" w:cs="Times New Roman"/>
          <w:kern w:val="0"/>
          <w:lang w:eastAsia="en-GB"/>
          <w14:ligatures w14:val="none"/>
        </w:rPr>
      </w:pPr>
      <w:r w:rsidRPr="00F75BE6">
        <w:rPr>
          <w:rFonts w:eastAsia="Times New Roman" w:cs="Times New Roman"/>
          <w:kern w:val="0"/>
          <w:lang w:eastAsia="en-GB"/>
          <w14:ligatures w14:val="none"/>
        </w:rPr>
        <w:t>Technology is essential for enabling remote performance evaluation through the provision of tools for tracking activities, monitoring communication, and setting clear targets. Excessive dependence on technology might result in the negative consequences of micromanagement and reduced employee engagement. An effective performance evaluation for remote employees necessitates a harmonious strategy that integrates technology-based data gathering with human assessment and feedback methods.</w:t>
      </w:r>
    </w:p>
    <w:p w14:paraId="286B2F32" w14:textId="77777777" w:rsidR="00F75BE6" w:rsidRPr="00F75BE6" w:rsidRDefault="00F75BE6" w:rsidP="00F75BE6">
      <w:pPr>
        <w:spacing w:after="0" w:line="240" w:lineRule="auto"/>
        <w:jc w:val="both"/>
        <w:rPr>
          <w:rFonts w:eastAsia="Times New Roman" w:cs="Times New Roman"/>
          <w:kern w:val="0"/>
          <w:lang w:eastAsia="en-GB"/>
          <w14:ligatures w14:val="none"/>
        </w:rPr>
      </w:pPr>
    </w:p>
    <w:p w14:paraId="32FE53ED" w14:textId="77777777" w:rsidR="00F75BE6" w:rsidRPr="00F75BE6" w:rsidRDefault="00F75BE6" w:rsidP="00F75BE6">
      <w:pPr>
        <w:spacing w:after="0" w:line="240" w:lineRule="auto"/>
        <w:jc w:val="both"/>
        <w:rPr>
          <w:rFonts w:eastAsia="Times New Roman" w:cs="Times New Roman"/>
          <w:kern w:val="0"/>
          <w:lang w:eastAsia="en-GB"/>
          <w14:ligatures w14:val="none"/>
        </w:rPr>
      </w:pPr>
      <w:r w:rsidRPr="00F75BE6">
        <w:rPr>
          <w:rFonts w:eastAsia="Times New Roman" w:cs="Times New Roman"/>
          <w:kern w:val="0"/>
          <w:lang w:eastAsia="en-GB"/>
          <w14:ligatures w14:val="none"/>
        </w:rPr>
        <w:t>This research has examined a range of performance evaluation tools and methods that are especially appropriate for remote teams. Various methods, such as virtual performance evaluations, self-assessment, and peer evaluation, can be employed to comprehensively measure the contributions of remote workers.  When used with careful consideration, these technologies may cultivate a culture of ongoing education, enhance overall team effectiveness, and guarantee that distant employees feel appreciated and included.</w:t>
      </w:r>
    </w:p>
    <w:p w14:paraId="61E67EDE" w14:textId="77777777" w:rsidR="00F75BE6" w:rsidRPr="00F75BE6" w:rsidRDefault="00F75BE6" w:rsidP="00F75BE6">
      <w:pPr>
        <w:spacing w:after="0" w:line="240" w:lineRule="auto"/>
        <w:jc w:val="both"/>
        <w:rPr>
          <w:rFonts w:eastAsia="Times New Roman" w:cs="Times New Roman"/>
          <w:kern w:val="0"/>
          <w:lang w:eastAsia="en-GB"/>
          <w14:ligatures w14:val="none"/>
        </w:rPr>
      </w:pPr>
    </w:p>
    <w:p w14:paraId="61FC4945" w14:textId="629DE755" w:rsidR="00F75BE6" w:rsidRDefault="00F75BE6" w:rsidP="00F75BE6">
      <w:pPr>
        <w:spacing w:after="0" w:line="240" w:lineRule="auto"/>
        <w:jc w:val="both"/>
        <w:rPr>
          <w:rFonts w:eastAsia="Times New Roman" w:cs="Times New Roman"/>
          <w:kern w:val="0"/>
          <w:lang w:eastAsia="en-GB"/>
          <w14:ligatures w14:val="none"/>
        </w:rPr>
      </w:pPr>
      <w:r w:rsidRPr="00F75BE6">
        <w:rPr>
          <w:rFonts w:eastAsia="Times New Roman" w:cs="Times New Roman"/>
          <w:kern w:val="0"/>
          <w:lang w:eastAsia="en-GB"/>
          <w14:ligatures w14:val="none"/>
        </w:rPr>
        <w:t>Continued investigation and refinement of performance evaluation methods are necessary to meet the evolving needs of remote work in the future. With the ongoing advancement of technology, there will be a rise in new tools and approaches that will facilitate efficient administration of remote labour.</w:t>
      </w:r>
    </w:p>
    <w:p w14:paraId="1E33F3DE" w14:textId="77777777" w:rsidR="00F75BE6" w:rsidRDefault="00F75BE6" w:rsidP="00F75BE6">
      <w:pPr>
        <w:spacing w:after="0" w:line="240" w:lineRule="auto"/>
        <w:jc w:val="both"/>
        <w:rPr>
          <w:rFonts w:eastAsia="Times New Roman" w:cs="Times New Roman"/>
          <w:kern w:val="0"/>
          <w:lang w:eastAsia="en-GB"/>
          <w14:ligatures w14:val="none"/>
        </w:rPr>
      </w:pPr>
    </w:p>
    <w:p w14:paraId="2C2A1BC6" w14:textId="77777777" w:rsidR="00F75BE6" w:rsidRDefault="00F75BE6" w:rsidP="00F75BE6">
      <w:pPr>
        <w:spacing w:after="0" w:line="240" w:lineRule="auto"/>
        <w:jc w:val="both"/>
        <w:rPr>
          <w:rFonts w:eastAsia="Times New Roman" w:cs="Times New Roman"/>
          <w:kern w:val="0"/>
          <w:lang w:eastAsia="en-GB"/>
          <w14:ligatures w14:val="none"/>
        </w:rPr>
      </w:pPr>
    </w:p>
    <w:p w14:paraId="2CE96E53" w14:textId="77777777" w:rsidR="00F75BE6" w:rsidRDefault="00F75BE6" w:rsidP="00F75BE6">
      <w:pPr>
        <w:spacing w:after="0" w:line="240" w:lineRule="auto"/>
        <w:jc w:val="both"/>
        <w:rPr>
          <w:rFonts w:eastAsia="Times New Roman" w:cs="Times New Roman"/>
          <w:kern w:val="0"/>
          <w:lang w:eastAsia="en-GB"/>
          <w14:ligatures w14:val="none"/>
        </w:rPr>
      </w:pPr>
    </w:p>
    <w:p w14:paraId="5C600B5B" w14:textId="77777777" w:rsidR="00F75BE6" w:rsidRDefault="00F75BE6" w:rsidP="00F75BE6">
      <w:pPr>
        <w:spacing w:after="0" w:line="240" w:lineRule="auto"/>
        <w:jc w:val="both"/>
        <w:rPr>
          <w:rFonts w:eastAsia="Times New Roman" w:cs="Times New Roman"/>
          <w:kern w:val="0"/>
          <w:lang w:eastAsia="en-GB"/>
          <w14:ligatures w14:val="none"/>
        </w:rPr>
      </w:pPr>
    </w:p>
    <w:p w14:paraId="061FDF58" w14:textId="77777777" w:rsidR="00F75BE6" w:rsidRDefault="00F75BE6" w:rsidP="00F75BE6">
      <w:pPr>
        <w:spacing w:after="0" w:line="240" w:lineRule="auto"/>
        <w:jc w:val="both"/>
        <w:rPr>
          <w:rFonts w:eastAsia="Times New Roman" w:cs="Times New Roman"/>
          <w:kern w:val="0"/>
          <w:lang w:eastAsia="en-GB"/>
          <w14:ligatures w14:val="none"/>
        </w:rPr>
      </w:pPr>
    </w:p>
    <w:p w14:paraId="024AFBD1" w14:textId="77777777" w:rsidR="00F75BE6" w:rsidRDefault="00F75BE6" w:rsidP="00F75BE6">
      <w:pPr>
        <w:spacing w:after="0" w:line="240" w:lineRule="auto"/>
        <w:jc w:val="both"/>
        <w:rPr>
          <w:rFonts w:eastAsia="Times New Roman" w:cs="Times New Roman"/>
          <w:kern w:val="0"/>
          <w:lang w:eastAsia="en-GB"/>
          <w14:ligatures w14:val="none"/>
        </w:rPr>
      </w:pPr>
    </w:p>
    <w:p w14:paraId="6D938148" w14:textId="77777777" w:rsidR="00F75BE6" w:rsidRDefault="00F75BE6" w:rsidP="00F75BE6">
      <w:pPr>
        <w:spacing w:after="0" w:line="240" w:lineRule="auto"/>
        <w:jc w:val="both"/>
        <w:rPr>
          <w:rFonts w:eastAsia="Times New Roman" w:cs="Times New Roman"/>
          <w:kern w:val="0"/>
          <w:lang w:eastAsia="en-GB"/>
          <w14:ligatures w14:val="none"/>
        </w:rPr>
      </w:pPr>
    </w:p>
    <w:p w14:paraId="28D0E5DB" w14:textId="77777777" w:rsidR="00F75BE6" w:rsidRDefault="00F75BE6" w:rsidP="00F75BE6">
      <w:pPr>
        <w:spacing w:after="0" w:line="240" w:lineRule="auto"/>
        <w:jc w:val="both"/>
        <w:rPr>
          <w:rFonts w:eastAsia="Times New Roman" w:cs="Times New Roman"/>
          <w:kern w:val="0"/>
          <w:lang w:eastAsia="en-GB"/>
          <w14:ligatures w14:val="none"/>
        </w:rPr>
      </w:pPr>
    </w:p>
    <w:p w14:paraId="625524C9" w14:textId="77777777" w:rsidR="00F75BE6" w:rsidRDefault="00F75BE6" w:rsidP="00F75BE6">
      <w:pPr>
        <w:spacing w:after="0" w:line="240" w:lineRule="auto"/>
        <w:jc w:val="both"/>
        <w:rPr>
          <w:rFonts w:eastAsia="Times New Roman" w:cs="Times New Roman"/>
          <w:kern w:val="0"/>
          <w:lang w:eastAsia="en-GB"/>
          <w14:ligatures w14:val="none"/>
        </w:rPr>
      </w:pPr>
    </w:p>
    <w:p w14:paraId="4934CC81" w14:textId="77777777" w:rsidR="00F75BE6" w:rsidRDefault="00F75BE6" w:rsidP="00F75BE6">
      <w:pPr>
        <w:spacing w:after="0" w:line="240" w:lineRule="auto"/>
        <w:jc w:val="both"/>
        <w:rPr>
          <w:rFonts w:eastAsia="Times New Roman" w:cs="Times New Roman"/>
          <w:kern w:val="0"/>
          <w:lang w:eastAsia="en-GB"/>
          <w14:ligatures w14:val="none"/>
        </w:rPr>
      </w:pPr>
    </w:p>
    <w:p w14:paraId="6697233B" w14:textId="77777777" w:rsidR="00F75BE6" w:rsidRPr="00F75BE6" w:rsidRDefault="00F75BE6" w:rsidP="00F75BE6">
      <w:pPr>
        <w:spacing w:after="0" w:line="240" w:lineRule="auto"/>
        <w:jc w:val="both"/>
        <w:rPr>
          <w:rFonts w:eastAsia="Times New Roman" w:cs="Times New Roman"/>
          <w:kern w:val="0"/>
          <w:lang w:eastAsia="en-GB"/>
          <w14:ligatures w14:val="none"/>
        </w:rPr>
      </w:pPr>
    </w:p>
    <w:p w14:paraId="674371E6" w14:textId="77777777" w:rsidR="00057D27" w:rsidRPr="00F75BE6" w:rsidRDefault="00057D27" w:rsidP="005001BE">
      <w:pPr>
        <w:spacing w:after="0" w:line="240" w:lineRule="auto"/>
        <w:jc w:val="both"/>
        <w:rPr>
          <w:rFonts w:eastAsia="Times New Roman" w:cs="Times New Roman"/>
          <w:kern w:val="0"/>
          <w:lang w:eastAsia="en-GB"/>
          <w14:ligatures w14:val="none"/>
        </w:rPr>
      </w:pPr>
    </w:p>
    <w:p w14:paraId="31119F14" w14:textId="3F1CE200" w:rsidR="00057D27" w:rsidRPr="00EC7511" w:rsidRDefault="00EC7511" w:rsidP="00EC7511">
      <w:pPr>
        <w:spacing w:after="0" w:line="240" w:lineRule="auto"/>
        <w:jc w:val="center"/>
        <w:rPr>
          <w:rFonts w:eastAsia="Times New Roman" w:cs="Times New Roman"/>
          <w:b/>
          <w:bCs/>
          <w:kern w:val="0"/>
          <w:u w:val="single"/>
          <w:lang w:eastAsia="en-GB"/>
          <w14:ligatures w14:val="none"/>
        </w:rPr>
      </w:pPr>
      <w:r>
        <w:rPr>
          <w:rFonts w:eastAsia="Times New Roman" w:cs="Times New Roman"/>
          <w:b/>
          <w:bCs/>
          <w:kern w:val="0"/>
          <w:u w:val="single"/>
          <w:lang w:eastAsia="en-GB"/>
          <w14:ligatures w14:val="none"/>
        </w:rPr>
        <w:lastRenderedPageBreak/>
        <w:t>References</w:t>
      </w:r>
    </w:p>
    <w:p w14:paraId="7EDD0C98" w14:textId="77777777" w:rsidR="00C20830" w:rsidRPr="005001BE" w:rsidRDefault="00C20830" w:rsidP="005001BE">
      <w:pPr>
        <w:spacing w:after="0" w:line="240" w:lineRule="auto"/>
        <w:jc w:val="both"/>
        <w:rPr>
          <w:rFonts w:eastAsia="Times New Roman" w:cs="Times New Roman"/>
          <w:kern w:val="0"/>
          <w:lang w:eastAsia="en-GB"/>
          <w14:ligatures w14:val="none"/>
        </w:rPr>
      </w:pPr>
    </w:p>
    <w:p w14:paraId="7983CED1" w14:textId="77777777" w:rsidR="00EC7511" w:rsidRP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Bloom, N., Liang, J., Roberts, J. and Ying, Z.J. (2015). Does Working from </w:t>
      </w:r>
      <w:proofErr w:type="gramStart"/>
      <w:r w:rsidRPr="00EC7511">
        <w:rPr>
          <w:rFonts w:asciiTheme="minorHAnsi" w:hAnsiTheme="minorHAnsi"/>
        </w:rPr>
        <w:t>Home Work</w:t>
      </w:r>
      <w:proofErr w:type="gramEnd"/>
      <w:r w:rsidRPr="00EC7511">
        <w:rPr>
          <w:rFonts w:asciiTheme="minorHAnsi" w:hAnsiTheme="minorHAnsi"/>
        </w:rPr>
        <w:t xml:space="preserve">? Evidence from a Chinese Experiment. </w:t>
      </w:r>
      <w:r w:rsidRPr="00EC7511">
        <w:rPr>
          <w:rFonts w:asciiTheme="minorHAnsi" w:hAnsiTheme="minorHAnsi"/>
          <w:i/>
          <w:iCs/>
        </w:rPr>
        <w:t>The Quarterly Journal of Economics</w:t>
      </w:r>
      <w:r w:rsidRPr="00EC7511">
        <w:rPr>
          <w:rFonts w:asciiTheme="minorHAnsi" w:hAnsiTheme="minorHAnsi"/>
        </w:rPr>
        <w:t>, 130(1), pp.165–218.</w:t>
      </w:r>
    </w:p>
    <w:p w14:paraId="50A22C19" w14:textId="77777777" w:rsid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Brynjolfsson, E. (1993). The productivity paradox of information technology. </w:t>
      </w:r>
      <w:r w:rsidRPr="00EC7511">
        <w:rPr>
          <w:rFonts w:asciiTheme="minorHAnsi" w:hAnsiTheme="minorHAnsi"/>
          <w:i/>
          <w:iCs/>
        </w:rPr>
        <w:t>Communications of the ACM</w:t>
      </w:r>
      <w:r w:rsidRPr="00EC7511">
        <w:rPr>
          <w:rFonts w:asciiTheme="minorHAnsi" w:hAnsiTheme="minorHAnsi"/>
        </w:rPr>
        <w:t xml:space="preserve">, 36(12), pp.66–77. </w:t>
      </w:r>
      <w:proofErr w:type="spellStart"/>
      <w:proofErr w:type="gramStart"/>
      <w:r w:rsidRPr="00EC7511">
        <w:rPr>
          <w:rFonts w:asciiTheme="minorHAnsi" w:hAnsiTheme="minorHAnsi"/>
        </w:rPr>
        <w:t>doi:https</w:t>
      </w:r>
      <w:proofErr w:type="spellEnd"/>
      <w:r w:rsidRPr="00EC7511">
        <w:rPr>
          <w:rFonts w:asciiTheme="minorHAnsi" w:hAnsiTheme="minorHAnsi"/>
        </w:rPr>
        <w:t>://doi.org/10.1145/163298.163309</w:t>
      </w:r>
      <w:proofErr w:type="gramEnd"/>
      <w:r w:rsidRPr="00EC7511">
        <w:rPr>
          <w:rFonts w:asciiTheme="minorHAnsi" w:hAnsiTheme="minorHAnsi"/>
        </w:rPr>
        <w:t>.</w:t>
      </w:r>
    </w:p>
    <w:p w14:paraId="227AA2D2" w14:textId="21A9D7D3" w:rsidR="00EC7511" w:rsidRPr="00EC7511" w:rsidRDefault="00EC7511" w:rsidP="00EC7511">
      <w:pPr>
        <w:pStyle w:val="NormalWeb"/>
        <w:spacing w:before="0" w:beforeAutospacing="0" w:after="240" w:afterAutospacing="0" w:line="360" w:lineRule="auto"/>
        <w:rPr>
          <w:rFonts w:asciiTheme="minorHAnsi" w:hAnsiTheme="minorHAnsi"/>
        </w:rPr>
      </w:pPr>
      <w:r>
        <w:rPr>
          <w:rFonts w:ascii="Segoe UI" w:hAnsi="Segoe UI" w:cs="Segoe UI"/>
          <w:color w:val="0D0D0D"/>
          <w:shd w:val="clear" w:color="auto" w:fill="FFFFFF"/>
        </w:rPr>
        <w:t xml:space="preserve">Cascio, W. F., &amp; </w:t>
      </w:r>
      <w:proofErr w:type="spellStart"/>
      <w:r>
        <w:rPr>
          <w:rFonts w:ascii="Segoe UI" w:hAnsi="Segoe UI" w:cs="Segoe UI"/>
          <w:color w:val="0D0D0D"/>
          <w:shd w:val="clear" w:color="auto" w:fill="FFFFFF"/>
        </w:rPr>
        <w:t>Aguinis</w:t>
      </w:r>
      <w:proofErr w:type="spellEnd"/>
      <w:r>
        <w:rPr>
          <w:rFonts w:ascii="Segoe UI" w:hAnsi="Segoe UI" w:cs="Segoe UI"/>
          <w:color w:val="0D0D0D"/>
          <w:shd w:val="clear" w:color="auto" w:fill="FFFFFF"/>
        </w:rPr>
        <w:t xml:space="preserve">, H. (2008). Research in organizational </w:t>
      </w:r>
      <w:proofErr w:type="spellStart"/>
      <w:r>
        <w:rPr>
          <w:rFonts w:ascii="Segoe UI" w:hAnsi="Segoe UI" w:cs="Segoe UI"/>
          <w:color w:val="0D0D0D"/>
          <w:shd w:val="clear" w:color="auto" w:fill="FFFFFF"/>
        </w:rPr>
        <w:t>behavior</w:t>
      </w:r>
      <w:proofErr w:type="spellEnd"/>
      <w:r>
        <w:rPr>
          <w:rFonts w:ascii="Segoe UI" w:hAnsi="Segoe UI" w:cs="Segoe UI"/>
          <w:color w:val="0D0D0D"/>
          <w:shd w:val="clear" w:color="auto" w:fill="FFFFFF"/>
        </w:rPr>
        <w:t xml:space="preserve">: Virtual teams: What do we know and where do we go from here? Journal of Organizational </w:t>
      </w:r>
      <w:proofErr w:type="spellStart"/>
      <w:r>
        <w:rPr>
          <w:rFonts w:ascii="Segoe UI" w:hAnsi="Segoe UI" w:cs="Segoe UI"/>
          <w:color w:val="0D0D0D"/>
          <w:shd w:val="clear" w:color="auto" w:fill="FFFFFF"/>
        </w:rPr>
        <w:t>Behavior</w:t>
      </w:r>
      <w:proofErr w:type="spellEnd"/>
      <w:r>
        <w:rPr>
          <w:rFonts w:ascii="Segoe UI" w:hAnsi="Segoe UI" w:cs="Segoe UI"/>
          <w:color w:val="0D0D0D"/>
          <w:shd w:val="clear" w:color="auto" w:fill="FFFFFF"/>
        </w:rPr>
        <w:t>, 29(6), 739-759.</w:t>
      </w:r>
    </w:p>
    <w:p w14:paraId="7882A4CD" w14:textId="098905FE" w:rsid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Castrillon, C. (2022). </w:t>
      </w:r>
      <w:r w:rsidRPr="00EC7511">
        <w:rPr>
          <w:rFonts w:asciiTheme="minorHAnsi" w:hAnsiTheme="minorHAnsi"/>
          <w:i/>
          <w:iCs/>
        </w:rPr>
        <w:t xml:space="preserve">Why Employee Monitoring Is Doomed </w:t>
      </w:r>
      <w:proofErr w:type="gramStart"/>
      <w:r w:rsidRPr="00EC7511">
        <w:rPr>
          <w:rFonts w:asciiTheme="minorHAnsi" w:hAnsiTheme="minorHAnsi"/>
          <w:i/>
          <w:iCs/>
        </w:rPr>
        <w:t>To</w:t>
      </w:r>
      <w:proofErr w:type="gramEnd"/>
      <w:r w:rsidRPr="00EC7511">
        <w:rPr>
          <w:rFonts w:asciiTheme="minorHAnsi" w:hAnsiTheme="minorHAnsi"/>
          <w:i/>
          <w:iCs/>
        </w:rPr>
        <w:t xml:space="preserve"> Backfire</w:t>
      </w:r>
      <w:r w:rsidRPr="00EC7511">
        <w:rPr>
          <w:rFonts w:asciiTheme="minorHAnsi" w:hAnsiTheme="minorHAnsi"/>
        </w:rPr>
        <w:t xml:space="preserve">. [online] Forbes. Available at: </w:t>
      </w:r>
      <w:hyperlink r:id="rId7" w:history="1">
        <w:r w:rsidRPr="002126E2">
          <w:rPr>
            <w:rStyle w:val="Hyperlink"/>
            <w:rFonts w:asciiTheme="minorHAnsi" w:hAnsiTheme="minorHAnsi"/>
          </w:rPr>
          <w:t>https://www.forbes.com/sites/carolinecastrillon/2022/11/16/why-employee-monitoring-is-doomed-to-backfire/</w:t>
        </w:r>
      </w:hyperlink>
      <w:r w:rsidRPr="00EC7511">
        <w:rPr>
          <w:rFonts w:asciiTheme="minorHAnsi" w:hAnsiTheme="minorHAnsi"/>
        </w:rPr>
        <w:t>.</w:t>
      </w:r>
    </w:p>
    <w:p w14:paraId="59A7B2F4" w14:textId="5B9043CF" w:rsidR="00EC7511" w:rsidRPr="00EC7511" w:rsidRDefault="00EC7511" w:rsidP="00EC7511">
      <w:pPr>
        <w:pStyle w:val="NormalWeb"/>
        <w:spacing w:before="0" w:beforeAutospacing="0" w:after="240" w:afterAutospacing="0" w:line="360" w:lineRule="auto"/>
        <w:rPr>
          <w:rFonts w:asciiTheme="minorHAnsi" w:hAnsiTheme="minorHAnsi"/>
        </w:rPr>
      </w:pPr>
      <w:r>
        <w:rPr>
          <w:rFonts w:ascii="Segoe UI" w:hAnsi="Segoe UI" w:cs="Segoe UI"/>
          <w:color w:val="0D0D0D"/>
          <w:shd w:val="clear" w:color="auto" w:fill="FFFFFF"/>
        </w:rPr>
        <w:t>Dewett, T. (2007). Linking intrinsic motivation, risk taking, and employee creativity in an R&amp;D environment. R&amp;D Management, 37(3), 197-208</w:t>
      </w:r>
    </w:p>
    <w:p w14:paraId="46F957FD" w14:textId="77777777" w:rsidR="00EC7511" w:rsidRP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Doerr, J.E. (2018). </w:t>
      </w:r>
      <w:r w:rsidRPr="00EC7511">
        <w:rPr>
          <w:rFonts w:asciiTheme="minorHAnsi" w:hAnsiTheme="minorHAnsi"/>
          <w:i/>
          <w:iCs/>
        </w:rPr>
        <w:t xml:space="preserve">Measure what </w:t>
      </w:r>
      <w:proofErr w:type="gramStart"/>
      <w:r w:rsidRPr="00EC7511">
        <w:rPr>
          <w:rFonts w:asciiTheme="minorHAnsi" w:hAnsiTheme="minorHAnsi"/>
          <w:i/>
          <w:iCs/>
        </w:rPr>
        <w:t>matters :</w:t>
      </w:r>
      <w:proofErr w:type="gramEnd"/>
      <w:r w:rsidRPr="00EC7511">
        <w:rPr>
          <w:rFonts w:asciiTheme="minorHAnsi" w:hAnsiTheme="minorHAnsi"/>
          <w:i/>
          <w:iCs/>
        </w:rPr>
        <w:t xml:space="preserve"> OKRs, the simple idea that drives 10x growth</w:t>
      </w:r>
      <w:r w:rsidRPr="00EC7511">
        <w:rPr>
          <w:rFonts w:asciiTheme="minorHAnsi" w:hAnsiTheme="minorHAnsi"/>
        </w:rPr>
        <w:t>. Great Britain Portfolio.</w:t>
      </w:r>
    </w:p>
    <w:p w14:paraId="66B16724" w14:textId="77777777" w:rsidR="00EC7511" w:rsidRP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Ishaq Bhatti, M., Awan, H.M. and Razaq, Z. (2014). The key performance indicators (KPIs) and their impact on overall organizational performance. </w:t>
      </w:r>
      <w:r w:rsidRPr="00EC7511">
        <w:rPr>
          <w:rFonts w:asciiTheme="minorHAnsi" w:hAnsiTheme="minorHAnsi"/>
          <w:i/>
          <w:iCs/>
        </w:rPr>
        <w:t>Quality &amp; Quantity</w:t>
      </w:r>
      <w:r w:rsidRPr="00EC7511">
        <w:rPr>
          <w:rFonts w:asciiTheme="minorHAnsi" w:hAnsiTheme="minorHAnsi"/>
        </w:rPr>
        <w:t>, 48(6), pp.3127–3143.</w:t>
      </w:r>
    </w:p>
    <w:p w14:paraId="3ECEAEF0" w14:textId="77777777" w:rsidR="00EC7511" w:rsidRP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Jeske, D. (2021). Monitoring remote employees: implications for HR. </w:t>
      </w:r>
      <w:r w:rsidRPr="00EC7511">
        <w:rPr>
          <w:rFonts w:asciiTheme="minorHAnsi" w:hAnsiTheme="minorHAnsi"/>
          <w:i/>
          <w:iCs/>
        </w:rPr>
        <w:t>Strategic HR Review</w:t>
      </w:r>
      <w:r w:rsidRPr="00EC7511">
        <w:rPr>
          <w:rFonts w:asciiTheme="minorHAnsi" w:hAnsiTheme="minorHAnsi"/>
        </w:rPr>
        <w:t xml:space="preserve">, 20(2). </w:t>
      </w:r>
      <w:proofErr w:type="spellStart"/>
      <w:proofErr w:type="gramStart"/>
      <w:r w:rsidRPr="00EC7511">
        <w:rPr>
          <w:rFonts w:asciiTheme="minorHAnsi" w:hAnsiTheme="minorHAnsi"/>
        </w:rPr>
        <w:t>doi:https</w:t>
      </w:r>
      <w:proofErr w:type="spellEnd"/>
      <w:r w:rsidRPr="00EC7511">
        <w:rPr>
          <w:rFonts w:asciiTheme="minorHAnsi" w:hAnsiTheme="minorHAnsi"/>
        </w:rPr>
        <w:t>://doi.org/10.1108/shr-10-2020-0089</w:t>
      </w:r>
      <w:proofErr w:type="gramEnd"/>
      <w:r w:rsidRPr="00EC7511">
        <w:rPr>
          <w:rFonts w:asciiTheme="minorHAnsi" w:hAnsiTheme="minorHAnsi"/>
        </w:rPr>
        <w:t>.</w:t>
      </w:r>
    </w:p>
    <w:p w14:paraId="1A1A0561" w14:textId="77777777" w:rsidR="00EC7511" w:rsidRPr="00EC7511" w:rsidRDefault="00EC7511" w:rsidP="00EC7511">
      <w:pPr>
        <w:pStyle w:val="NormalWeb"/>
        <w:spacing w:before="0" w:beforeAutospacing="0" w:after="240" w:afterAutospacing="0" w:line="360" w:lineRule="auto"/>
        <w:rPr>
          <w:rFonts w:asciiTheme="minorHAnsi" w:hAnsiTheme="minorHAnsi"/>
        </w:rPr>
      </w:pPr>
      <w:proofErr w:type="spellStart"/>
      <w:r w:rsidRPr="00EC7511">
        <w:rPr>
          <w:rFonts w:asciiTheme="minorHAnsi" w:hAnsiTheme="minorHAnsi"/>
        </w:rPr>
        <w:t>Kalischko</w:t>
      </w:r>
      <w:proofErr w:type="spellEnd"/>
      <w:r w:rsidRPr="00EC7511">
        <w:rPr>
          <w:rFonts w:asciiTheme="minorHAnsi" w:hAnsiTheme="minorHAnsi"/>
        </w:rPr>
        <w:t xml:space="preserve">, T. and Riedl, R. (2021). Electronic Performance Monitoring in the Digital Workplace: Conceptualization, Review of Effects and Moderators, and Future Research Opportunities. </w:t>
      </w:r>
      <w:r w:rsidRPr="00EC7511">
        <w:rPr>
          <w:rFonts w:asciiTheme="minorHAnsi" w:hAnsiTheme="minorHAnsi"/>
          <w:i/>
          <w:iCs/>
        </w:rPr>
        <w:t>Frontiers in Psychology</w:t>
      </w:r>
      <w:r w:rsidRPr="00EC7511">
        <w:rPr>
          <w:rFonts w:asciiTheme="minorHAnsi" w:hAnsiTheme="minorHAnsi"/>
        </w:rPr>
        <w:t xml:space="preserve">, [online] 12(633031). </w:t>
      </w:r>
      <w:proofErr w:type="spellStart"/>
      <w:proofErr w:type="gramStart"/>
      <w:r w:rsidRPr="00EC7511">
        <w:rPr>
          <w:rFonts w:asciiTheme="minorHAnsi" w:hAnsiTheme="minorHAnsi"/>
        </w:rPr>
        <w:t>doi:https</w:t>
      </w:r>
      <w:proofErr w:type="spellEnd"/>
      <w:r w:rsidRPr="00EC7511">
        <w:rPr>
          <w:rFonts w:asciiTheme="minorHAnsi" w:hAnsiTheme="minorHAnsi"/>
        </w:rPr>
        <w:t>://doi.org/10.3389/fpsyg.2021.633031</w:t>
      </w:r>
      <w:proofErr w:type="gramEnd"/>
      <w:r w:rsidRPr="00EC7511">
        <w:rPr>
          <w:rFonts w:asciiTheme="minorHAnsi" w:hAnsiTheme="minorHAnsi"/>
        </w:rPr>
        <w:t>.</w:t>
      </w:r>
    </w:p>
    <w:p w14:paraId="734D2C0F" w14:textId="77777777" w:rsidR="00EC7511" w:rsidRPr="00EC7511" w:rsidRDefault="00EC7511" w:rsidP="00EC7511">
      <w:pPr>
        <w:pStyle w:val="NormalWeb"/>
        <w:spacing w:before="0" w:beforeAutospacing="0" w:after="240" w:afterAutospacing="0" w:line="360" w:lineRule="auto"/>
        <w:rPr>
          <w:rFonts w:asciiTheme="minorHAnsi" w:hAnsiTheme="minorHAnsi"/>
        </w:rPr>
      </w:pPr>
      <w:proofErr w:type="spellStart"/>
      <w:r w:rsidRPr="00EC7511">
        <w:rPr>
          <w:rFonts w:asciiTheme="minorHAnsi" w:hAnsiTheme="minorHAnsi"/>
        </w:rPr>
        <w:lastRenderedPageBreak/>
        <w:t>Masschelein</w:t>
      </w:r>
      <w:proofErr w:type="spellEnd"/>
      <w:r w:rsidRPr="00EC7511">
        <w:rPr>
          <w:rFonts w:asciiTheme="minorHAnsi" w:hAnsiTheme="minorHAnsi"/>
        </w:rPr>
        <w:t xml:space="preserve">, S. (2024). Promotions and Subjective Performance Evaluation. </w:t>
      </w:r>
      <w:r w:rsidRPr="00EC7511">
        <w:rPr>
          <w:rFonts w:asciiTheme="minorHAnsi" w:hAnsiTheme="minorHAnsi"/>
          <w:i/>
          <w:iCs/>
        </w:rPr>
        <w:t>oercollective.caul.edu.au</w:t>
      </w:r>
      <w:r w:rsidRPr="00EC7511">
        <w:rPr>
          <w:rFonts w:asciiTheme="minorHAnsi" w:hAnsiTheme="minorHAnsi"/>
        </w:rPr>
        <w:t>. [online] Available at: https://oercollective.caul.edu.au/principles-strategic-management-accounting/chapter/promotions-and-subjective-performance-evaluation/ [Accessed 2 May 2024].</w:t>
      </w:r>
    </w:p>
    <w:p w14:paraId="72A022C6" w14:textId="77777777" w:rsidR="00EC7511" w:rsidRPr="00EC7511" w:rsidRDefault="00EC7511" w:rsidP="00EC7511">
      <w:pPr>
        <w:pStyle w:val="NormalWeb"/>
        <w:spacing w:before="0" w:beforeAutospacing="0" w:after="240" w:afterAutospacing="0" w:line="360" w:lineRule="auto"/>
        <w:rPr>
          <w:rFonts w:asciiTheme="minorHAnsi" w:hAnsiTheme="minorHAnsi"/>
        </w:rPr>
      </w:pPr>
      <w:proofErr w:type="spellStart"/>
      <w:r w:rsidRPr="00EC7511">
        <w:rPr>
          <w:rFonts w:asciiTheme="minorHAnsi" w:hAnsiTheme="minorHAnsi"/>
        </w:rPr>
        <w:t>Mithas</w:t>
      </w:r>
      <w:proofErr w:type="spellEnd"/>
      <w:r w:rsidRPr="00EC7511">
        <w:rPr>
          <w:rFonts w:asciiTheme="minorHAnsi" w:hAnsiTheme="minorHAnsi"/>
        </w:rPr>
        <w:t xml:space="preserve">, S., Agarwal, R. and Courtney, H. (2012). Digital Business Strategies and the Duality of IT. </w:t>
      </w:r>
      <w:r w:rsidRPr="00EC7511">
        <w:rPr>
          <w:rFonts w:asciiTheme="minorHAnsi" w:hAnsiTheme="minorHAnsi"/>
          <w:i/>
          <w:iCs/>
        </w:rPr>
        <w:t>IT Professional</w:t>
      </w:r>
      <w:r w:rsidRPr="00EC7511">
        <w:rPr>
          <w:rFonts w:asciiTheme="minorHAnsi" w:hAnsiTheme="minorHAnsi"/>
        </w:rPr>
        <w:t xml:space="preserve">, 14(5), pp.2–4. </w:t>
      </w:r>
      <w:proofErr w:type="spellStart"/>
      <w:proofErr w:type="gramStart"/>
      <w:r w:rsidRPr="00EC7511">
        <w:rPr>
          <w:rFonts w:asciiTheme="minorHAnsi" w:hAnsiTheme="minorHAnsi"/>
        </w:rPr>
        <w:t>doi:https</w:t>
      </w:r>
      <w:proofErr w:type="spellEnd"/>
      <w:r w:rsidRPr="00EC7511">
        <w:rPr>
          <w:rFonts w:asciiTheme="minorHAnsi" w:hAnsiTheme="minorHAnsi"/>
        </w:rPr>
        <w:t>://doi.org/10.1109/mitp.2012.96</w:t>
      </w:r>
      <w:proofErr w:type="gramEnd"/>
      <w:r w:rsidRPr="00EC7511">
        <w:rPr>
          <w:rFonts w:asciiTheme="minorHAnsi" w:hAnsiTheme="minorHAnsi"/>
        </w:rPr>
        <w:t>.</w:t>
      </w:r>
    </w:p>
    <w:p w14:paraId="0462F25B" w14:textId="77777777" w:rsidR="00EC7511" w:rsidRP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MUCHINSKY, P.M. (2004). WHEN THE PSYCHOMETRICS OF TEST DEVELOPMENT MEETS ORGANIZATIONAL REALITIES: A CONCEPTUAL FRAMEWORK FOR ORGANIZATIONAL CHANGE, EXAMPLES, AND RECOMMENDATIONS. </w:t>
      </w:r>
      <w:r w:rsidRPr="00EC7511">
        <w:rPr>
          <w:rFonts w:asciiTheme="minorHAnsi" w:hAnsiTheme="minorHAnsi"/>
          <w:i/>
          <w:iCs/>
        </w:rPr>
        <w:t>Personnel Psychology</w:t>
      </w:r>
      <w:r w:rsidRPr="00EC7511">
        <w:rPr>
          <w:rFonts w:asciiTheme="minorHAnsi" w:hAnsiTheme="minorHAnsi"/>
        </w:rPr>
        <w:t xml:space="preserve">, 57(1), pp.175–209. </w:t>
      </w:r>
      <w:proofErr w:type="spellStart"/>
      <w:proofErr w:type="gramStart"/>
      <w:r w:rsidRPr="00EC7511">
        <w:rPr>
          <w:rFonts w:asciiTheme="minorHAnsi" w:hAnsiTheme="minorHAnsi"/>
        </w:rPr>
        <w:t>doi:https</w:t>
      </w:r>
      <w:proofErr w:type="spellEnd"/>
      <w:r w:rsidRPr="00EC7511">
        <w:rPr>
          <w:rFonts w:asciiTheme="minorHAnsi" w:hAnsiTheme="minorHAnsi"/>
        </w:rPr>
        <w:t>://doi.org/10.1111/j.1744-6570.2004.tb02488.x</w:t>
      </w:r>
      <w:proofErr w:type="gramEnd"/>
      <w:r w:rsidRPr="00EC7511">
        <w:rPr>
          <w:rFonts w:asciiTheme="minorHAnsi" w:hAnsiTheme="minorHAnsi"/>
        </w:rPr>
        <w:t>.</w:t>
      </w:r>
    </w:p>
    <w:p w14:paraId="62F83A3D" w14:textId="77777777" w:rsidR="00EC7511" w:rsidRP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Niven, P.R. (2023). </w:t>
      </w:r>
      <w:r w:rsidRPr="00EC7511">
        <w:rPr>
          <w:rFonts w:asciiTheme="minorHAnsi" w:hAnsiTheme="minorHAnsi"/>
          <w:i/>
          <w:iCs/>
        </w:rPr>
        <w:t>OKRs For Dummies</w:t>
      </w:r>
      <w:r w:rsidRPr="00EC7511">
        <w:rPr>
          <w:rFonts w:asciiTheme="minorHAnsi" w:hAnsiTheme="minorHAnsi"/>
        </w:rPr>
        <w:t>. John Wiley &amp; Sons.</w:t>
      </w:r>
    </w:p>
    <w:p w14:paraId="67DF244D" w14:textId="77777777" w:rsidR="00EC7511" w:rsidRP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Office for National Statistics (2023). </w:t>
      </w:r>
      <w:r w:rsidRPr="00EC7511">
        <w:rPr>
          <w:rFonts w:asciiTheme="minorHAnsi" w:hAnsiTheme="minorHAnsi"/>
          <w:i/>
          <w:iCs/>
        </w:rPr>
        <w:t>Characteristics of homeworkers, Great Britain - Office for National Statistics</w:t>
      </w:r>
      <w:r w:rsidRPr="00EC7511">
        <w:rPr>
          <w:rFonts w:asciiTheme="minorHAnsi" w:hAnsiTheme="minorHAnsi"/>
        </w:rPr>
        <w:t>. [online] www.ons.gov.uk. Available at: https://www.ons.gov.uk/employmentandlabourmarket/peopleinwork/employmentandemployeetypes/articles/characteristicsofhomeworkersgreatbritain/september2022tojanuary2023.</w:t>
      </w:r>
    </w:p>
    <w:p w14:paraId="76809E9F" w14:textId="77777777" w:rsidR="00EC7511" w:rsidRPr="00EC7511" w:rsidRDefault="00EC7511" w:rsidP="00EC7511">
      <w:pPr>
        <w:pStyle w:val="NormalWeb"/>
        <w:spacing w:before="0" w:beforeAutospacing="0" w:after="240" w:afterAutospacing="0" w:line="360" w:lineRule="auto"/>
        <w:rPr>
          <w:rFonts w:asciiTheme="minorHAnsi" w:hAnsiTheme="minorHAnsi"/>
        </w:rPr>
      </w:pPr>
      <w:r w:rsidRPr="00EC7511">
        <w:rPr>
          <w:rFonts w:asciiTheme="minorHAnsi" w:hAnsiTheme="minorHAnsi"/>
        </w:rPr>
        <w:t xml:space="preserve">Ozimek, A. (2020). </w:t>
      </w:r>
      <w:r w:rsidRPr="00EC7511">
        <w:rPr>
          <w:rFonts w:asciiTheme="minorHAnsi" w:hAnsiTheme="minorHAnsi"/>
          <w:i/>
          <w:iCs/>
        </w:rPr>
        <w:t>The Future of Remote Work</w:t>
      </w:r>
      <w:r w:rsidRPr="00EC7511">
        <w:rPr>
          <w:rFonts w:asciiTheme="minorHAnsi" w:hAnsiTheme="minorHAnsi"/>
        </w:rPr>
        <w:t>. [online] SSRN. Available at: https://papers.ssrn.com/sol3/papers.cfm?abstract_id=3638597.</w:t>
      </w:r>
    </w:p>
    <w:p w14:paraId="3F52353E" w14:textId="4FC4FD8F" w:rsidR="00EC7511" w:rsidRPr="00EC7511" w:rsidRDefault="00EC7511" w:rsidP="00EC7511">
      <w:pPr>
        <w:pStyle w:val="NormalWeb"/>
        <w:spacing w:before="0" w:beforeAutospacing="0" w:after="240" w:afterAutospacing="0" w:line="360" w:lineRule="auto"/>
        <w:rPr>
          <w:rFonts w:asciiTheme="minorHAnsi" w:hAnsiTheme="minorHAnsi"/>
        </w:rPr>
      </w:pPr>
      <w:proofErr w:type="spellStart"/>
      <w:r w:rsidRPr="00EC7511">
        <w:rPr>
          <w:rFonts w:asciiTheme="minorHAnsi" w:hAnsiTheme="minorHAnsi"/>
        </w:rPr>
        <w:t>Rennenberg</w:t>
      </w:r>
      <w:proofErr w:type="spellEnd"/>
      <w:r w:rsidRPr="00EC7511">
        <w:rPr>
          <w:rFonts w:asciiTheme="minorHAnsi" w:hAnsiTheme="minorHAnsi"/>
        </w:rPr>
        <w:t xml:space="preserve">, K. (2016). </w:t>
      </w:r>
      <w:r w:rsidRPr="00EC7511">
        <w:rPr>
          <w:rFonts w:asciiTheme="minorHAnsi" w:hAnsiTheme="minorHAnsi"/>
          <w:i/>
          <w:iCs/>
        </w:rPr>
        <w:t>Collaboration in a Hyperconnected World</w:t>
      </w:r>
      <w:r w:rsidRPr="00EC7511">
        <w:rPr>
          <w:rFonts w:asciiTheme="minorHAnsi" w:hAnsiTheme="minorHAnsi"/>
        </w:rPr>
        <w:t xml:space="preserve">. </w:t>
      </w:r>
      <w:hyperlink r:id="rId8" w:history="1">
        <w:r w:rsidRPr="00EC7511">
          <w:rPr>
            <w:rStyle w:val="Hyperlink"/>
            <w:rFonts w:asciiTheme="minorHAnsi" w:hAnsiTheme="minorHAnsi"/>
          </w:rPr>
          <w:t>https://www.researchgate.net/publication/308954430_Collaboration_in_a_Hyperconnected_World</w:t>
        </w:r>
      </w:hyperlink>
      <w:r w:rsidRPr="00EC7511">
        <w:rPr>
          <w:rFonts w:asciiTheme="minorHAnsi" w:hAnsiTheme="minorHAnsi"/>
        </w:rPr>
        <w:t>.</w:t>
      </w:r>
    </w:p>
    <w:p w14:paraId="6E1C229D" w14:textId="5AD97815" w:rsidR="00EC7511" w:rsidRPr="00EC7511" w:rsidRDefault="00EC7511" w:rsidP="00EC7511">
      <w:pPr>
        <w:pStyle w:val="NormalWeb"/>
        <w:spacing w:before="0" w:beforeAutospacing="0" w:after="240" w:afterAutospacing="0" w:line="360" w:lineRule="auto"/>
        <w:rPr>
          <w:rFonts w:asciiTheme="minorHAnsi" w:hAnsiTheme="minorHAnsi" w:cs="Segoe UI"/>
          <w:color w:val="0D0D0D"/>
          <w:shd w:val="clear" w:color="auto" w:fill="FFFFFF"/>
        </w:rPr>
      </w:pPr>
      <w:r w:rsidRPr="00EC7511">
        <w:rPr>
          <w:rFonts w:asciiTheme="minorHAnsi" w:hAnsiTheme="minorHAnsi" w:cs="Segoe UI"/>
          <w:color w:val="0D0D0D"/>
          <w:shd w:val="clear" w:color="auto" w:fill="FFFFFF"/>
        </w:rPr>
        <w:t>Rodrigues, R., &amp; Guest, D. (2010). Have careers become boundaryless? Human Relations, 63(8), 1157-1175.</w:t>
      </w:r>
    </w:p>
    <w:p w14:paraId="71BBFA7C" w14:textId="77777777" w:rsidR="00EC7511" w:rsidRPr="00EC7511" w:rsidRDefault="00EC7511" w:rsidP="00EC7511">
      <w:pPr>
        <w:pStyle w:val="NormalWeb"/>
        <w:spacing w:after="240" w:line="360" w:lineRule="auto"/>
        <w:rPr>
          <w:rFonts w:asciiTheme="minorHAnsi" w:hAnsiTheme="minorHAnsi"/>
        </w:rPr>
      </w:pPr>
      <w:r w:rsidRPr="00EC7511">
        <w:rPr>
          <w:rFonts w:asciiTheme="minorHAnsi" w:hAnsiTheme="minorHAnsi"/>
        </w:rPr>
        <w:t xml:space="preserve">Tannenbaum, S. I., Mathieu, J. E., Salas, E., &amp; Cannon-Bowers, J. A. (2013). Meeting trainees’ expectations: The influence of training </w:t>
      </w:r>
      <w:proofErr w:type="spellStart"/>
      <w:r w:rsidRPr="00EC7511">
        <w:rPr>
          <w:rFonts w:asciiTheme="minorHAnsi" w:hAnsiTheme="minorHAnsi"/>
        </w:rPr>
        <w:t>fulfillment</w:t>
      </w:r>
      <w:proofErr w:type="spellEnd"/>
      <w:r w:rsidRPr="00EC7511">
        <w:rPr>
          <w:rFonts w:asciiTheme="minorHAnsi" w:hAnsiTheme="minorHAnsi"/>
        </w:rPr>
        <w:t xml:space="preserve"> on the development of </w:t>
      </w:r>
      <w:r w:rsidRPr="00EC7511">
        <w:rPr>
          <w:rFonts w:asciiTheme="minorHAnsi" w:hAnsiTheme="minorHAnsi"/>
        </w:rPr>
        <w:lastRenderedPageBreak/>
        <w:t>commitment, self-efficacy, and motivation. Journal of Applied Psychology, 98(2), 203-213.</w:t>
      </w:r>
    </w:p>
    <w:p w14:paraId="5385568A" w14:textId="77777777" w:rsidR="00EC7511" w:rsidRPr="00EC7511" w:rsidRDefault="00EC7511" w:rsidP="00EC7511">
      <w:pPr>
        <w:pStyle w:val="NormalWeb"/>
        <w:spacing w:after="240" w:line="360" w:lineRule="auto"/>
        <w:rPr>
          <w:rFonts w:asciiTheme="minorHAnsi" w:hAnsiTheme="minorHAnsi"/>
        </w:rPr>
      </w:pPr>
    </w:p>
    <w:p w14:paraId="3D55DEB3" w14:textId="77777777" w:rsidR="00EC7511" w:rsidRPr="00EC7511" w:rsidRDefault="00EC7511" w:rsidP="00EC7511">
      <w:pPr>
        <w:pStyle w:val="NormalWeb"/>
        <w:spacing w:after="240" w:line="360" w:lineRule="auto"/>
        <w:rPr>
          <w:rFonts w:asciiTheme="minorHAnsi" w:hAnsiTheme="minorHAnsi"/>
        </w:rPr>
      </w:pPr>
    </w:p>
    <w:p w14:paraId="224D4874" w14:textId="77777777" w:rsidR="00EC7511" w:rsidRPr="00EC7511" w:rsidRDefault="00EC7511" w:rsidP="00EC7511">
      <w:pPr>
        <w:pStyle w:val="NormalWeb"/>
        <w:spacing w:after="240" w:line="360" w:lineRule="auto"/>
        <w:rPr>
          <w:rFonts w:asciiTheme="minorHAnsi" w:hAnsiTheme="minorHAnsi"/>
        </w:rPr>
      </w:pPr>
    </w:p>
    <w:p w14:paraId="39C70BBC" w14:textId="77777777" w:rsidR="00EC7511" w:rsidRPr="00EC7511" w:rsidRDefault="00EC7511" w:rsidP="00EC7511">
      <w:pPr>
        <w:pStyle w:val="NormalWeb"/>
        <w:spacing w:before="0" w:beforeAutospacing="0" w:after="240" w:afterAutospacing="0" w:line="360" w:lineRule="auto"/>
        <w:rPr>
          <w:rFonts w:asciiTheme="minorHAnsi" w:hAnsiTheme="minorHAnsi"/>
        </w:rPr>
      </w:pPr>
    </w:p>
    <w:p w14:paraId="07923DAD" w14:textId="77777777" w:rsidR="00C20830" w:rsidRPr="001945D5" w:rsidRDefault="00C20830" w:rsidP="005001BE">
      <w:pPr>
        <w:spacing w:after="0" w:line="240" w:lineRule="auto"/>
        <w:jc w:val="both"/>
        <w:rPr>
          <w:rFonts w:eastAsia="Times New Roman" w:cs="Times New Roman"/>
          <w:kern w:val="0"/>
          <w:lang w:eastAsia="en-GB"/>
          <w14:ligatures w14:val="none"/>
        </w:rPr>
      </w:pPr>
    </w:p>
    <w:p w14:paraId="77733E7D" w14:textId="77777777" w:rsidR="001945D5" w:rsidRPr="00EC7511" w:rsidRDefault="001945D5" w:rsidP="005001BE">
      <w:pPr>
        <w:jc w:val="both"/>
        <w:rPr>
          <w:rFonts w:eastAsia="Times New Roman" w:cs="Times New Roman"/>
          <w:kern w:val="0"/>
          <w:lang w:eastAsia="en-GB"/>
          <w14:ligatures w14:val="none"/>
        </w:rPr>
      </w:pPr>
    </w:p>
    <w:sectPr w:rsidR="001945D5" w:rsidRPr="00EC75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A4075A" w14:textId="77777777" w:rsidR="00147AF9" w:rsidRDefault="00147AF9" w:rsidP="000C56BB">
      <w:pPr>
        <w:spacing w:after="0" w:line="240" w:lineRule="auto"/>
      </w:pPr>
      <w:r>
        <w:separator/>
      </w:r>
    </w:p>
  </w:endnote>
  <w:endnote w:type="continuationSeparator" w:id="0">
    <w:p w14:paraId="0065ADB9" w14:textId="77777777" w:rsidR="00147AF9" w:rsidRDefault="00147AF9" w:rsidP="000C5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26B741" w14:textId="77777777" w:rsidR="00147AF9" w:rsidRDefault="00147AF9" w:rsidP="000C56BB">
      <w:pPr>
        <w:spacing w:after="0" w:line="240" w:lineRule="auto"/>
      </w:pPr>
      <w:r>
        <w:separator/>
      </w:r>
    </w:p>
  </w:footnote>
  <w:footnote w:type="continuationSeparator" w:id="0">
    <w:p w14:paraId="48A48B1E" w14:textId="77777777" w:rsidR="00147AF9" w:rsidRDefault="00147AF9" w:rsidP="000C56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2A34F2"/>
    <w:multiLevelType w:val="hybridMultilevel"/>
    <w:tmpl w:val="C6D8D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611F4"/>
    <w:multiLevelType w:val="hybridMultilevel"/>
    <w:tmpl w:val="BE5AF7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185635"/>
    <w:multiLevelType w:val="hybridMultilevel"/>
    <w:tmpl w:val="D1D0D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3867026">
    <w:abstractNumId w:val="2"/>
  </w:num>
  <w:num w:numId="2" w16cid:durableId="294139461">
    <w:abstractNumId w:val="0"/>
  </w:num>
  <w:num w:numId="3" w16cid:durableId="1174223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194"/>
    <w:rsid w:val="00057D27"/>
    <w:rsid w:val="000C56BB"/>
    <w:rsid w:val="000F643E"/>
    <w:rsid w:val="00147AF9"/>
    <w:rsid w:val="001945D5"/>
    <w:rsid w:val="001B0B0A"/>
    <w:rsid w:val="001D1B17"/>
    <w:rsid w:val="00327CC9"/>
    <w:rsid w:val="003B43C0"/>
    <w:rsid w:val="00463E49"/>
    <w:rsid w:val="004B0194"/>
    <w:rsid w:val="005001BE"/>
    <w:rsid w:val="005B4317"/>
    <w:rsid w:val="00676A90"/>
    <w:rsid w:val="00826935"/>
    <w:rsid w:val="00856615"/>
    <w:rsid w:val="008830F7"/>
    <w:rsid w:val="00A71853"/>
    <w:rsid w:val="00B41CD6"/>
    <w:rsid w:val="00B7616B"/>
    <w:rsid w:val="00BE3D67"/>
    <w:rsid w:val="00C20830"/>
    <w:rsid w:val="00CA06A5"/>
    <w:rsid w:val="00D33921"/>
    <w:rsid w:val="00EC0EB2"/>
    <w:rsid w:val="00EC4FC8"/>
    <w:rsid w:val="00EC7511"/>
    <w:rsid w:val="00F05810"/>
    <w:rsid w:val="00F43692"/>
    <w:rsid w:val="00F75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CD073"/>
  <w15:chartTrackingRefBased/>
  <w15:docId w15:val="{88FEA9EE-222B-4286-A307-A3E9981F3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1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1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1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1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1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1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1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1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1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1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1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1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1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1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1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1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1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194"/>
    <w:rPr>
      <w:rFonts w:eastAsiaTheme="majorEastAsia" w:cstheme="majorBidi"/>
      <w:color w:val="272727" w:themeColor="text1" w:themeTint="D8"/>
    </w:rPr>
  </w:style>
  <w:style w:type="paragraph" w:styleId="Title">
    <w:name w:val="Title"/>
    <w:basedOn w:val="Normal"/>
    <w:next w:val="Normal"/>
    <w:link w:val="TitleChar"/>
    <w:uiPriority w:val="10"/>
    <w:qFormat/>
    <w:rsid w:val="004B01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1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1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1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194"/>
    <w:pPr>
      <w:spacing w:before="160"/>
      <w:jc w:val="center"/>
    </w:pPr>
    <w:rPr>
      <w:i/>
      <w:iCs/>
      <w:color w:val="404040" w:themeColor="text1" w:themeTint="BF"/>
    </w:rPr>
  </w:style>
  <w:style w:type="character" w:customStyle="1" w:styleId="QuoteChar">
    <w:name w:val="Quote Char"/>
    <w:basedOn w:val="DefaultParagraphFont"/>
    <w:link w:val="Quote"/>
    <w:uiPriority w:val="29"/>
    <w:rsid w:val="004B0194"/>
    <w:rPr>
      <w:i/>
      <w:iCs/>
      <w:color w:val="404040" w:themeColor="text1" w:themeTint="BF"/>
    </w:rPr>
  </w:style>
  <w:style w:type="paragraph" w:styleId="ListParagraph">
    <w:name w:val="List Paragraph"/>
    <w:basedOn w:val="Normal"/>
    <w:uiPriority w:val="34"/>
    <w:qFormat/>
    <w:rsid w:val="004B0194"/>
    <w:pPr>
      <w:ind w:left="720"/>
      <w:contextualSpacing/>
    </w:pPr>
  </w:style>
  <w:style w:type="character" w:styleId="IntenseEmphasis">
    <w:name w:val="Intense Emphasis"/>
    <w:basedOn w:val="DefaultParagraphFont"/>
    <w:uiPriority w:val="21"/>
    <w:qFormat/>
    <w:rsid w:val="004B0194"/>
    <w:rPr>
      <w:i/>
      <w:iCs/>
      <w:color w:val="0F4761" w:themeColor="accent1" w:themeShade="BF"/>
    </w:rPr>
  </w:style>
  <w:style w:type="paragraph" w:styleId="IntenseQuote">
    <w:name w:val="Intense Quote"/>
    <w:basedOn w:val="Normal"/>
    <w:next w:val="Normal"/>
    <w:link w:val="IntenseQuoteChar"/>
    <w:uiPriority w:val="30"/>
    <w:qFormat/>
    <w:rsid w:val="004B01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194"/>
    <w:rPr>
      <w:i/>
      <w:iCs/>
      <w:color w:val="0F4761" w:themeColor="accent1" w:themeShade="BF"/>
    </w:rPr>
  </w:style>
  <w:style w:type="character" w:styleId="IntenseReference">
    <w:name w:val="Intense Reference"/>
    <w:basedOn w:val="DefaultParagraphFont"/>
    <w:uiPriority w:val="32"/>
    <w:qFormat/>
    <w:rsid w:val="004B0194"/>
    <w:rPr>
      <w:b/>
      <w:bCs/>
      <w:smallCaps/>
      <w:color w:val="0F4761" w:themeColor="accent1" w:themeShade="BF"/>
      <w:spacing w:val="5"/>
    </w:rPr>
  </w:style>
  <w:style w:type="paragraph" w:styleId="Header">
    <w:name w:val="header"/>
    <w:basedOn w:val="Normal"/>
    <w:link w:val="HeaderChar"/>
    <w:uiPriority w:val="99"/>
    <w:unhideWhenUsed/>
    <w:rsid w:val="000C5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6BB"/>
  </w:style>
  <w:style w:type="paragraph" w:styleId="Footer">
    <w:name w:val="footer"/>
    <w:basedOn w:val="Normal"/>
    <w:link w:val="FooterChar"/>
    <w:uiPriority w:val="99"/>
    <w:unhideWhenUsed/>
    <w:rsid w:val="000C5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6BB"/>
  </w:style>
  <w:style w:type="paragraph" w:styleId="NormalWeb">
    <w:name w:val="Normal (Web)"/>
    <w:basedOn w:val="Normal"/>
    <w:uiPriority w:val="99"/>
    <w:semiHidden/>
    <w:unhideWhenUsed/>
    <w:rsid w:val="00EC751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C7511"/>
    <w:rPr>
      <w:color w:val="467886" w:themeColor="hyperlink"/>
      <w:u w:val="single"/>
    </w:rPr>
  </w:style>
  <w:style w:type="character" w:styleId="UnresolvedMention">
    <w:name w:val="Unresolved Mention"/>
    <w:basedOn w:val="DefaultParagraphFont"/>
    <w:uiPriority w:val="99"/>
    <w:semiHidden/>
    <w:unhideWhenUsed/>
    <w:rsid w:val="00EC75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944151">
      <w:bodyDiv w:val="1"/>
      <w:marLeft w:val="0"/>
      <w:marRight w:val="0"/>
      <w:marTop w:val="0"/>
      <w:marBottom w:val="0"/>
      <w:divBdr>
        <w:top w:val="none" w:sz="0" w:space="0" w:color="auto"/>
        <w:left w:val="none" w:sz="0" w:space="0" w:color="auto"/>
        <w:bottom w:val="none" w:sz="0" w:space="0" w:color="auto"/>
        <w:right w:val="none" w:sz="0" w:space="0" w:color="auto"/>
      </w:divBdr>
    </w:div>
    <w:div w:id="83306302">
      <w:bodyDiv w:val="1"/>
      <w:marLeft w:val="0"/>
      <w:marRight w:val="0"/>
      <w:marTop w:val="0"/>
      <w:marBottom w:val="0"/>
      <w:divBdr>
        <w:top w:val="none" w:sz="0" w:space="0" w:color="auto"/>
        <w:left w:val="none" w:sz="0" w:space="0" w:color="auto"/>
        <w:bottom w:val="none" w:sz="0" w:space="0" w:color="auto"/>
        <w:right w:val="none" w:sz="0" w:space="0" w:color="auto"/>
      </w:divBdr>
    </w:div>
    <w:div w:id="195507916">
      <w:bodyDiv w:val="1"/>
      <w:marLeft w:val="0"/>
      <w:marRight w:val="0"/>
      <w:marTop w:val="0"/>
      <w:marBottom w:val="0"/>
      <w:divBdr>
        <w:top w:val="none" w:sz="0" w:space="0" w:color="auto"/>
        <w:left w:val="none" w:sz="0" w:space="0" w:color="auto"/>
        <w:bottom w:val="none" w:sz="0" w:space="0" w:color="auto"/>
        <w:right w:val="none" w:sz="0" w:space="0" w:color="auto"/>
      </w:divBdr>
    </w:div>
    <w:div w:id="328027334">
      <w:bodyDiv w:val="1"/>
      <w:marLeft w:val="0"/>
      <w:marRight w:val="0"/>
      <w:marTop w:val="0"/>
      <w:marBottom w:val="0"/>
      <w:divBdr>
        <w:top w:val="none" w:sz="0" w:space="0" w:color="auto"/>
        <w:left w:val="none" w:sz="0" w:space="0" w:color="auto"/>
        <w:bottom w:val="none" w:sz="0" w:space="0" w:color="auto"/>
        <w:right w:val="none" w:sz="0" w:space="0" w:color="auto"/>
      </w:divBdr>
    </w:div>
    <w:div w:id="513424013">
      <w:bodyDiv w:val="1"/>
      <w:marLeft w:val="0"/>
      <w:marRight w:val="0"/>
      <w:marTop w:val="0"/>
      <w:marBottom w:val="0"/>
      <w:divBdr>
        <w:top w:val="none" w:sz="0" w:space="0" w:color="auto"/>
        <w:left w:val="none" w:sz="0" w:space="0" w:color="auto"/>
        <w:bottom w:val="none" w:sz="0" w:space="0" w:color="auto"/>
        <w:right w:val="none" w:sz="0" w:space="0" w:color="auto"/>
      </w:divBdr>
    </w:div>
    <w:div w:id="523831411">
      <w:bodyDiv w:val="1"/>
      <w:marLeft w:val="0"/>
      <w:marRight w:val="0"/>
      <w:marTop w:val="0"/>
      <w:marBottom w:val="0"/>
      <w:divBdr>
        <w:top w:val="none" w:sz="0" w:space="0" w:color="auto"/>
        <w:left w:val="none" w:sz="0" w:space="0" w:color="auto"/>
        <w:bottom w:val="none" w:sz="0" w:space="0" w:color="auto"/>
        <w:right w:val="none" w:sz="0" w:space="0" w:color="auto"/>
      </w:divBdr>
    </w:div>
    <w:div w:id="544097560">
      <w:bodyDiv w:val="1"/>
      <w:marLeft w:val="0"/>
      <w:marRight w:val="0"/>
      <w:marTop w:val="0"/>
      <w:marBottom w:val="0"/>
      <w:divBdr>
        <w:top w:val="none" w:sz="0" w:space="0" w:color="auto"/>
        <w:left w:val="none" w:sz="0" w:space="0" w:color="auto"/>
        <w:bottom w:val="none" w:sz="0" w:space="0" w:color="auto"/>
        <w:right w:val="none" w:sz="0" w:space="0" w:color="auto"/>
      </w:divBdr>
    </w:div>
    <w:div w:id="559176582">
      <w:bodyDiv w:val="1"/>
      <w:marLeft w:val="0"/>
      <w:marRight w:val="0"/>
      <w:marTop w:val="0"/>
      <w:marBottom w:val="0"/>
      <w:divBdr>
        <w:top w:val="none" w:sz="0" w:space="0" w:color="auto"/>
        <w:left w:val="none" w:sz="0" w:space="0" w:color="auto"/>
        <w:bottom w:val="none" w:sz="0" w:space="0" w:color="auto"/>
        <w:right w:val="none" w:sz="0" w:space="0" w:color="auto"/>
      </w:divBdr>
      <w:divsChild>
        <w:div w:id="618070944">
          <w:marLeft w:val="0"/>
          <w:marRight w:val="0"/>
          <w:marTop w:val="0"/>
          <w:marBottom w:val="0"/>
          <w:divBdr>
            <w:top w:val="none" w:sz="0" w:space="0" w:color="auto"/>
            <w:left w:val="none" w:sz="0" w:space="0" w:color="auto"/>
            <w:bottom w:val="none" w:sz="0" w:space="0" w:color="auto"/>
            <w:right w:val="none" w:sz="0" w:space="0" w:color="auto"/>
          </w:divBdr>
        </w:div>
      </w:divsChild>
    </w:div>
    <w:div w:id="562372131">
      <w:bodyDiv w:val="1"/>
      <w:marLeft w:val="0"/>
      <w:marRight w:val="0"/>
      <w:marTop w:val="0"/>
      <w:marBottom w:val="0"/>
      <w:divBdr>
        <w:top w:val="none" w:sz="0" w:space="0" w:color="auto"/>
        <w:left w:val="none" w:sz="0" w:space="0" w:color="auto"/>
        <w:bottom w:val="none" w:sz="0" w:space="0" w:color="auto"/>
        <w:right w:val="none" w:sz="0" w:space="0" w:color="auto"/>
      </w:divBdr>
    </w:div>
    <w:div w:id="594552338">
      <w:bodyDiv w:val="1"/>
      <w:marLeft w:val="0"/>
      <w:marRight w:val="0"/>
      <w:marTop w:val="0"/>
      <w:marBottom w:val="0"/>
      <w:divBdr>
        <w:top w:val="none" w:sz="0" w:space="0" w:color="auto"/>
        <w:left w:val="none" w:sz="0" w:space="0" w:color="auto"/>
        <w:bottom w:val="none" w:sz="0" w:space="0" w:color="auto"/>
        <w:right w:val="none" w:sz="0" w:space="0" w:color="auto"/>
      </w:divBdr>
      <w:divsChild>
        <w:div w:id="276371458">
          <w:marLeft w:val="0"/>
          <w:marRight w:val="0"/>
          <w:marTop w:val="0"/>
          <w:marBottom w:val="0"/>
          <w:divBdr>
            <w:top w:val="none" w:sz="0" w:space="0" w:color="auto"/>
            <w:left w:val="none" w:sz="0" w:space="0" w:color="auto"/>
            <w:bottom w:val="none" w:sz="0" w:space="0" w:color="auto"/>
            <w:right w:val="none" w:sz="0" w:space="0" w:color="auto"/>
          </w:divBdr>
        </w:div>
      </w:divsChild>
    </w:div>
    <w:div w:id="701128225">
      <w:bodyDiv w:val="1"/>
      <w:marLeft w:val="0"/>
      <w:marRight w:val="0"/>
      <w:marTop w:val="0"/>
      <w:marBottom w:val="0"/>
      <w:divBdr>
        <w:top w:val="none" w:sz="0" w:space="0" w:color="auto"/>
        <w:left w:val="none" w:sz="0" w:space="0" w:color="auto"/>
        <w:bottom w:val="none" w:sz="0" w:space="0" w:color="auto"/>
        <w:right w:val="none" w:sz="0" w:space="0" w:color="auto"/>
      </w:divBdr>
    </w:div>
    <w:div w:id="804005185">
      <w:bodyDiv w:val="1"/>
      <w:marLeft w:val="0"/>
      <w:marRight w:val="0"/>
      <w:marTop w:val="0"/>
      <w:marBottom w:val="0"/>
      <w:divBdr>
        <w:top w:val="none" w:sz="0" w:space="0" w:color="auto"/>
        <w:left w:val="none" w:sz="0" w:space="0" w:color="auto"/>
        <w:bottom w:val="none" w:sz="0" w:space="0" w:color="auto"/>
        <w:right w:val="none" w:sz="0" w:space="0" w:color="auto"/>
      </w:divBdr>
    </w:div>
    <w:div w:id="819687231">
      <w:bodyDiv w:val="1"/>
      <w:marLeft w:val="0"/>
      <w:marRight w:val="0"/>
      <w:marTop w:val="0"/>
      <w:marBottom w:val="0"/>
      <w:divBdr>
        <w:top w:val="none" w:sz="0" w:space="0" w:color="auto"/>
        <w:left w:val="none" w:sz="0" w:space="0" w:color="auto"/>
        <w:bottom w:val="none" w:sz="0" w:space="0" w:color="auto"/>
        <w:right w:val="none" w:sz="0" w:space="0" w:color="auto"/>
      </w:divBdr>
    </w:div>
    <w:div w:id="842008613">
      <w:bodyDiv w:val="1"/>
      <w:marLeft w:val="0"/>
      <w:marRight w:val="0"/>
      <w:marTop w:val="0"/>
      <w:marBottom w:val="0"/>
      <w:divBdr>
        <w:top w:val="none" w:sz="0" w:space="0" w:color="auto"/>
        <w:left w:val="none" w:sz="0" w:space="0" w:color="auto"/>
        <w:bottom w:val="none" w:sz="0" w:space="0" w:color="auto"/>
        <w:right w:val="none" w:sz="0" w:space="0" w:color="auto"/>
      </w:divBdr>
    </w:div>
    <w:div w:id="888105360">
      <w:bodyDiv w:val="1"/>
      <w:marLeft w:val="0"/>
      <w:marRight w:val="0"/>
      <w:marTop w:val="0"/>
      <w:marBottom w:val="0"/>
      <w:divBdr>
        <w:top w:val="none" w:sz="0" w:space="0" w:color="auto"/>
        <w:left w:val="none" w:sz="0" w:space="0" w:color="auto"/>
        <w:bottom w:val="none" w:sz="0" w:space="0" w:color="auto"/>
        <w:right w:val="none" w:sz="0" w:space="0" w:color="auto"/>
      </w:divBdr>
    </w:div>
    <w:div w:id="900946265">
      <w:bodyDiv w:val="1"/>
      <w:marLeft w:val="0"/>
      <w:marRight w:val="0"/>
      <w:marTop w:val="0"/>
      <w:marBottom w:val="0"/>
      <w:divBdr>
        <w:top w:val="none" w:sz="0" w:space="0" w:color="auto"/>
        <w:left w:val="none" w:sz="0" w:space="0" w:color="auto"/>
        <w:bottom w:val="none" w:sz="0" w:space="0" w:color="auto"/>
        <w:right w:val="none" w:sz="0" w:space="0" w:color="auto"/>
      </w:divBdr>
    </w:div>
    <w:div w:id="966279871">
      <w:bodyDiv w:val="1"/>
      <w:marLeft w:val="0"/>
      <w:marRight w:val="0"/>
      <w:marTop w:val="0"/>
      <w:marBottom w:val="0"/>
      <w:divBdr>
        <w:top w:val="none" w:sz="0" w:space="0" w:color="auto"/>
        <w:left w:val="none" w:sz="0" w:space="0" w:color="auto"/>
        <w:bottom w:val="none" w:sz="0" w:space="0" w:color="auto"/>
        <w:right w:val="none" w:sz="0" w:space="0" w:color="auto"/>
      </w:divBdr>
    </w:div>
    <w:div w:id="1001546424">
      <w:bodyDiv w:val="1"/>
      <w:marLeft w:val="0"/>
      <w:marRight w:val="0"/>
      <w:marTop w:val="0"/>
      <w:marBottom w:val="0"/>
      <w:divBdr>
        <w:top w:val="none" w:sz="0" w:space="0" w:color="auto"/>
        <w:left w:val="none" w:sz="0" w:space="0" w:color="auto"/>
        <w:bottom w:val="none" w:sz="0" w:space="0" w:color="auto"/>
        <w:right w:val="none" w:sz="0" w:space="0" w:color="auto"/>
      </w:divBdr>
    </w:div>
    <w:div w:id="1101490101">
      <w:bodyDiv w:val="1"/>
      <w:marLeft w:val="0"/>
      <w:marRight w:val="0"/>
      <w:marTop w:val="0"/>
      <w:marBottom w:val="0"/>
      <w:divBdr>
        <w:top w:val="none" w:sz="0" w:space="0" w:color="auto"/>
        <w:left w:val="none" w:sz="0" w:space="0" w:color="auto"/>
        <w:bottom w:val="none" w:sz="0" w:space="0" w:color="auto"/>
        <w:right w:val="none" w:sz="0" w:space="0" w:color="auto"/>
      </w:divBdr>
    </w:div>
    <w:div w:id="1353074344">
      <w:bodyDiv w:val="1"/>
      <w:marLeft w:val="0"/>
      <w:marRight w:val="0"/>
      <w:marTop w:val="0"/>
      <w:marBottom w:val="0"/>
      <w:divBdr>
        <w:top w:val="none" w:sz="0" w:space="0" w:color="auto"/>
        <w:left w:val="none" w:sz="0" w:space="0" w:color="auto"/>
        <w:bottom w:val="none" w:sz="0" w:space="0" w:color="auto"/>
        <w:right w:val="none" w:sz="0" w:space="0" w:color="auto"/>
      </w:divBdr>
      <w:divsChild>
        <w:div w:id="479932400">
          <w:marLeft w:val="0"/>
          <w:marRight w:val="0"/>
          <w:marTop w:val="0"/>
          <w:marBottom w:val="0"/>
          <w:divBdr>
            <w:top w:val="single" w:sz="2" w:space="0" w:color="E3E3E3"/>
            <w:left w:val="single" w:sz="2" w:space="0" w:color="E3E3E3"/>
            <w:bottom w:val="single" w:sz="2" w:space="0" w:color="E3E3E3"/>
            <w:right w:val="single" w:sz="2" w:space="0" w:color="E3E3E3"/>
          </w:divBdr>
          <w:divsChild>
            <w:div w:id="1322343488">
              <w:marLeft w:val="0"/>
              <w:marRight w:val="0"/>
              <w:marTop w:val="100"/>
              <w:marBottom w:val="100"/>
              <w:divBdr>
                <w:top w:val="single" w:sz="2" w:space="0" w:color="E3E3E3"/>
                <w:left w:val="single" w:sz="2" w:space="0" w:color="E3E3E3"/>
                <w:bottom w:val="single" w:sz="2" w:space="0" w:color="E3E3E3"/>
                <w:right w:val="single" w:sz="2" w:space="0" w:color="E3E3E3"/>
              </w:divBdr>
              <w:divsChild>
                <w:div w:id="1411121988">
                  <w:marLeft w:val="0"/>
                  <w:marRight w:val="0"/>
                  <w:marTop w:val="0"/>
                  <w:marBottom w:val="0"/>
                  <w:divBdr>
                    <w:top w:val="single" w:sz="2" w:space="0" w:color="E3E3E3"/>
                    <w:left w:val="single" w:sz="2" w:space="0" w:color="E3E3E3"/>
                    <w:bottom w:val="single" w:sz="2" w:space="0" w:color="E3E3E3"/>
                    <w:right w:val="single" w:sz="2" w:space="0" w:color="E3E3E3"/>
                  </w:divBdr>
                  <w:divsChild>
                    <w:div w:id="1825899766">
                      <w:marLeft w:val="0"/>
                      <w:marRight w:val="0"/>
                      <w:marTop w:val="0"/>
                      <w:marBottom w:val="0"/>
                      <w:divBdr>
                        <w:top w:val="single" w:sz="2" w:space="0" w:color="E3E3E3"/>
                        <w:left w:val="single" w:sz="2" w:space="0" w:color="E3E3E3"/>
                        <w:bottom w:val="single" w:sz="2" w:space="0" w:color="E3E3E3"/>
                        <w:right w:val="single" w:sz="2" w:space="0" w:color="E3E3E3"/>
                      </w:divBdr>
                      <w:divsChild>
                        <w:div w:id="1776778775">
                          <w:marLeft w:val="0"/>
                          <w:marRight w:val="0"/>
                          <w:marTop w:val="0"/>
                          <w:marBottom w:val="0"/>
                          <w:divBdr>
                            <w:top w:val="single" w:sz="2" w:space="0" w:color="E3E3E3"/>
                            <w:left w:val="single" w:sz="2" w:space="0" w:color="E3E3E3"/>
                            <w:bottom w:val="single" w:sz="2" w:space="0" w:color="E3E3E3"/>
                            <w:right w:val="single" w:sz="2" w:space="0" w:color="E3E3E3"/>
                          </w:divBdr>
                          <w:divsChild>
                            <w:div w:id="63332288">
                              <w:marLeft w:val="0"/>
                              <w:marRight w:val="0"/>
                              <w:marTop w:val="0"/>
                              <w:marBottom w:val="0"/>
                              <w:divBdr>
                                <w:top w:val="single" w:sz="2" w:space="0" w:color="E3E3E3"/>
                                <w:left w:val="single" w:sz="2" w:space="0" w:color="E3E3E3"/>
                                <w:bottom w:val="single" w:sz="2" w:space="0" w:color="E3E3E3"/>
                                <w:right w:val="single" w:sz="2" w:space="0" w:color="E3E3E3"/>
                              </w:divBdr>
                              <w:divsChild>
                                <w:div w:id="1164662667">
                                  <w:marLeft w:val="0"/>
                                  <w:marRight w:val="0"/>
                                  <w:marTop w:val="0"/>
                                  <w:marBottom w:val="0"/>
                                  <w:divBdr>
                                    <w:top w:val="single" w:sz="2" w:space="0" w:color="E3E3E3"/>
                                    <w:left w:val="single" w:sz="2" w:space="0" w:color="E3E3E3"/>
                                    <w:bottom w:val="single" w:sz="2" w:space="0" w:color="E3E3E3"/>
                                    <w:right w:val="single" w:sz="2" w:space="0" w:color="E3E3E3"/>
                                  </w:divBdr>
                                  <w:divsChild>
                                    <w:div w:id="13802760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86820300">
      <w:bodyDiv w:val="1"/>
      <w:marLeft w:val="0"/>
      <w:marRight w:val="0"/>
      <w:marTop w:val="0"/>
      <w:marBottom w:val="0"/>
      <w:divBdr>
        <w:top w:val="none" w:sz="0" w:space="0" w:color="auto"/>
        <w:left w:val="none" w:sz="0" w:space="0" w:color="auto"/>
        <w:bottom w:val="none" w:sz="0" w:space="0" w:color="auto"/>
        <w:right w:val="none" w:sz="0" w:space="0" w:color="auto"/>
      </w:divBdr>
    </w:div>
    <w:div w:id="1600138641">
      <w:bodyDiv w:val="1"/>
      <w:marLeft w:val="0"/>
      <w:marRight w:val="0"/>
      <w:marTop w:val="0"/>
      <w:marBottom w:val="0"/>
      <w:divBdr>
        <w:top w:val="none" w:sz="0" w:space="0" w:color="auto"/>
        <w:left w:val="none" w:sz="0" w:space="0" w:color="auto"/>
        <w:bottom w:val="none" w:sz="0" w:space="0" w:color="auto"/>
        <w:right w:val="none" w:sz="0" w:space="0" w:color="auto"/>
      </w:divBdr>
    </w:div>
    <w:div w:id="1647591090">
      <w:bodyDiv w:val="1"/>
      <w:marLeft w:val="0"/>
      <w:marRight w:val="0"/>
      <w:marTop w:val="0"/>
      <w:marBottom w:val="0"/>
      <w:divBdr>
        <w:top w:val="none" w:sz="0" w:space="0" w:color="auto"/>
        <w:left w:val="none" w:sz="0" w:space="0" w:color="auto"/>
        <w:bottom w:val="none" w:sz="0" w:space="0" w:color="auto"/>
        <w:right w:val="none" w:sz="0" w:space="0" w:color="auto"/>
      </w:divBdr>
    </w:div>
    <w:div w:id="1694839211">
      <w:bodyDiv w:val="1"/>
      <w:marLeft w:val="0"/>
      <w:marRight w:val="0"/>
      <w:marTop w:val="0"/>
      <w:marBottom w:val="0"/>
      <w:divBdr>
        <w:top w:val="none" w:sz="0" w:space="0" w:color="auto"/>
        <w:left w:val="none" w:sz="0" w:space="0" w:color="auto"/>
        <w:bottom w:val="none" w:sz="0" w:space="0" w:color="auto"/>
        <w:right w:val="none" w:sz="0" w:space="0" w:color="auto"/>
      </w:divBdr>
    </w:div>
    <w:div w:id="1782989102">
      <w:bodyDiv w:val="1"/>
      <w:marLeft w:val="0"/>
      <w:marRight w:val="0"/>
      <w:marTop w:val="0"/>
      <w:marBottom w:val="0"/>
      <w:divBdr>
        <w:top w:val="none" w:sz="0" w:space="0" w:color="auto"/>
        <w:left w:val="none" w:sz="0" w:space="0" w:color="auto"/>
        <w:bottom w:val="none" w:sz="0" w:space="0" w:color="auto"/>
        <w:right w:val="none" w:sz="0" w:space="0" w:color="auto"/>
      </w:divBdr>
    </w:div>
    <w:div w:id="1850561603">
      <w:bodyDiv w:val="1"/>
      <w:marLeft w:val="0"/>
      <w:marRight w:val="0"/>
      <w:marTop w:val="0"/>
      <w:marBottom w:val="0"/>
      <w:divBdr>
        <w:top w:val="none" w:sz="0" w:space="0" w:color="auto"/>
        <w:left w:val="none" w:sz="0" w:space="0" w:color="auto"/>
        <w:bottom w:val="none" w:sz="0" w:space="0" w:color="auto"/>
        <w:right w:val="none" w:sz="0" w:space="0" w:color="auto"/>
      </w:divBdr>
    </w:div>
    <w:div w:id="1864202704">
      <w:bodyDiv w:val="1"/>
      <w:marLeft w:val="0"/>
      <w:marRight w:val="0"/>
      <w:marTop w:val="0"/>
      <w:marBottom w:val="0"/>
      <w:divBdr>
        <w:top w:val="none" w:sz="0" w:space="0" w:color="auto"/>
        <w:left w:val="none" w:sz="0" w:space="0" w:color="auto"/>
        <w:bottom w:val="none" w:sz="0" w:space="0" w:color="auto"/>
        <w:right w:val="none" w:sz="0" w:space="0" w:color="auto"/>
      </w:divBdr>
    </w:div>
    <w:div w:id="1909606217">
      <w:bodyDiv w:val="1"/>
      <w:marLeft w:val="0"/>
      <w:marRight w:val="0"/>
      <w:marTop w:val="0"/>
      <w:marBottom w:val="0"/>
      <w:divBdr>
        <w:top w:val="none" w:sz="0" w:space="0" w:color="auto"/>
        <w:left w:val="none" w:sz="0" w:space="0" w:color="auto"/>
        <w:bottom w:val="none" w:sz="0" w:space="0" w:color="auto"/>
        <w:right w:val="none" w:sz="0" w:space="0" w:color="auto"/>
      </w:divBdr>
    </w:div>
    <w:div w:id="1924870586">
      <w:bodyDiv w:val="1"/>
      <w:marLeft w:val="0"/>
      <w:marRight w:val="0"/>
      <w:marTop w:val="0"/>
      <w:marBottom w:val="0"/>
      <w:divBdr>
        <w:top w:val="none" w:sz="0" w:space="0" w:color="auto"/>
        <w:left w:val="none" w:sz="0" w:space="0" w:color="auto"/>
        <w:bottom w:val="none" w:sz="0" w:space="0" w:color="auto"/>
        <w:right w:val="none" w:sz="0" w:space="0" w:color="auto"/>
      </w:divBdr>
    </w:div>
    <w:div w:id="2001960546">
      <w:bodyDiv w:val="1"/>
      <w:marLeft w:val="0"/>
      <w:marRight w:val="0"/>
      <w:marTop w:val="0"/>
      <w:marBottom w:val="0"/>
      <w:divBdr>
        <w:top w:val="none" w:sz="0" w:space="0" w:color="auto"/>
        <w:left w:val="none" w:sz="0" w:space="0" w:color="auto"/>
        <w:bottom w:val="none" w:sz="0" w:space="0" w:color="auto"/>
        <w:right w:val="none" w:sz="0" w:space="0" w:color="auto"/>
      </w:divBdr>
    </w:div>
    <w:div w:id="209967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08954430_Collaboration_in_a_Hyperconnected_World" TargetMode="External"/><Relationship Id="rId3" Type="http://schemas.openxmlformats.org/officeDocument/2006/relationships/settings" Target="settings.xml"/><Relationship Id="rId7" Type="http://schemas.openxmlformats.org/officeDocument/2006/relationships/hyperlink" Target="https://www.forbes.com/sites/carolinecastrillon/2022/11/16/why-employee-monitoring-is-doomed-to-backfi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2912</Words>
  <Characters>16600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Dudan</dc:creator>
  <cp:keywords/>
  <dc:description/>
  <cp:lastModifiedBy>Andra Dudan</cp:lastModifiedBy>
  <cp:revision>2</cp:revision>
  <dcterms:created xsi:type="dcterms:W3CDTF">2024-05-03T08:30:00Z</dcterms:created>
  <dcterms:modified xsi:type="dcterms:W3CDTF">2024-05-03T08:30:00Z</dcterms:modified>
</cp:coreProperties>
</file>