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A765867" w14:paraId="0B75575B" wp14:textId="0281AF8C">
      <w:pPr>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A765867" w14:paraId="7CFDBA2A" wp14:textId="25D2E429">
      <w:pPr>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A765867" w14:paraId="61D17450" wp14:textId="5E6D03AC">
      <w:pPr>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A765867" w14:paraId="70ED2B22" wp14:textId="04E23C7D">
      <w:pPr>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A765867" w14:paraId="467DC2BC" wp14:textId="7EE0B893">
      <w:pPr>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A765867" w14:paraId="6F95E7FC" wp14:textId="226B539A">
      <w:pPr>
        <w:jc w:val="center"/>
      </w:pPr>
      <w:r w:rsidRPr="2A765867" w:rsidR="647F48B3">
        <w:rPr>
          <w:rFonts w:ascii="Arial" w:hAnsi="Arial" w:eastAsia="Arial" w:cs="Arial"/>
          <w:b w:val="0"/>
          <w:bCs w:val="0"/>
          <w:i w:val="0"/>
          <w:iCs w:val="0"/>
          <w:noProof w:val="0"/>
          <w:color w:val="000000" w:themeColor="text1" w:themeTint="FF" w:themeShade="FF"/>
          <w:sz w:val="22"/>
          <w:szCs w:val="22"/>
          <w:lang w:val="en-GB"/>
        </w:rPr>
        <w:t>Teodora Premyanova</w:t>
      </w:r>
    </w:p>
    <w:p xmlns:wp14="http://schemas.microsoft.com/office/word/2010/wordml" w:rsidP="2A765867" w14:paraId="4AC081E1" wp14:textId="2B781F0E">
      <w:pPr>
        <w:jc w:val="center"/>
      </w:pPr>
      <w:r w:rsidRPr="2A765867" w:rsidR="647F48B3">
        <w:rPr>
          <w:rFonts w:ascii="Arial" w:hAnsi="Arial" w:eastAsia="Arial" w:cs="Arial"/>
          <w:b w:val="0"/>
          <w:bCs w:val="0"/>
          <w:i w:val="0"/>
          <w:iCs w:val="0"/>
          <w:noProof w:val="0"/>
          <w:color w:val="000000" w:themeColor="text1" w:themeTint="FF" w:themeShade="FF"/>
          <w:sz w:val="22"/>
          <w:szCs w:val="22"/>
          <w:lang w:val="en-GB"/>
        </w:rPr>
        <w:t>Student number: 1918695</w:t>
      </w:r>
    </w:p>
    <w:p xmlns:wp14="http://schemas.microsoft.com/office/word/2010/wordml" w:rsidP="2A765867" w14:paraId="1845DE69" wp14:textId="5E80BFC1">
      <w:pPr>
        <w:jc w:val="center"/>
      </w:pPr>
      <w:r w:rsidRPr="2A765867" w:rsidR="647F48B3">
        <w:rPr>
          <w:rFonts w:ascii="Arial" w:hAnsi="Arial" w:eastAsia="Arial" w:cs="Arial"/>
          <w:b w:val="0"/>
          <w:bCs w:val="0"/>
          <w:i w:val="0"/>
          <w:iCs w:val="0"/>
          <w:noProof w:val="0"/>
          <w:color w:val="000000" w:themeColor="text1" w:themeTint="FF" w:themeShade="FF"/>
          <w:sz w:val="22"/>
          <w:szCs w:val="22"/>
          <w:lang w:val="en-GB"/>
        </w:rPr>
        <w:t>Academic and Employability skills</w:t>
      </w:r>
    </w:p>
    <w:p xmlns:wp14="http://schemas.microsoft.com/office/word/2010/wordml" w:rsidP="2A765867" w14:paraId="22FC361F" wp14:textId="2E69AC0D">
      <w:pPr>
        <w:jc w:val="center"/>
      </w:pPr>
      <w:r w:rsidRPr="2A765867" w:rsidR="647F48B3">
        <w:rPr>
          <w:rFonts w:ascii="Arial" w:hAnsi="Arial" w:eastAsia="Arial" w:cs="Arial"/>
          <w:b w:val="0"/>
          <w:bCs w:val="0"/>
          <w:i w:val="0"/>
          <w:iCs w:val="0"/>
          <w:noProof w:val="0"/>
          <w:color w:val="000000" w:themeColor="text1" w:themeTint="FF" w:themeShade="FF"/>
          <w:sz w:val="22"/>
          <w:szCs w:val="22"/>
          <w:lang w:val="en-GB"/>
        </w:rPr>
        <w:t>Employability</w:t>
      </w:r>
    </w:p>
    <w:p xmlns:wp14="http://schemas.microsoft.com/office/word/2010/wordml" w:rsidP="2A765867" w14:paraId="0AB1A311" wp14:textId="4E38EA0F">
      <w:pPr>
        <w:jc w:val="center"/>
      </w:pPr>
      <w:r w:rsidRPr="2A765867" w:rsidR="647F48B3">
        <w:rPr>
          <w:rFonts w:ascii="Arial" w:hAnsi="Arial" w:eastAsia="Arial" w:cs="Arial"/>
          <w:b w:val="0"/>
          <w:bCs w:val="0"/>
          <w:i w:val="0"/>
          <w:iCs w:val="0"/>
          <w:noProof w:val="0"/>
          <w:color w:val="000000" w:themeColor="text1" w:themeTint="FF" w:themeShade="FF"/>
          <w:sz w:val="22"/>
          <w:szCs w:val="22"/>
          <w:lang w:val="en-GB"/>
        </w:rPr>
        <w:t>Task 1</w:t>
      </w:r>
    </w:p>
    <w:p xmlns:wp14="http://schemas.microsoft.com/office/word/2010/wordml" w:rsidP="2A765867" w14:paraId="51140697" wp14:textId="1613FA30">
      <w:pPr>
        <w:jc w:val="center"/>
      </w:pPr>
      <w:r w:rsidRPr="2A765867" w:rsidR="647F48B3">
        <w:rPr>
          <w:rFonts w:ascii="Arial" w:hAnsi="Arial" w:eastAsia="Arial" w:cs="Arial"/>
          <w:b w:val="0"/>
          <w:bCs w:val="0"/>
          <w:i w:val="0"/>
          <w:iCs w:val="0"/>
          <w:noProof w:val="0"/>
          <w:color w:val="000000" w:themeColor="text1" w:themeTint="FF" w:themeShade="FF"/>
          <w:sz w:val="22"/>
          <w:szCs w:val="22"/>
          <w:lang w:val="en-GB"/>
        </w:rPr>
        <w:t>Magdalena Wronska</w:t>
      </w:r>
    </w:p>
    <w:p xmlns:wp14="http://schemas.microsoft.com/office/word/2010/wordml" w:rsidP="2A765867" w14:paraId="4402A635" wp14:textId="233E01E3">
      <w:pPr>
        <w:jc w:val="cente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14:paraId="70A7E84A" wp14:textId="3AC0241E">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14:paraId="5198BABE" wp14:textId="228FACDC">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14:paraId="0842ECDC" wp14:textId="58E7FD35">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14:paraId="10CFA0D2" wp14:textId="26773293">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14:paraId="1807E278" wp14:textId="19FCB10E">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14:paraId="00E5962B" wp14:textId="490BDC7F">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14:paraId="3FC72958" wp14:textId="4D4738F1">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181D3301" wp14:textId="5674CCB2">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18913631" wp14:textId="44092F95">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7F4DD319" wp14:textId="4436267F">
      <w:pPr>
        <w:jc w:val="both"/>
        <w:rPr>
          <w:rFonts w:ascii="Arial" w:hAnsi="Arial" w:eastAsia="Arial" w:cs="Arial"/>
          <w:b w:val="0"/>
          <w:bCs w:val="0"/>
          <w:i w:val="0"/>
          <w:iCs w:val="0"/>
          <w:noProof w:val="0"/>
          <w:color w:val="000000" w:themeColor="text1" w:themeTint="FF" w:themeShade="FF"/>
          <w:sz w:val="22"/>
          <w:szCs w:val="22"/>
          <w:u w:val="single"/>
          <w:lang w:val="en-GB"/>
        </w:rPr>
      </w:pPr>
      <w:r w:rsidRPr="2A765867" w:rsidR="647F48B3">
        <w:rPr>
          <w:rFonts w:ascii="Arial" w:hAnsi="Arial" w:eastAsia="Arial" w:cs="Arial"/>
          <w:b w:val="0"/>
          <w:bCs w:val="0"/>
          <w:i w:val="0"/>
          <w:iCs w:val="0"/>
          <w:noProof w:val="0"/>
          <w:color w:val="000000" w:themeColor="text1" w:themeTint="FF" w:themeShade="FF"/>
          <w:sz w:val="22"/>
          <w:szCs w:val="22"/>
          <w:u w:val="single"/>
          <w:lang w:val="en-GB"/>
        </w:rPr>
        <w:t xml:space="preserve"> </w:t>
      </w:r>
    </w:p>
    <w:p xmlns:wp14="http://schemas.microsoft.com/office/word/2010/wordml" w:rsidP="2A765867" w14:paraId="01FC1BA3" wp14:textId="03FAFCE7">
      <w:pPr>
        <w:jc w:val="both"/>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INTRODUCTION</w:t>
      </w:r>
    </w:p>
    <w:p xmlns:wp14="http://schemas.microsoft.com/office/word/2010/wordml" w:rsidP="2A765867" w14:paraId="33DFB24C" wp14:textId="61E9A018">
      <w:pPr>
        <w:pStyle w:val="Normal"/>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Employability can be defined as the set of skills, understandings and accomplishments a person should possess, which would make them capable of achieving and maintaining employment. Different jobs and departments require and are looking for different employability skills</w:t>
      </w:r>
      <w:r w:rsidRPr="2A765867" w:rsidR="65E13C6C">
        <w:rPr>
          <w:rFonts w:ascii="Arial" w:hAnsi="Arial" w:eastAsia="Arial" w:cs="Arial"/>
          <w:b w:val="0"/>
          <w:bCs w:val="0"/>
          <w:i w:val="0"/>
          <w:iCs w:val="0"/>
          <w:noProof w:val="0"/>
          <w:color w:val="000000" w:themeColor="text1" w:themeTint="FF" w:themeShade="FF"/>
          <w:sz w:val="22"/>
          <w:szCs w:val="22"/>
          <w:lang w:val="en-GB"/>
        </w:rPr>
        <w:t xml:space="preserve"> (See Appendix E)</w:t>
      </w:r>
      <w:r w:rsidRPr="2A765867" w:rsidR="647F48B3">
        <w:rPr>
          <w:rFonts w:ascii="Arial" w:hAnsi="Arial" w:eastAsia="Arial" w:cs="Arial"/>
          <w:b w:val="0"/>
          <w:bCs w:val="0"/>
          <w:i w:val="0"/>
          <w:iCs w:val="0"/>
          <w:noProof w:val="0"/>
          <w:color w:val="000000" w:themeColor="text1" w:themeTint="FF" w:themeShade="FF"/>
          <w:sz w:val="22"/>
          <w:szCs w:val="22"/>
          <w:lang w:val="en-GB"/>
        </w:rPr>
        <w:t>, which therefore determine how eligible the applicant is for that specific job. This also means that employability and its range of theories can be hard to classify, as there are many factors in the concept of being employable. Jobs and employs usually seek generic skills (usually referred to as ‘soft’ skills).This report will vividly cover and discuss the contrasting perspectives and outlooks of employability, and the variety of skills that should be acquired and sustained, in order to progress towards successful employability.</w:t>
      </w:r>
      <w:r w:rsidRPr="2A765867" w:rsidR="22EEDCD1">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5F19115D" wp14:textId="53CACFA5">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7A499197" wp14:textId="4E46ED52">
      <w:pPr>
        <w:jc w:val="both"/>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Evidence 1</w:t>
      </w:r>
    </w:p>
    <w:p xmlns:wp14="http://schemas.microsoft.com/office/word/2010/wordml" w:rsidP="2A765867" w14:paraId="2C0D9D0F" wp14:textId="57FC13FA">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Although there are many common employability skills, demands for them have changed over time. ‘The VET era’ and ‘Growing opportunities in the Fraser coast’ are two reports which explain the importance of STEM skills.  The VET Era report (Brothers, 2017) states that although STEM skills are given a lot of attention, their research proves that communication skills are becoming increasingly important. This argues that occupations are now requiring a range of people skills instead of just STEM skills, and they are becoming progressively essential and appealing, which gives us a concise idea of what employers are currently looking for in employees. Alongside with the VET era report, the Growing opportunities in the Fraser coast report (Reeson, Mason, Sanderson, 2017) explains delivery service and people skills should be a core focusing area, as it enhances the customer's experience. This points out that it is crucial to be focused on your people-skills in order to provide dynamic service. A CSIRO research (Reeson, Mason, Sanderson, 2017) shows that demand for communication skills are growing faster than Generic STEM, Specific STEM and Technical skills; in an analysis that examined the average growth in demand for skillsets in 2009-2016, communication skills are most looked for, with 15.7% demands. As our current day occupations are becoming more technologically dependent and approximately 40% of our workers will one day be replaced by robots, they </w:t>
      </w:r>
      <w:r w:rsidRPr="2A765867" w:rsidR="647F48B3">
        <w:rPr>
          <w:rFonts w:ascii="Arial" w:hAnsi="Arial" w:eastAsia="Arial" w:cs="Arial"/>
          <w:b w:val="0"/>
          <w:bCs w:val="0"/>
          <w:i w:val="0"/>
          <w:iCs w:val="0"/>
          <w:noProof w:val="0"/>
          <w:color w:val="000000" w:themeColor="text1" w:themeTint="FF" w:themeShade="FF"/>
          <w:sz w:val="22"/>
          <w:szCs w:val="22"/>
          <w:lang w:val="en-GB"/>
        </w:rPr>
        <w:t>must</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adapt to employability skills that would make them different from machine workers. These include the ability of collaboration and teamwork, critical thinking, eagerness to gain new skills and knowledge and being able to manage your time efficiently. Although traditional STEM skills have been going through a decreasing growth, professionals in the STEM industry have been making a higher income as they work with a balance of traditional STEM skills and social, computer-interacting skills. This allows them to be more productive in their field and have more experience and technique with working with technology, whereas those who lack people-focused skills will not.</w:t>
      </w:r>
    </w:p>
    <w:p xmlns:wp14="http://schemas.microsoft.com/office/word/2010/wordml" w:rsidP="2A765867" w14:paraId="6B55E1B3" wp14:textId="50AE7D9C">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3DBF7E98" wp14:textId="5DDACDC4">
      <w:pPr>
        <w:jc w:val="both"/>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Evidence 2</w:t>
      </w:r>
    </w:p>
    <w:p xmlns:wp14="http://schemas.microsoft.com/office/word/2010/wordml" w:rsidP="2A765867" w14:paraId="1C9BF3DB" wp14:textId="491E13B3">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Peter Morgan’s Business student study guide to study and employability (Morgan, 2016) discusses the importance of different employability skills, and how you can begin adapting to these skills. In his Part 2 of the book (‘Learning how to study’), he discusses time management. His perspective of time management is: ‘’There is probably no such thing as time management. It is not really something that can be managed or controlled – time is there regardless of what we do.’’ However, he then contradicts with his own opinion by saying that the time management skill is still important as it’s our ability to use our time effectively. A research by George et .al (2008) shows evidence of a strong association with a student’s time management abilities and their academic success. Being good at time management means that you should know how to find a healthy balance of leisure time and study time, be able to work for a long period of time and be capable of doing everything you need to get done without getting distracted. To conclude, Peter Morgan really believes that since controlling time is not possible, it is important we control our lives instead, and control what may be stopping us from managing our time.  Self-reflecting is a good learning strategy to do. Asking yourself questions can really help – these questions can be: ‘What goals can I set?’, ‘Are my goals specific?’, ‘Are my goals too easy or too difficult for me?’, ‘What usually distracts me from my work?’ Reflecting on yourself gives you a clear understanding of where you should focus and what goals to aim for in the future. Analysing your reflections and your goals can also be very efficient. An analysis that really helps determine your goals is the SWOT analysis. It gives you a clear idea of your strengths, opportunities, weaknesses and threats and this can help decide where you see yourself in the long run of your achievements. It also contributes to your employability, because setting goals and using your time efficiently enough to complete those goals enhances your employability skills and self-discipline.</w:t>
      </w:r>
    </w:p>
    <w:p xmlns:wp14="http://schemas.microsoft.com/office/word/2010/wordml" w:rsidP="2A765867" w14:paraId="7BCB1D2D" wp14:textId="53AED6CD">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0375C6D2" wp14:textId="6D6009EB">
      <w:pPr>
        <w:jc w:val="both"/>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Evidence 3 - models and theories of employability</w:t>
      </w:r>
    </w:p>
    <w:p xmlns:wp14="http://schemas.microsoft.com/office/word/2010/wordml" w:rsidP="2A765867" w14:paraId="6096CA8C" wp14:textId="6CFB145D">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Seeing as perspectives on employability vary, I will now discuss the different models and theories of employability. One of the most well-known is the USEM account of employability (Yorke &amp; Knight, 2004) USEM stands for:</w:t>
      </w:r>
    </w:p>
    <w:p xmlns:wp14="http://schemas.microsoft.com/office/word/2010/wordml" w:rsidP="2A765867" w14:paraId="72529A18" wp14:textId="22C03931">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Understanding</w:t>
      </w:r>
    </w:p>
    <w:p xmlns:wp14="http://schemas.microsoft.com/office/word/2010/wordml" w:rsidP="2A765867" w14:paraId="2498676E" wp14:textId="5EFCBD80">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Skills</w:t>
      </w:r>
    </w:p>
    <w:p xmlns:wp14="http://schemas.microsoft.com/office/word/2010/wordml" w:rsidP="2A765867" w14:paraId="22228BED" wp14:textId="7D7280E2">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Efficacy beliefs</w:t>
      </w:r>
    </w:p>
    <w:p xmlns:wp14="http://schemas.microsoft.com/office/word/2010/wordml" w:rsidP="2A765867" w14:paraId="05C932F4" wp14:textId="69179791">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Metacognition</w:t>
      </w:r>
    </w:p>
    <w:p xmlns:wp14="http://schemas.microsoft.com/office/word/2010/wordml" w:rsidP="2A765867" w14:paraId="2BD1BFD2" wp14:textId="7F26F9D6">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Peter T Knight and Mantz Yorke believe that: ‘’There are correlations between deep learning and a personal commitment to the pursuit of learning goals, and between surface learning and an orientation towards performance.’’  This means that when you aim for a goal in employability, you should try not having any limits in your learning. It’s important to focus on the commitment you have for yourself and going into depth about what you are learning. This is more effective than surface learning, as surface learning only limits the amount you can learn. According to Peter T Knight and Mantz Yorke, there are three main aspects of employability that are very beneficial and most looked for in employees. Majority of key employability skills fit into these three aspects.</w:t>
      </w:r>
    </w:p>
    <w:p xmlns:wp14="http://schemas.microsoft.com/office/word/2010/wordml" w:rsidP="2A765867" w14:paraId="6586BC01" wp14:textId="5D825787">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These are:</w:t>
      </w:r>
    </w:p>
    <w:p xmlns:wp14="http://schemas.microsoft.com/office/word/2010/wordml" w:rsidP="2A765867" w14:paraId="77C37DA3" wp14:textId="670EF344">
      <w:pPr>
        <w:ind w:left="360" w:hanging="360"/>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1.</w:t>
      </w:r>
      <w:r w:rsidRPr="2A765867" w:rsidR="647F48B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Personal Qualities (willingness to participate and perform, self-awareness, independence, stress tolerance)</w:t>
      </w:r>
    </w:p>
    <w:p xmlns:wp14="http://schemas.microsoft.com/office/word/2010/wordml" w:rsidP="2A765867" w14:paraId="395863A6" wp14:textId="0ED96B24">
      <w:pPr>
        <w:ind w:left="360" w:hanging="360"/>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2.</w:t>
      </w:r>
      <w:r w:rsidRPr="2A765867" w:rsidR="647F48B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Core skills (oral presentations, creativity, listening, explaining)</w:t>
      </w:r>
    </w:p>
    <w:p xmlns:wp14="http://schemas.microsoft.com/office/word/2010/wordml" w:rsidP="2A765867" w14:paraId="6D387D4F" wp14:textId="035DF528">
      <w:pPr>
        <w:ind w:left="360" w:hanging="360"/>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3.</w:t>
      </w:r>
      <w:r w:rsidRPr="2A765867" w:rsidR="647F48B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Progress skills (planning, </w:t>
      </w:r>
      <w:r w:rsidRPr="2A765867" w:rsidR="647F48B3">
        <w:rPr>
          <w:rFonts w:ascii="Arial" w:hAnsi="Arial" w:eastAsia="Arial" w:cs="Arial"/>
          <w:b w:val="0"/>
          <w:bCs w:val="0"/>
          <w:i w:val="0"/>
          <w:iCs w:val="0"/>
          <w:noProof w:val="0"/>
          <w:color w:val="000000" w:themeColor="text1" w:themeTint="FF" w:themeShade="FF"/>
          <w:sz w:val="22"/>
          <w:szCs w:val="22"/>
          <w:lang w:val="en-GB"/>
        </w:rPr>
        <w:t>teamwork</w:t>
      </w:r>
      <w:r w:rsidRPr="2A765867" w:rsidR="647F48B3">
        <w:rPr>
          <w:rFonts w:ascii="Arial" w:hAnsi="Arial" w:eastAsia="Arial" w:cs="Arial"/>
          <w:b w:val="0"/>
          <w:bCs w:val="0"/>
          <w:i w:val="0"/>
          <w:iCs w:val="0"/>
          <w:noProof w:val="0"/>
          <w:color w:val="000000" w:themeColor="text1" w:themeTint="FF" w:themeShade="FF"/>
          <w:sz w:val="22"/>
          <w:szCs w:val="22"/>
          <w:lang w:val="en-GB"/>
        </w:rPr>
        <w:t>, negotiation, problem solving)</w:t>
      </w:r>
    </w:p>
    <w:p xmlns:wp14="http://schemas.microsoft.com/office/word/2010/wordml" w:rsidP="2A765867" w14:paraId="65EF7125" wp14:textId="12DC5466">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These three aspects categorise all the core employability skills that are most desirable in the current days.</w:t>
      </w:r>
    </w:p>
    <w:p xmlns:wp14="http://schemas.microsoft.com/office/word/2010/wordml" w:rsidP="2A765867" w14:paraId="26FAE9C0" wp14:textId="5F64C46D">
      <w:pPr>
        <w:jc w:val="both"/>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 xml:space="preserve">Evidence 4 </w:t>
      </w:r>
    </w:p>
    <w:p xmlns:wp14="http://schemas.microsoft.com/office/word/2010/wordml" w:rsidP="2A765867" w14:paraId="78CF33B7" wp14:textId="17182685">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Another model of employability that is very well-known and commonly used for career and academic guidance is the DOTS (decision-making, opportunity awareness, transition learning and </w:t>
      </w:r>
      <w:r w:rsidRPr="2A765867" w:rsidR="647F48B3">
        <w:rPr>
          <w:rFonts w:ascii="Arial" w:hAnsi="Arial" w:eastAsia="Arial" w:cs="Arial"/>
          <w:b w:val="0"/>
          <w:bCs w:val="0"/>
          <w:i w:val="0"/>
          <w:iCs w:val="0"/>
          <w:noProof w:val="0"/>
          <w:color w:val="000000" w:themeColor="text1" w:themeTint="FF" w:themeShade="FF"/>
          <w:sz w:val="22"/>
          <w:szCs w:val="22"/>
          <w:lang w:val="en-GB"/>
        </w:rPr>
        <w:t>self-awareness</w:t>
      </w:r>
      <w:r w:rsidRPr="2A765867" w:rsidR="647F48B3">
        <w:rPr>
          <w:rFonts w:ascii="Arial" w:hAnsi="Arial" w:eastAsia="Arial" w:cs="Arial"/>
          <w:b w:val="0"/>
          <w:bCs w:val="0"/>
          <w:i w:val="0"/>
          <w:iCs w:val="0"/>
          <w:noProof w:val="0"/>
          <w:color w:val="000000" w:themeColor="text1" w:themeTint="FF" w:themeShade="FF"/>
          <w:sz w:val="22"/>
          <w:szCs w:val="22"/>
          <w:lang w:val="en-GB"/>
        </w:rPr>
        <w:t>) model developed by Professor A.G Watts in 1977. This module contradicts slightly from the USEM model, because this model’s main components differ from the USEM model. They both find different key aspects the most important. Even though the DOTS model was developed a while ago, it is still interpreted very frequently for career development.</w:t>
      </w:r>
    </w:p>
    <w:p xmlns:wp14="http://schemas.microsoft.com/office/word/2010/wordml" w:rsidP="2A765867" w14:paraId="6DBB46B2" wp14:textId="1B6B9AAF">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Watts explained that although there are many theories and approaches to careers, education and employability in general, the most widely used in the UK have come from:</w:t>
      </w:r>
    </w:p>
    <w:p xmlns:wp14="http://schemas.microsoft.com/office/word/2010/wordml" w:rsidP="2A765867" w14:paraId="5CEECAEC" wp14:textId="0EFC300A">
      <w:pPr>
        <w:ind w:left="360" w:hanging="360"/>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w:t>
      </w:r>
      <w:r w:rsidRPr="2A765867" w:rsidR="647F48B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Self-awareness (interests, skills, values, practical skills)</w:t>
      </w:r>
    </w:p>
    <w:p xmlns:wp14="http://schemas.microsoft.com/office/word/2010/wordml" w:rsidP="2A765867" w14:paraId="42F4BD81" wp14:textId="105AD1D9">
      <w:pPr>
        <w:ind w:left="360" w:hanging="360"/>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w:t>
      </w:r>
      <w:r w:rsidRPr="2A765867" w:rsidR="647F48B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Opportunity awareness (rewards, limitations, demands for specific areas and roles)</w:t>
      </w:r>
    </w:p>
    <w:p xmlns:wp14="http://schemas.microsoft.com/office/word/2010/wordml" w:rsidP="2A765867" w14:paraId="6977C27F" wp14:textId="0C54497F">
      <w:pPr>
        <w:ind w:left="360" w:hanging="360"/>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w:t>
      </w:r>
      <w:r w:rsidRPr="2A765867" w:rsidR="647F48B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Decision-making (responsibilities, understanding risk taking, approaches to making decisions)</w:t>
      </w:r>
    </w:p>
    <w:p xmlns:wp14="http://schemas.microsoft.com/office/word/2010/wordml" w:rsidP="2A765867" w14:paraId="3B520D9C" wp14:textId="24F143DB">
      <w:pPr>
        <w:ind w:left="360" w:hanging="360"/>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w:t>
      </w:r>
      <w:r w:rsidRPr="2A765867" w:rsidR="647F48B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1BB328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Transition learning (getting used to a professional life in your job, handling new situations, using your current learning for the future)</w:t>
      </w:r>
    </w:p>
    <w:p xmlns:wp14="http://schemas.microsoft.com/office/word/2010/wordml" w:rsidP="2A765867" w14:paraId="5F2861B0" wp14:textId="3B2B9C34">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These four categories are very crucial to employability. A lot of jobs and departments are trying to find employees that have a flexible balance of all four aspects. For instance, the NHS recommends that when you’re planning your career and trying to find a suitable job, you should make sure you’re focusing on self-assessment, exploring your options, decision-making and applications and interviews.</w:t>
      </w:r>
    </w:p>
    <w:p xmlns:wp14="http://schemas.microsoft.com/office/word/2010/wordml" w:rsidP="2A765867" w14:paraId="56427C7D" wp14:textId="355CFCEA">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As you can see, the NHS recommends very similar focusing areas to the DOTS model. Both say that you should be aware and assess yourself and your skills, you should explore your opportunities and options and that you should be good at decision-making.  This means that although the DOTS model was discovered a while ago, it is still very reliable, since the factors are professionally recommended by the NHS and show that they are appealing to employers and companies.</w:t>
      </w:r>
    </w:p>
    <w:p xmlns:wp14="http://schemas.microsoft.com/office/word/2010/wordml" w:rsidP="2A765867" w14:paraId="2B737BAD" wp14:textId="0F700F66">
      <w:pPr>
        <w:jc w:val="both"/>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 xml:space="preserve">Evidence 5 </w:t>
      </w:r>
    </w:p>
    <w:p xmlns:wp14="http://schemas.microsoft.com/office/word/2010/wordml" w:rsidP="2A765867" w14:paraId="65901B86" wp14:textId="48100C5D">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Many universities in the UK, such as Oxford and UCL (university college London), find it crucial to strive for their students to enhance their employability and career skills. For instance, Oxford University has a range of different opportunities that contribute to the development of skills – for example, if you take an intellectually demanding academic course, this will adapt you to a demanding work environment. Taking this type of course will better your abilities of researching, presenting and defending an argument, gaining experience with project and practical work and having the capability of taking the lead and actively participating. Oxford students (both postgraduate and undergraduate) are overall better at the key employability skills than an average student and majority of them begin working within six months of their graduation, whereas only less than 5% of graduated students are unemployed within those months (a survey of employers and recruiters has reported).</w:t>
      </w:r>
    </w:p>
    <w:p xmlns:wp14="http://schemas.microsoft.com/office/word/2010/wordml" w:rsidP="2A765867" w14:paraId="75409E2A" wp14:textId="77E728D9">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Likewise, postgraduate and undergraduate UCL students are also successful at employability, with 90% of students starting work or further study throughout the six months after their graduation; the average salary of these students was £26,000 in 2017.  UCL also provides opportunities, as they organise many events to offer students the support and career advice they may need. These events are becoming increasingly popular amongst employers, seeing as over 900 employers attend these events yearly and participate in employer presentations and career talks. These events also include one-to-one advice sessions, networking events and sector themed weeks.</w:t>
      </w:r>
    </w:p>
    <w:p xmlns:wp14="http://schemas.microsoft.com/office/word/2010/wordml" w:rsidP="2A765867" w14:paraId="3DFF53A5" wp14:textId="2E372BBE">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The university additionally has connections to 4,000 employers from the UK and across the world. Regarding that, UCL Careers and Student’s Union UCL have developed a specific programme (‘Skill Sessions’) where employers go into campus and take part in coaching students about the factors of leadership, problem solving and effective negotiation. They share what set of skills and qualities they tend to look for in a desirable employ.</w:t>
      </w:r>
    </w:p>
    <w:p xmlns:wp14="http://schemas.microsoft.com/office/word/2010/wordml" w:rsidP="2A765867" w14:paraId="1CB64D36" wp14:textId="48B1A0D8">
      <w:pPr>
        <w:jc w:val="both"/>
        <w:rPr>
          <w:sz w:val="22"/>
          <w:szCs w:val="22"/>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Due to </w:t>
      </w:r>
      <w:r w:rsidRPr="2A765867" w:rsidR="16681CF2">
        <w:rPr>
          <w:rFonts w:ascii="Arial" w:hAnsi="Arial" w:eastAsia="Arial" w:cs="Arial"/>
          <w:b w:val="0"/>
          <w:bCs w:val="0"/>
          <w:i w:val="0"/>
          <w:iCs w:val="0"/>
          <w:noProof w:val="0"/>
          <w:color w:val="000000" w:themeColor="text1" w:themeTint="FF" w:themeShade="FF"/>
          <w:sz w:val="22"/>
          <w:szCs w:val="22"/>
          <w:lang w:val="en-GB"/>
        </w:rPr>
        <w:t>all</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the arranged occasions and experiences UCL has given to their students, it has been rewarded an Employer Review of 99.5/100 in the QS World Top University Rankings that occurred in 2018.  Currently, they are 8</w:t>
      </w:r>
      <w:r w:rsidRPr="2A765867" w:rsidR="647F48B3">
        <w:rPr>
          <w:rFonts w:ascii="Arial" w:hAnsi="Arial" w:eastAsia="Arial" w:cs="Arial"/>
          <w:b w:val="0"/>
          <w:bCs w:val="0"/>
          <w:i w:val="0"/>
          <w:iCs w:val="0"/>
          <w:noProof w:val="0"/>
          <w:color w:val="000000" w:themeColor="text1" w:themeTint="FF" w:themeShade="FF"/>
          <w:sz w:val="22"/>
          <w:szCs w:val="22"/>
          <w:vertAlign w:val="superscript"/>
          <w:lang w:val="en-GB"/>
        </w:rPr>
        <w:t>th</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in the world, 4</w:t>
      </w:r>
      <w:r w:rsidRPr="2A765867" w:rsidR="647F48B3">
        <w:rPr>
          <w:rFonts w:ascii="Arial" w:hAnsi="Arial" w:eastAsia="Arial" w:cs="Arial"/>
          <w:b w:val="0"/>
          <w:bCs w:val="0"/>
          <w:i w:val="0"/>
          <w:iCs w:val="0"/>
          <w:noProof w:val="0"/>
          <w:color w:val="000000" w:themeColor="text1" w:themeTint="FF" w:themeShade="FF"/>
          <w:sz w:val="22"/>
          <w:szCs w:val="22"/>
          <w:vertAlign w:val="superscript"/>
          <w:lang w:val="en-GB"/>
        </w:rPr>
        <w:t>th</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in Europe and 1</w:t>
      </w:r>
      <w:r w:rsidRPr="2A765867" w:rsidR="647F48B3">
        <w:rPr>
          <w:rFonts w:ascii="Arial" w:hAnsi="Arial" w:eastAsia="Arial" w:cs="Arial"/>
          <w:b w:val="0"/>
          <w:bCs w:val="0"/>
          <w:i w:val="0"/>
          <w:iCs w:val="0"/>
          <w:noProof w:val="0"/>
          <w:color w:val="000000" w:themeColor="text1" w:themeTint="FF" w:themeShade="FF"/>
          <w:sz w:val="22"/>
          <w:szCs w:val="22"/>
          <w:vertAlign w:val="superscript"/>
          <w:lang w:val="en-GB"/>
        </w:rPr>
        <w:t>st</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in London. Their students are successfully equipped with the employability skills they will need after graduation and have received reliable advice straight from employers. The fact that some of the top universities in the UK are providing a range of ways for their students to build on their employability skills shows how important both academic and people skills are. </w:t>
      </w:r>
      <w:r>
        <w:br/>
      </w:r>
    </w:p>
    <w:p xmlns:wp14="http://schemas.microsoft.com/office/word/2010/wordml" w:rsidP="2A765867" w14:paraId="15CD4E0E" wp14:textId="33A2ECC9">
      <w:pPr>
        <w:jc w:val="both"/>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CONCLUSION</w:t>
      </w:r>
    </w:p>
    <w:p xmlns:wp14="http://schemas.microsoft.com/office/word/2010/wordml" w:rsidP="2A765867" w14:paraId="2D66A245" wp14:textId="72F8D1B1">
      <w:pPr>
        <w:jc w:val="both"/>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From personal experience, I know that employability skills are very important in every job. I spent 10 years in Bulgaria working as an accountant </w:t>
      </w:r>
      <w:r w:rsidRPr="2A765867" w:rsidR="647F48B3">
        <w:rPr>
          <w:rFonts w:ascii="Arial" w:hAnsi="Arial" w:eastAsia="Arial" w:cs="Arial"/>
          <w:b w:val="0"/>
          <w:bCs w:val="0"/>
          <w:i w:val="0"/>
          <w:iCs w:val="0"/>
          <w:noProof w:val="0"/>
          <w:color w:val="000000" w:themeColor="text1" w:themeTint="FF" w:themeShade="FF"/>
          <w:sz w:val="22"/>
          <w:szCs w:val="22"/>
          <w:lang w:val="en-GB"/>
        </w:rPr>
        <w:t>assistant and</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have had to adapt to working with many people. This helped my </w:t>
      </w:r>
      <w:r w:rsidRPr="2A765867" w:rsidR="647F48B3">
        <w:rPr>
          <w:rFonts w:ascii="Arial" w:hAnsi="Arial" w:eastAsia="Arial" w:cs="Arial"/>
          <w:b w:val="0"/>
          <w:bCs w:val="0"/>
          <w:i w:val="0"/>
          <w:iCs w:val="0"/>
          <w:noProof w:val="0"/>
          <w:color w:val="000000" w:themeColor="text1" w:themeTint="FF" w:themeShade="FF"/>
          <w:sz w:val="22"/>
          <w:szCs w:val="22"/>
          <w:lang w:val="en-GB"/>
        </w:rPr>
        <w:t>teamwork</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skills and my communication skills; I can work productively with a team and communicate with others calmly, even when put under pressure. This has also helped me build on my time management skills and has made me a more organised person. Currently, I work with children, which has contributed to my skills of patience, communication, listening and problem-solving. In conclusion, this has contributed to my understanding of employability and how employability skills are the most significant element of outstanding employability. Personal experiences, models, reports, statistics, professional advice and university opportunities all believe that to obtain and maintain an occupation, you should always strive towards people skills and the skills that can make you stand out as the best fitting. The employability skills seen as most important can differ depending on the model (such as the USEM and DOTS model), nevertheless they all interpret the same key skills in their examples and explanations: problem solving, communication and time management. Research and statistics (like the CSIRO research) establish evidence of communication and people skills demands rapidly increasing and becoming more looked for as time goes by and technology advances.</w:t>
      </w:r>
    </w:p>
    <w:p xmlns:wp14="http://schemas.microsoft.com/office/word/2010/wordml" w:rsidP="2A765867" w14:paraId="25606ECA" wp14:textId="2B0B7D7A">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78B740A5" wp14:textId="3E0C7C0E">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4418FD60" wp14:textId="544D45AD">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58D362CB" wp14:textId="1A389F94">
      <w:pPr>
        <w:rPr>
          <w:rFonts w:ascii="Arial" w:hAnsi="Arial" w:eastAsia="Arial" w:cs="Arial"/>
          <w:b w:val="1"/>
          <w:bCs w:val="1"/>
          <w:i w:val="1"/>
          <w:iCs w:val="1"/>
          <w:noProof w:val="0"/>
          <w:color w:val="000000" w:themeColor="text1" w:themeTint="FF" w:themeShade="FF"/>
          <w:sz w:val="22"/>
          <w:szCs w:val="22"/>
          <w:u w:val="single"/>
          <w:lang w:val="en-GB"/>
        </w:rPr>
      </w:pPr>
    </w:p>
    <w:p xmlns:wp14="http://schemas.microsoft.com/office/word/2010/wordml" w:rsidP="2A765867" w14:paraId="490D1830" wp14:textId="50823AAB">
      <w:pPr>
        <w:jc w:val="center"/>
        <w:rPr>
          <w:rFonts w:ascii="Arial" w:hAnsi="Arial" w:eastAsia="Arial" w:cs="Arial"/>
          <w:b w:val="1"/>
          <w:bCs w:val="1"/>
          <w:i w:val="1"/>
          <w:iCs w:val="1"/>
          <w:noProof w:val="0"/>
          <w:color w:val="000000" w:themeColor="text1" w:themeTint="FF" w:themeShade="FF"/>
          <w:sz w:val="22"/>
          <w:szCs w:val="22"/>
          <w:u w:val="single"/>
          <w:lang w:val="en-GB"/>
        </w:rPr>
      </w:pPr>
    </w:p>
    <w:p xmlns:wp14="http://schemas.microsoft.com/office/word/2010/wordml" w:rsidP="2A765867" w14:paraId="47680926" wp14:textId="2AA929DB">
      <w:pPr>
        <w:rPr>
          <w:rFonts w:ascii="Arial" w:hAnsi="Arial" w:eastAsia="Arial" w:cs="Arial"/>
          <w:b w:val="1"/>
          <w:bCs w:val="1"/>
          <w:i w:val="0"/>
          <w:iCs w:val="0"/>
          <w:noProof w:val="0"/>
          <w:color w:val="000000" w:themeColor="text1" w:themeTint="FF" w:themeShade="FF"/>
          <w:sz w:val="22"/>
          <w:szCs w:val="22"/>
          <w:u w:val="single"/>
          <w:lang w:val="en-GB"/>
        </w:rPr>
      </w:pPr>
      <w:r w:rsidRPr="2A765867" w:rsidR="647F48B3">
        <w:rPr>
          <w:rFonts w:ascii="Arial" w:hAnsi="Arial" w:eastAsia="Arial" w:cs="Arial"/>
          <w:b w:val="1"/>
          <w:bCs w:val="1"/>
          <w:i w:val="0"/>
          <w:iCs w:val="0"/>
          <w:noProof w:val="0"/>
          <w:color w:val="000000" w:themeColor="text1" w:themeTint="FF" w:themeShade="FF"/>
          <w:sz w:val="22"/>
          <w:szCs w:val="22"/>
          <w:u w:val="single"/>
          <w:lang w:val="en-GB"/>
        </w:rPr>
        <w:t>REFERENCES</w:t>
      </w:r>
    </w:p>
    <w:p xmlns:wp14="http://schemas.microsoft.com/office/word/2010/wordml" w:rsidP="2A765867" w14:paraId="60322AFF" wp14:textId="0E5D03C4">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Brothers, P. (2017</w:t>
      </w:r>
      <w:r w:rsidRPr="2A765867" w:rsidR="647F48B3">
        <w:rPr>
          <w:rFonts w:ascii="Arial" w:hAnsi="Arial" w:eastAsia="Arial" w:cs="Arial"/>
          <w:b w:val="0"/>
          <w:bCs w:val="0"/>
          <w:i w:val="1"/>
          <w:iCs w:val="1"/>
          <w:noProof w:val="0"/>
          <w:color w:val="000000" w:themeColor="text1" w:themeTint="FF" w:themeShade="FF"/>
          <w:sz w:val="22"/>
          <w:szCs w:val="22"/>
          <w:lang w:val="en-GB"/>
        </w:rPr>
        <w:t xml:space="preserve">). The VET Era, skills development and education reform </w:t>
      </w:r>
      <w:r w:rsidRPr="2A765867" w:rsidR="647F48B3">
        <w:rPr>
          <w:rFonts w:ascii="Arial" w:hAnsi="Arial" w:eastAsia="Arial" w:cs="Arial"/>
          <w:b w:val="0"/>
          <w:bCs w:val="0"/>
          <w:i w:val="0"/>
          <w:iCs w:val="0"/>
          <w:noProof w:val="0"/>
          <w:color w:val="000000" w:themeColor="text1" w:themeTint="FF" w:themeShade="FF"/>
          <w:sz w:val="22"/>
          <w:szCs w:val="22"/>
          <w:lang w:val="en-GB"/>
        </w:rPr>
        <w:t>[online] Available at:</w:t>
      </w:r>
      <w:hyperlink r:id="R93fe3c05cc154873">
        <w:r w:rsidRPr="2A765867" w:rsidR="647F48B3">
          <w:rPr>
            <w:rStyle w:val="Hyperlink"/>
            <w:rFonts w:ascii="Arial" w:hAnsi="Arial" w:eastAsia="Arial" w:cs="Arial"/>
            <w:b w:val="0"/>
            <w:bCs w:val="0"/>
            <w:i w:val="0"/>
            <w:iCs w:val="0"/>
            <w:noProof w:val="0"/>
            <w:color w:val="000000" w:themeColor="text1" w:themeTint="FF" w:themeShade="FF"/>
            <w:sz w:val="22"/>
            <w:szCs w:val="22"/>
            <w:lang w:val="en-GB"/>
          </w:rPr>
          <w:t xml:space="preserve"> </w:t>
        </w:r>
        <w:r w:rsidRPr="2A765867" w:rsidR="647F48B3">
          <w:rPr>
            <w:rStyle w:val="Hyperlink"/>
            <w:rFonts w:ascii="Arial" w:hAnsi="Arial" w:eastAsia="Arial" w:cs="Arial"/>
            <w:b w:val="0"/>
            <w:bCs w:val="0"/>
            <w:i w:val="0"/>
            <w:iCs w:val="0"/>
            <w:noProof w:val="0"/>
            <w:color w:val="1155CC"/>
            <w:sz w:val="22"/>
            <w:szCs w:val="22"/>
            <w:lang w:val="en-GB"/>
          </w:rPr>
          <w:t>https://medium.com/navitas-ventures/the-vet-era-skills-development-and-education-reform-gei-74-808211009d51</w:t>
        </w:r>
      </w:hyperlink>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09B41853" wp14:textId="30C7ACC3">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7635D413" wp14:textId="30E12221">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Morgan, P. (2016). </w:t>
      </w:r>
      <w:r w:rsidRPr="2A765867" w:rsidR="647F48B3">
        <w:rPr>
          <w:rFonts w:ascii="Arial" w:hAnsi="Arial" w:eastAsia="Arial" w:cs="Arial"/>
          <w:b w:val="0"/>
          <w:bCs w:val="0"/>
          <w:i w:val="1"/>
          <w:iCs w:val="1"/>
          <w:noProof w:val="0"/>
          <w:color w:val="000000" w:themeColor="text1" w:themeTint="FF" w:themeShade="FF"/>
          <w:sz w:val="22"/>
          <w:szCs w:val="22"/>
          <w:lang w:val="en-GB"/>
        </w:rPr>
        <w:t xml:space="preserve">The business student's guide to study and employability. </w:t>
      </w:r>
      <w:r w:rsidRPr="2A765867" w:rsidR="647F48B3">
        <w:rPr>
          <w:rFonts w:ascii="Arial" w:hAnsi="Arial" w:eastAsia="Arial" w:cs="Arial"/>
          <w:b w:val="0"/>
          <w:bCs w:val="0"/>
          <w:i w:val="0"/>
          <w:iCs w:val="0"/>
          <w:noProof w:val="0"/>
          <w:color w:val="000000" w:themeColor="text1" w:themeTint="FF" w:themeShade="FF"/>
          <w:sz w:val="22"/>
          <w:szCs w:val="22"/>
          <w:lang w:val="en-GB"/>
        </w:rPr>
        <w:t>SAGE Publications, pp. 50-53</w:t>
      </w:r>
    </w:p>
    <w:p xmlns:wp14="http://schemas.microsoft.com/office/word/2010/wordml" w:rsidP="2A765867" w14:paraId="10DEB43B" wp14:textId="19A6D432">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031ACE4A" wp14:textId="5552D698">
      <w:pPr>
        <w:rPr>
          <w:sz w:val="22"/>
          <w:szCs w:val="22"/>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Nhs.uk (n.d.). </w:t>
      </w:r>
      <w:r w:rsidRPr="2A765867" w:rsidR="647F48B3">
        <w:rPr>
          <w:rFonts w:ascii="Arial" w:hAnsi="Arial" w:eastAsia="Arial" w:cs="Arial"/>
          <w:b w:val="0"/>
          <w:bCs w:val="0"/>
          <w:i w:val="1"/>
          <w:iCs w:val="1"/>
          <w:noProof w:val="0"/>
          <w:color w:val="000000" w:themeColor="text1" w:themeTint="FF" w:themeShade="FF"/>
          <w:sz w:val="22"/>
          <w:szCs w:val="22"/>
          <w:lang w:val="en-GB"/>
        </w:rPr>
        <w:t xml:space="preserve">Planning your career </w:t>
      </w:r>
      <w:r w:rsidRPr="2A765867" w:rsidR="647F48B3">
        <w:rPr>
          <w:rFonts w:ascii="Arial" w:hAnsi="Arial" w:eastAsia="Arial" w:cs="Arial"/>
          <w:b w:val="0"/>
          <w:bCs w:val="0"/>
          <w:i w:val="0"/>
          <w:iCs w:val="0"/>
          <w:noProof w:val="0"/>
          <w:color w:val="000000" w:themeColor="text1" w:themeTint="FF" w:themeShade="FF"/>
          <w:sz w:val="22"/>
          <w:szCs w:val="22"/>
          <w:lang w:val="en-GB"/>
        </w:rPr>
        <w:t>[online] Available at:</w:t>
      </w:r>
      <w:hyperlink r:id="Rb8c9899cbbce4617">
        <w:r w:rsidRPr="2A765867" w:rsidR="647F48B3">
          <w:rPr>
            <w:rStyle w:val="Hyperlink"/>
            <w:rFonts w:ascii="Arial" w:hAnsi="Arial" w:eastAsia="Arial" w:cs="Arial"/>
            <w:b w:val="0"/>
            <w:bCs w:val="0"/>
            <w:i w:val="0"/>
            <w:iCs w:val="0"/>
            <w:noProof w:val="0"/>
            <w:color w:val="000000" w:themeColor="text1" w:themeTint="FF" w:themeShade="FF"/>
            <w:sz w:val="22"/>
            <w:szCs w:val="22"/>
            <w:lang w:val="en-GB"/>
          </w:rPr>
          <w:t xml:space="preserve"> </w:t>
        </w:r>
        <w:r w:rsidRPr="2A765867" w:rsidR="647F48B3">
          <w:rPr>
            <w:rStyle w:val="Hyperlink"/>
            <w:rFonts w:ascii="Arial" w:hAnsi="Arial" w:eastAsia="Arial" w:cs="Arial"/>
            <w:b w:val="0"/>
            <w:bCs w:val="0"/>
            <w:i w:val="0"/>
            <w:iCs w:val="0"/>
            <w:noProof w:val="0"/>
            <w:color w:val="1155CC"/>
            <w:sz w:val="22"/>
            <w:szCs w:val="22"/>
            <w:lang w:val="en-GB"/>
          </w:rPr>
          <w:t>https://www.healthcareers.nhs.uk/career-planning/improving-your-chances/planning-your-career</w:t>
        </w:r>
      </w:hyperlink>
    </w:p>
    <w:p xmlns:wp14="http://schemas.microsoft.com/office/word/2010/wordml" w:rsidP="2A765867" w14:paraId="43CA847F" wp14:textId="50D7D6AA">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0EFD9FEE" wp14:textId="715A7E88">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ox.ac.uk (2015). </w:t>
      </w:r>
      <w:r w:rsidRPr="2A765867" w:rsidR="647F48B3">
        <w:rPr>
          <w:rFonts w:ascii="Arial" w:hAnsi="Arial" w:eastAsia="Arial" w:cs="Arial"/>
          <w:b w:val="0"/>
          <w:bCs w:val="0"/>
          <w:i w:val="1"/>
          <w:iCs w:val="1"/>
          <w:noProof w:val="0"/>
          <w:color w:val="000000" w:themeColor="text1" w:themeTint="FF" w:themeShade="FF"/>
          <w:sz w:val="22"/>
          <w:szCs w:val="22"/>
          <w:lang w:val="en-GB"/>
        </w:rPr>
        <w:t>Employability statement</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[online] Available at:</w:t>
      </w:r>
      <w:hyperlink r:id="R5ff6f9e4aeec4691">
        <w:r w:rsidRPr="2A765867" w:rsidR="647F48B3">
          <w:rPr>
            <w:rStyle w:val="Hyperlink"/>
            <w:rFonts w:ascii="Arial" w:hAnsi="Arial" w:eastAsia="Arial" w:cs="Arial"/>
            <w:b w:val="0"/>
            <w:bCs w:val="0"/>
            <w:i w:val="0"/>
            <w:iCs w:val="0"/>
            <w:noProof w:val="0"/>
            <w:color w:val="000000" w:themeColor="text1" w:themeTint="FF" w:themeShade="FF"/>
            <w:sz w:val="22"/>
            <w:szCs w:val="22"/>
            <w:lang w:val="en-GB"/>
          </w:rPr>
          <w:t xml:space="preserve"> </w:t>
        </w:r>
        <w:r w:rsidRPr="2A765867" w:rsidR="647F48B3">
          <w:rPr>
            <w:rStyle w:val="Hyperlink"/>
            <w:rFonts w:ascii="Arial" w:hAnsi="Arial" w:eastAsia="Arial" w:cs="Arial"/>
            <w:b w:val="0"/>
            <w:bCs w:val="0"/>
            <w:i w:val="0"/>
            <w:iCs w:val="0"/>
            <w:noProof w:val="0"/>
            <w:color w:val="1155CC"/>
            <w:sz w:val="22"/>
            <w:szCs w:val="22"/>
            <w:lang w:val="en-GB"/>
          </w:rPr>
          <w:t>https://www.careers.ox.ac.uk/employability-statement/</w:t>
        </w:r>
      </w:hyperlink>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4967D38F" wp14:textId="15AC1A54">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02FAEC41" wp14:textId="375A963C">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Reeson, A., Mason, C. M. and Sanderson, T (2017). </w:t>
      </w:r>
      <w:r w:rsidRPr="2A765867" w:rsidR="647F48B3">
        <w:rPr>
          <w:rFonts w:ascii="Arial" w:hAnsi="Arial" w:eastAsia="Arial" w:cs="Arial"/>
          <w:b w:val="0"/>
          <w:bCs w:val="0"/>
          <w:i w:val="1"/>
          <w:iCs w:val="1"/>
          <w:noProof w:val="0"/>
          <w:color w:val="000000" w:themeColor="text1" w:themeTint="FF" w:themeShade="FF"/>
          <w:sz w:val="22"/>
          <w:szCs w:val="22"/>
          <w:lang w:val="en-GB"/>
        </w:rPr>
        <w:t>Demand for people skills is growing faster than demand for STEM skills</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[online] The Conversation. Available at:</w:t>
      </w:r>
      <w:hyperlink r:id="R93f47fdd27334218">
        <w:r w:rsidRPr="2A765867" w:rsidR="647F48B3">
          <w:rPr>
            <w:rStyle w:val="Hyperlink"/>
            <w:rFonts w:ascii="Arial" w:hAnsi="Arial" w:eastAsia="Arial" w:cs="Arial"/>
            <w:b w:val="0"/>
            <w:bCs w:val="0"/>
            <w:i w:val="0"/>
            <w:iCs w:val="0"/>
            <w:noProof w:val="0"/>
            <w:color w:val="000000" w:themeColor="text1" w:themeTint="FF" w:themeShade="FF"/>
            <w:sz w:val="22"/>
            <w:szCs w:val="22"/>
            <w:lang w:val="en-GB"/>
          </w:rPr>
          <w:t xml:space="preserve"> </w:t>
        </w:r>
        <w:r w:rsidRPr="2A765867" w:rsidR="647F48B3">
          <w:rPr>
            <w:rStyle w:val="Hyperlink"/>
            <w:rFonts w:ascii="Arial" w:hAnsi="Arial" w:eastAsia="Arial" w:cs="Arial"/>
            <w:b w:val="0"/>
            <w:bCs w:val="0"/>
            <w:i w:val="0"/>
            <w:iCs w:val="0"/>
            <w:noProof w:val="0"/>
            <w:color w:val="1155CC"/>
            <w:sz w:val="22"/>
            <w:szCs w:val="22"/>
            <w:lang w:val="en-GB"/>
          </w:rPr>
          <w:t>https://theconversation.com/demand-for-people-skills-is-growing-faster-than-demand-for-stem-skills-86754</w:t>
        </w:r>
      </w:hyperlink>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3DB82D50" wp14:textId="6502D783">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0C6D9D1C" wp14:textId="667375B9">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Reeson, A., Mason, C. M. and Sanderson, T. (2017). </w:t>
      </w:r>
      <w:r w:rsidRPr="2A765867" w:rsidR="647F48B3">
        <w:rPr>
          <w:rFonts w:ascii="Arial" w:hAnsi="Arial" w:eastAsia="Arial" w:cs="Arial"/>
          <w:b w:val="0"/>
          <w:bCs w:val="0"/>
          <w:i w:val="1"/>
          <w:iCs w:val="1"/>
          <w:noProof w:val="0"/>
          <w:color w:val="000000" w:themeColor="text1" w:themeTint="FF" w:themeShade="FF"/>
          <w:sz w:val="22"/>
          <w:szCs w:val="22"/>
          <w:lang w:val="en-GB"/>
        </w:rPr>
        <w:t>Growing Opportunities in the Fraser Coast: Informing regional workforce development.</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Data 61, CSIRO. pp. 7-9</w:t>
      </w:r>
    </w:p>
    <w:p xmlns:wp14="http://schemas.microsoft.com/office/word/2010/wordml" w:rsidP="2A765867" w14:paraId="77C0FB73" wp14:textId="064E858A">
      <w:pPr>
        <w:rPr>
          <w:sz w:val="22"/>
          <w:szCs w:val="22"/>
        </w:rPr>
      </w:pPr>
      <w:r>
        <w:br/>
      </w:r>
    </w:p>
    <w:p xmlns:wp14="http://schemas.microsoft.com/office/word/2010/wordml" w:rsidP="2A765867" w14:paraId="0E133FE4" wp14:textId="63451CA9">
      <w:pPr>
        <w:rPr>
          <w:sz w:val="22"/>
          <w:szCs w:val="22"/>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topuniversities.com (2020). </w:t>
      </w:r>
      <w:r w:rsidRPr="2A765867" w:rsidR="647F48B3">
        <w:rPr>
          <w:rFonts w:ascii="Arial" w:hAnsi="Arial" w:eastAsia="Arial" w:cs="Arial"/>
          <w:b w:val="0"/>
          <w:bCs w:val="0"/>
          <w:i w:val="1"/>
          <w:iCs w:val="1"/>
          <w:noProof w:val="0"/>
          <w:color w:val="000000" w:themeColor="text1" w:themeTint="FF" w:themeShade="FF"/>
          <w:sz w:val="22"/>
          <w:szCs w:val="22"/>
          <w:lang w:val="en-GB"/>
        </w:rPr>
        <w:t>UCL, postgraduate overview</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[online] Available at:</w:t>
      </w:r>
      <w:hyperlink r:id="R1dae932bfd8c44a9">
        <w:r w:rsidRPr="2A765867" w:rsidR="647F48B3">
          <w:rPr>
            <w:rStyle w:val="Hyperlink"/>
            <w:rFonts w:ascii="Arial" w:hAnsi="Arial" w:eastAsia="Arial" w:cs="Arial"/>
            <w:b w:val="0"/>
            <w:bCs w:val="0"/>
            <w:i w:val="0"/>
            <w:iCs w:val="0"/>
            <w:noProof w:val="0"/>
            <w:color w:val="000000" w:themeColor="text1" w:themeTint="FF" w:themeShade="FF"/>
            <w:sz w:val="22"/>
            <w:szCs w:val="22"/>
            <w:lang w:val="en-GB"/>
          </w:rPr>
          <w:t xml:space="preserve"> </w:t>
        </w:r>
        <w:r w:rsidRPr="2A765867" w:rsidR="647F48B3">
          <w:rPr>
            <w:rStyle w:val="Hyperlink"/>
            <w:rFonts w:ascii="Arial" w:hAnsi="Arial" w:eastAsia="Arial" w:cs="Arial"/>
            <w:b w:val="0"/>
            <w:bCs w:val="0"/>
            <w:i w:val="0"/>
            <w:iCs w:val="0"/>
            <w:noProof w:val="0"/>
            <w:color w:val="1155CC"/>
            <w:sz w:val="22"/>
            <w:szCs w:val="22"/>
            <w:lang w:val="en-GB"/>
          </w:rPr>
          <w:t>https://www.topuniversities.com/universities/ucl/postgrad</w:t>
        </w:r>
      </w:hyperlink>
    </w:p>
    <w:p xmlns:wp14="http://schemas.microsoft.com/office/word/2010/wordml" w:rsidP="2A765867" w14:paraId="64283E3D" wp14:textId="3840626A">
      <w:pPr>
        <w:rPr>
          <w:rFonts w:ascii="Arial" w:hAnsi="Arial" w:eastAsia="Arial" w:cs="Arial"/>
          <w:b w:val="0"/>
          <w:bCs w:val="0"/>
          <w:i w:val="0"/>
          <w:iCs w:val="0"/>
          <w:noProof w:val="0"/>
          <w:color w:val="000000" w:themeColor="text1" w:themeTint="FF" w:themeShade="FF"/>
          <w:sz w:val="22"/>
          <w:szCs w:val="22"/>
          <w:lang w:val="en-GB"/>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A765867" w14:paraId="32141F8C" wp14:textId="54907810">
      <w:pPr>
        <w:rPr>
          <w:sz w:val="22"/>
          <w:szCs w:val="22"/>
        </w:rPr>
      </w:pPr>
      <w:r w:rsidRPr="2A765867" w:rsidR="647F48B3">
        <w:rPr>
          <w:rFonts w:ascii="Arial" w:hAnsi="Arial" w:eastAsia="Arial" w:cs="Arial"/>
          <w:b w:val="0"/>
          <w:bCs w:val="0"/>
          <w:i w:val="0"/>
          <w:iCs w:val="0"/>
          <w:noProof w:val="0"/>
          <w:color w:val="000000" w:themeColor="text1" w:themeTint="FF" w:themeShade="FF"/>
          <w:sz w:val="22"/>
          <w:szCs w:val="22"/>
          <w:lang w:val="en-GB"/>
        </w:rPr>
        <w:t xml:space="preserve">ucl.ac.uk (2020). </w:t>
      </w:r>
      <w:r w:rsidRPr="2A765867" w:rsidR="647F48B3">
        <w:rPr>
          <w:rFonts w:ascii="Arial" w:hAnsi="Arial" w:eastAsia="Arial" w:cs="Arial"/>
          <w:b w:val="0"/>
          <w:bCs w:val="0"/>
          <w:i w:val="1"/>
          <w:iCs w:val="1"/>
          <w:noProof w:val="0"/>
          <w:color w:val="000000" w:themeColor="text1" w:themeTint="FF" w:themeShade="FF"/>
          <w:sz w:val="22"/>
          <w:szCs w:val="22"/>
          <w:lang w:val="en-GB"/>
        </w:rPr>
        <w:t>Employability</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[online] Available at:</w:t>
      </w:r>
      <w:hyperlink r:id="R2e927b72aae742cd">
        <w:r w:rsidRPr="2A765867" w:rsidR="647F48B3">
          <w:rPr>
            <w:rStyle w:val="Hyperlink"/>
            <w:rFonts w:ascii="Arial" w:hAnsi="Arial" w:eastAsia="Arial" w:cs="Arial"/>
            <w:b w:val="0"/>
            <w:bCs w:val="0"/>
            <w:i w:val="0"/>
            <w:iCs w:val="0"/>
            <w:noProof w:val="0"/>
            <w:color w:val="000000" w:themeColor="text1" w:themeTint="FF" w:themeShade="FF"/>
            <w:sz w:val="22"/>
            <w:szCs w:val="22"/>
            <w:lang w:val="en-GB"/>
          </w:rPr>
          <w:t xml:space="preserve"> </w:t>
        </w:r>
        <w:r w:rsidRPr="2A765867" w:rsidR="647F48B3">
          <w:rPr>
            <w:rStyle w:val="Hyperlink"/>
            <w:rFonts w:ascii="Arial" w:hAnsi="Arial" w:eastAsia="Arial" w:cs="Arial"/>
            <w:b w:val="0"/>
            <w:bCs w:val="0"/>
            <w:i w:val="0"/>
            <w:iCs w:val="0"/>
            <w:noProof w:val="0"/>
            <w:color w:val="1155CC"/>
            <w:sz w:val="22"/>
            <w:szCs w:val="22"/>
            <w:lang w:val="en-GB"/>
          </w:rPr>
          <w:t>https://www.ucl.ac.uk/prospective-students/undergraduate/employability</w:t>
        </w:r>
      </w:hyperlink>
    </w:p>
    <w:p xmlns:wp14="http://schemas.microsoft.com/office/word/2010/wordml" w:rsidP="2A765867" w14:paraId="5E5787A5" wp14:textId="772C4705">
      <w:pPr>
        <w:pStyle w:val="Normal"/>
        <w:rPr>
          <w:rFonts w:ascii="Arial" w:hAnsi="Arial" w:eastAsia="Arial" w:cs="Arial"/>
          <w:b w:val="0"/>
          <w:bCs w:val="0"/>
          <w:i w:val="0"/>
          <w:iCs w:val="0"/>
          <w:noProof w:val="0"/>
          <w:color w:val="000000" w:themeColor="text1" w:themeTint="FF" w:themeShade="FF"/>
          <w:sz w:val="22"/>
          <w:szCs w:val="22"/>
          <w:lang w:val="en-GB"/>
        </w:rPr>
      </w:pPr>
      <w:r>
        <w:br/>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Yorke, M. and Knight, P. (2004) </w:t>
      </w:r>
      <w:r w:rsidRPr="2A765867" w:rsidR="647F48B3">
        <w:rPr>
          <w:rFonts w:ascii="Arial" w:hAnsi="Arial" w:eastAsia="Arial" w:cs="Arial"/>
          <w:b w:val="0"/>
          <w:bCs w:val="0"/>
          <w:i w:val="1"/>
          <w:iCs w:val="1"/>
          <w:noProof w:val="0"/>
          <w:color w:val="000000" w:themeColor="text1" w:themeTint="FF" w:themeShade="FF"/>
          <w:sz w:val="22"/>
          <w:szCs w:val="22"/>
          <w:lang w:val="en-GB"/>
        </w:rPr>
        <w:t>Learning &amp; Employability</w:t>
      </w:r>
      <w:r w:rsidRPr="2A765867" w:rsidR="647F48B3">
        <w:rPr>
          <w:rFonts w:ascii="Arial" w:hAnsi="Arial" w:eastAsia="Arial" w:cs="Arial"/>
          <w:b w:val="0"/>
          <w:bCs w:val="0"/>
          <w:i w:val="0"/>
          <w:iCs w:val="0"/>
          <w:noProof w:val="0"/>
          <w:color w:val="000000" w:themeColor="text1" w:themeTint="FF" w:themeShade="FF"/>
          <w:sz w:val="22"/>
          <w:szCs w:val="22"/>
          <w:lang w:val="en-GB"/>
        </w:rPr>
        <w:t>. The Learning and Teaching Support Network (LTSN), the Enhancing Student Employability Co-ordination Team (</w:t>
      </w:r>
      <w:proofErr w:type="gramStart"/>
      <w:r w:rsidRPr="2A765867" w:rsidR="647F48B3">
        <w:rPr>
          <w:rFonts w:ascii="Arial" w:hAnsi="Arial" w:eastAsia="Arial" w:cs="Arial"/>
          <w:b w:val="0"/>
          <w:bCs w:val="0"/>
          <w:i w:val="0"/>
          <w:iCs w:val="0"/>
          <w:noProof w:val="0"/>
          <w:color w:val="000000" w:themeColor="text1" w:themeTint="FF" w:themeShade="FF"/>
          <w:sz w:val="22"/>
          <w:szCs w:val="22"/>
          <w:lang w:val="en-GB"/>
        </w:rPr>
        <w:t>ESECT)</w:t>
      </w:r>
      <w:r w:rsidRPr="2A765867" w:rsidR="741871F8">
        <w:rPr>
          <w:rFonts w:ascii="Arial" w:hAnsi="Arial" w:eastAsia="Arial" w:cs="Arial"/>
          <w:b w:val="0"/>
          <w:bCs w:val="0"/>
          <w:i w:val="0"/>
          <w:iCs w:val="0"/>
          <w:noProof w:val="0"/>
          <w:color w:val="000000" w:themeColor="text1" w:themeTint="FF" w:themeShade="FF"/>
          <w:sz w:val="22"/>
          <w:szCs w:val="22"/>
          <w:lang w:val="en-GB"/>
        </w:rPr>
        <w:t xml:space="preserve"> </w:t>
      </w:r>
      <w:r w:rsidRPr="2A765867" w:rsidR="647F48B3">
        <w:rPr>
          <w:rFonts w:ascii="Arial" w:hAnsi="Arial" w:eastAsia="Arial" w:cs="Arial"/>
          <w:b w:val="0"/>
          <w:bCs w:val="0"/>
          <w:i w:val="0"/>
          <w:iCs w:val="0"/>
          <w:noProof w:val="0"/>
          <w:color w:val="000000" w:themeColor="text1" w:themeTint="FF" w:themeShade="FF"/>
          <w:sz w:val="22"/>
          <w:szCs w:val="22"/>
          <w:lang w:val="en-GB"/>
        </w:rPr>
        <w:t xml:space="preserve"> pp.</w:t>
      </w:r>
      <w:proofErr w:type="gramEnd"/>
      <w:r w:rsidRPr="2A765867" w:rsidR="647F48B3">
        <w:rPr>
          <w:rFonts w:ascii="Arial" w:hAnsi="Arial" w:eastAsia="Arial" w:cs="Arial"/>
          <w:b w:val="0"/>
          <w:bCs w:val="0"/>
          <w:i w:val="0"/>
          <w:iCs w:val="0"/>
          <w:noProof w:val="0"/>
          <w:color w:val="000000" w:themeColor="text1" w:themeTint="FF" w:themeShade="FF"/>
          <w:sz w:val="22"/>
          <w:szCs w:val="22"/>
          <w:lang w:val="en-GB"/>
        </w:rPr>
        <w:t xml:space="preserve"> 10-13</w:t>
      </w:r>
    </w:p>
    <w:p w:rsidR="2A765867" w:rsidRDefault="2A765867" w14:paraId="5DA0CF12" w14:textId="04DE5C10">
      <w:r>
        <w:br w:type="page"/>
      </w:r>
    </w:p>
    <w:p w:rsidR="72F7FFE5" w:rsidP="2A765867" w:rsidRDefault="72F7FFE5" w14:paraId="6E30D8D5" w14:textId="76A6878B">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Pr="2A765867" w:rsidR="72F7FFE5">
        <w:rPr>
          <w:rFonts w:ascii="Arial" w:hAnsi="Arial" w:eastAsia="Arial" w:cs="Arial"/>
          <w:b w:val="1"/>
          <w:bCs w:val="1"/>
          <w:i w:val="0"/>
          <w:iCs w:val="0"/>
          <w:noProof w:val="0"/>
          <w:color w:val="000000" w:themeColor="text1" w:themeTint="FF" w:themeShade="FF"/>
          <w:sz w:val="24"/>
          <w:szCs w:val="24"/>
          <w:u w:val="single"/>
          <w:lang w:val="en-GB"/>
        </w:rPr>
        <w:t>Appendix A</w:t>
      </w:r>
    </w:p>
    <w:p w:rsidR="72F7FFE5" w:rsidP="2A765867" w:rsidRDefault="72F7FFE5" w14:paraId="52DED48D" w14:textId="20AD9A3E">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72F7FFE5">
        <w:drawing>
          <wp:inline wp14:editId="1A93DDFF" wp14:anchorId="594B5E1B">
            <wp:extent cx="3429000" cy="4572000"/>
            <wp:effectExtent l="0" t="0" r="0" b="0"/>
            <wp:docPr id="390491426" name="" title=""/>
            <wp:cNvGraphicFramePr>
              <a:graphicFrameLocks noChangeAspect="1"/>
            </wp:cNvGraphicFramePr>
            <a:graphic>
              <a:graphicData uri="http://schemas.openxmlformats.org/drawingml/2006/picture">
                <pic:pic>
                  <pic:nvPicPr>
                    <pic:cNvPr id="0" name=""/>
                    <pic:cNvPicPr/>
                  </pic:nvPicPr>
                  <pic:blipFill>
                    <a:blip r:embed="R7b85eb7cfe5c49d5">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72F7FFE5" w:rsidP="2A765867" w:rsidRDefault="72F7FFE5" w14:paraId="76AA0962" w14:textId="1C8B4267">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Pr="2A765867" w:rsidR="72F7FFE5">
        <w:rPr>
          <w:rFonts w:ascii="Arial" w:hAnsi="Arial" w:eastAsia="Arial" w:cs="Arial"/>
          <w:b w:val="1"/>
          <w:bCs w:val="1"/>
          <w:i w:val="0"/>
          <w:iCs w:val="0"/>
          <w:noProof w:val="0"/>
          <w:color w:val="000000" w:themeColor="text1" w:themeTint="FF" w:themeShade="FF"/>
          <w:sz w:val="24"/>
          <w:szCs w:val="24"/>
          <w:u w:val="single"/>
          <w:lang w:val="en-GB"/>
        </w:rPr>
        <w:t>Appendix B</w:t>
      </w:r>
    </w:p>
    <w:p w:rsidR="72F7FFE5" w:rsidP="2A765867" w:rsidRDefault="72F7FFE5" w14:paraId="593AE5EA" w14:textId="584AB022">
      <w:pPr>
        <w:pStyle w:val="Normal"/>
        <w:jc w:val="center"/>
      </w:pPr>
      <w:r w:rsidR="72F7FFE5">
        <w:drawing>
          <wp:inline wp14:editId="6B0FB3B0" wp14:anchorId="051D0422">
            <wp:extent cx="3429000" cy="4572000"/>
            <wp:effectExtent l="0" t="0" r="0" b="0"/>
            <wp:docPr id="1957443312" name="" title=""/>
            <wp:cNvGraphicFramePr>
              <a:graphicFrameLocks noChangeAspect="1"/>
            </wp:cNvGraphicFramePr>
            <a:graphic>
              <a:graphicData uri="http://schemas.openxmlformats.org/drawingml/2006/picture">
                <pic:pic>
                  <pic:nvPicPr>
                    <pic:cNvPr id="0" name=""/>
                    <pic:cNvPicPr/>
                  </pic:nvPicPr>
                  <pic:blipFill>
                    <a:blip r:embed="Rd124603cae3b44f9">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72F7FFE5" w:rsidP="2A765867" w:rsidRDefault="72F7FFE5" w14:paraId="4EE71F66" w14:textId="1269714C">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Pr="2A765867" w:rsidR="72F7FFE5">
        <w:rPr>
          <w:rFonts w:ascii="Arial" w:hAnsi="Arial" w:eastAsia="Arial" w:cs="Arial"/>
          <w:b w:val="1"/>
          <w:bCs w:val="1"/>
          <w:i w:val="0"/>
          <w:iCs w:val="0"/>
          <w:noProof w:val="0"/>
          <w:color w:val="000000" w:themeColor="text1" w:themeTint="FF" w:themeShade="FF"/>
          <w:sz w:val="24"/>
          <w:szCs w:val="24"/>
          <w:u w:val="single"/>
          <w:lang w:val="en-GB"/>
        </w:rPr>
        <w:t>Appendix C</w:t>
      </w:r>
    </w:p>
    <w:p w:rsidR="228BFE24" w:rsidP="2A765867" w:rsidRDefault="228BFE24" w14:paraId="4DC10BA3" w14:textId="11033CCA">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228BFE24">
        <w:drawing>
          <wp:inline wp14:editId="0D323753" wp14:anchorId="058844B4">
            <wp:extent cx="3429000" cy="4572000"/>
            <wp:effectExtent l="0" t="0" r="0" b="0"/>
            <wp:docPr id="619091211" name="" title=""/>
            <wp:cNvGraphicFramePr>
              <a:graphicFrameLocks noChangeAspect="1"/>
            </wp:cNvGraphicFramePr>
            <a:graphic>
              <a:graphicData uri="http://schemas.openxmlformats.org/drawingml/2006/picture">
                <pic:pic>
                  <pic:nvPicPr>
                    <pic:cNvPr id="0" name=""/>
                    <pic:cNvPicPr/>
                  </pic:nvPicPr>
                  <pic:blipFill>
                    <a:blip r:embed="R3a825d6ed3844241">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72F7FFE5" w:rsidP="2A765867" w:rsidRDefault="72F7FFE5" w14:paraId="1B8ABE84" w14:textId="76336651">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Pr="2A765867" w:rsidR="72F7FFE5">
        <w:rPr>
          <w:rFonts w:ascii="Arial" w:hAnsi="Arial" w:eastAsia="Arial" w:cs="Arial"/>
          <w:b w:val="1"/>
          <w:bCs w:val="1"/>
          <w:i w:val="0"/>
          <w:iCs w:val="0"/>
          <w:noProof w:val="0"/>
          <w:color w:val="000000" w:themeColor="text1" w:themeTint="FF" w:themeShade="FF"/>
          <w:sz w:val="24"/>
          <w:szCs w:val="24"/>
          <w:u w:val="single"/>
          <w:lang w:val="en-GB"/>
        </w:rPr>
        <w:t>Appendix D</w:t>
      </w:r>
    </w:p>
    <w:p w:rsidR="0861959D" w:rsidP="2A765867" w:rsidRDefault="0861959D" w14:paraId="3A6871F6" w14:textId="010DFC79">
      <w:pPr>
        <w:pStyle w:val="Normal"/>
        <w:jc w:val="center"/>
      </w:pPr>
      <w:r w:rsidR="0861959D">
        <w:drawing>
          <wp:inline wp14:editId="68FD1840" wp14:anchorId="1A0859BE">
            <wp:extent cx="3429000" cy="4572000"/>
            <wp:effectExtent l="0" t="0" r="0" b="0"/>
            <wp:docPr id="76766163" name="" title=""/>
            <wp:cNvGraphicFramePr>
              <a:graphicFrameLocks noChangeAspect="1"/>
            </wp:cNvGraphicFramePr>
            <a:graphic>
              <a:graphicData uri="http://schemas.openxmlformats.org/drawingml/2006/picture">
                <pic:pic>
                  <pic:nvPicPr>
                    <pic:cNvPr id="0" name=""/>
                    <pic:cNvPicPr/>
                  </pic:nvPicPr>
                  <pic:blipFill>
                    <a:blip r:embed="R10604002ebaa4967">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0861959D" w:rsidP="2A765867" w:rsidRDefault="0861959D" w14:paraId="5A21F344" w14:textId="33CF8599">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Pr="2A765867" w:rsidR="0861959D">
        <w:rPr>
          <w:rFonts w:ascii="Arial" w:hAnsi="Arial" w:eastAsia="Arial" w:cs="Arial"/>
          <w:b w:val="1"/>
          <w:bCs w:val="1"/>
          <w:i w:val="0"/>
          <w:iCs w:val="0"/>
          <w:noProof w:val="0"/>
          <w:color w:val="000000" w:themeColor="text1" w:themeTint="FF" w:themeShade="FF"/>
          <w:sz w:val="24"/>
          <w:szCs w:val="24"/>
          <w:u w:val="single"/>
          <w:lang w:val="en-GB"/>
        </w:rPr>
        <w:t>Appendix E</w:t>
      </w:r>
    </w:p>
    <w:p w:rsidR="0861959D" w:rsidP="2A765867" w:rsidRDefault="0861959D" w14:paraId="5175B62D" w14:textId="752C7B23">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0861959D">
        <w:drawing>
          <wp:inline wp14:editId="74AAEE5D" wp14:anchorId="1051D144">
            <wp:extent cx="3429000" cy="4572000"/>
            <wp:effectExtent l="0" t="0" r="0" b="0"/>
            <wp:docPr id="1197226809" name="" title=""/>
            <wp:cNvGraphicFramePr>
              <a:graphicFrameLocks noChangeAspect="1"/>
            </wp:cNvGraphicFramePr>
            <a:graphic>
              <a:graphicData uri="http://schemas.openxmlformats.org/drawingml/2006/picture">
                <pic:pic>
                  <pic:nvPicPr>
                    <pic:cNvPr id="0" name=""/>
                    <pic:cNvPicPr/>
                  </pic:nvPicPr>
                  <pic:blipFill>
                    <a:blip r:embed="R4079fd0080b146c9">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2A765867" w:rsidP="2A765867" w:rsidRDefault="2A765867" w14:paraId="0C98E056" w14:textId="301E46E9">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81CE74D"/>
  <w15:docId w15:val="{85adf210-f121-403b-b354-62466c4fb84b}"/>
  <w:rsids>
    <w:rsidRoot w:val="581CE74D"/>
    <w:rsid w:val="03E65342"/>
    <w:rsid w:val="03ECFFCA"/>
    <w:rsid w:val="03ECFFCA"/>
    <w:rsid w:val="07C8636F"/>
    <w:rsid w:val="0861959D"/>
    <w:rsid w:val="16681CF2"/>
    <w:rsid w:val="177F9E9F"/>
    <w:rsid w:val="192F939C"/>
    <w:rsid w:val="1B420125"/>
    <w:rsid w:val="1BB3285E"/>
    <w:rsid w:val="217572C8"/>
    <w:rsid w:val="228BFE24"/>
    <w:rsid w:val="22EEDCD1"/>
    <w:rsid w:val="25B24AA0"/>
    <w:rsid w:val="29C4A29E"/>
    <w:rsid w:val="2A765867"/>
    <w:rsid w:val="319D6B66"/>
    <w:rsid w:val="38A29966"/>
    <w:rsid w:val="3C376B0F"/>
    <w:rsid w:val="3C376B0F"/>
    <w:rsid w:val="49F42015"/>
    <w:rsid w:val="4B115B30"/>
    <w:rsid w:val="55931575"/>
    <w:rsid w:val="55931575"/>
    <w:rsid w:val="581CE74D"/>
    <w:rsid w:val="5B612F5F"/>
    <w:rsid w:val="5B612F5F"/>
    <w:rsid w:val="5E3886C1"/>
    <w:rsid w:val="647F48B3"/>
    <w:rsid w:val="656D8604"/>
    <w:rsid w:val="656D8604"/>
    <w:rsid w:val="65E13C6C"/>
    <w:rsid w:val="66D2D7C6"/>
    <w:rsid w:val="69221DDD"/>
    <w:rsid w:val="6A923892"/>
    <w:rsid w:val="6C1BF585"/>
    <w:rsid w:val="72F7FFE5"/>
    <w:rsid w:val="741871F8"/>
    <w:rsid w:val="7E4D4FBA"/>
    <w:rsid w:val="7F066CA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edium.com/navitas-ventures/the-vet-era-skills-development-and-education-reform-gei-74-808211009d51" TargetMode="External" Id="R93fe3c05cc154873" /><Relationship Type="http://schemas.openxmlformats.org/officeDocument/2006/relationships/hyperlink" Target="https://www.healthcareers.nhs.uk/career-planning/improving-your-chances/planning-your-career" TargetMode="External" Id="Rb8c9899cbbce4617" /><Relationship Type="http://schemas.openxmlformats.org/officeDocument/2006/relationships/hyperlink" Target="https://www.careers.ox.ac.uk/employability-statement/" TargetMode="External" Id="R5ff6f9e4aeec4691" /><Relationship Type="http://schemas.openxmlformats.org/officeDocument/2006/relationships/hyperlink" Target="https://theconversation.com/demand-for-people-skills-is-growing-faster-than-demand-for-stem-skills-86754" TargetMode="External" Id="R93f47fdd27334218" /><Relationship Type="http://schemas.openxmlformats.org/officeDocument/2006/relationships/hyperlink" Target="https://www.topuniversities.com/universities/ucl/postgrad" TargetMode="External" Id="R1dae932bfd8c44a9" /><Relationship Type="http://schemas.openxmlformats.org/officeDocument/2006/relationships/hyperlink" Target="https://www.ucl.ac.uk/prospective-students/undergraduate/employability" TargetMode="External" Id="R2e927b72aae742cd" /><Relationship Type="http://schemas.openxmlformats.org/officeDocument/2006/relationships/image" Target="/media/image.jpg" Id="R7b85eb7cfe5c49d5" /><Relationship Type="http://schemas.openxmlformats.org/officeDocument/2006/relationships/image" Target="/media/image2.jpg" Id="Rd124603cae3b44f9" /><Relationship Type="http://schemas.openxmlformats.org/officeDocument/2006/relationships/image" Target="/media/image3.jpg" Id="R3a825d6ed3844241" /><Relationship Type="http://schemas.openxmlformats.org/officeDocument/2006/relationships/image" Target="/media/image4.jpg" Id="R10604002ebaa4967" /><Relationship Type="http://schemas.openxmlformats.org/officeDocument/2006/relationships/image" Target="/media/image5.jpg" Id="R4079fd0080b146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Dimitar Premyanov (1918696)</dc:creator>
  <keywords/>
  <dc:description/>
  <lastModifiedBy>Dimitar Premyanov (1918696)</lastModifiedBy>
  <revision>2</revision>
  <dcterms:created xsi:type="dcterms:W3CDTF">2020-08-18T19:21:02.8110822Z</dcterms:created>
  <dcterms:modified xsi:type="dcterms:W3CDTF">2020-08-18T19:58:59.6576357Z</dcterms:modified>
</coreProperties>
</file>