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0" w:line="360" w:lineRule="auto"/>
        <w:jc w:val="center"/>
        <w:rPr>
          <w:b w:val="1"/>
        </w:rPr>
      </w:pPr>
      <w:r w:rsidDel="00000000" w:rsidR="00000000" w:rsidRPr="00000000">
        <w:rPr>
          <w:b w:val="1"/>
        </w:rPr>
        <w:drawing>
          <wp:inline distB="114300" distT="114300" distL="114300" distR="114300">
            <wp:extent cx="2772359" cy="1232160"/>
            <wp:effectExtent b="0" l="0" r="0" t="0"/>
            <wp:docPr id="2073134646"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a:off x="0" y="0"/>
                      <a:ext cx="2772359" cy="123216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0" w:line="360" w:lineRule="auto"/>
        <w:jc w:val="center"/>
        <w:rPr>
          <w:b w:val="1"/>
        </w:rPr>
      </w:pPr>
      <w:r w:rsidDel="00000000" w:rsidR="00000000" w:rsidRPr="00000000">
        <w:rPr>
          <w:rtl w:val="0"/>
        </w:rPr>
      </w:r>
    </w:p>
    <w:p w:rsidR="00000000" w:rsidDel="00000000" w:rsidP="00000000" w:rsidRDefault="00000000" w:rsidRPr="00000000" w14:paraId="00000003">
      <w:pPr>
        <w:spacing w:after="0" w:line="360" w:lineRule="auto"/>
        <w:jc w:val="center"/>
        <w:rPr>
          <w:b w:val="1"/>
        </w:rPr>
      </w:pPr>
      <w:r w:rsidDel="00000000" w:rsidR="00000000" w:rsidRPr="00000000">
        <w:rPr>
          <w:rtl w:val="0"/>
        </w:rPr>
      </w:r>
    </w:p>
    <w:p w:rsidR="00000000" w:rsidDel="00000000" w:rsidP="00000000" w:rsidRDefault="00000000" w:rsidRPr="00000000" w14:paraId="00000004">
      <w:pPr>
        <w:spacing w:after="0" w:line="360" w:lineRule="auto"/>
        <w:jc w:val="center"/>
        <w:rPr>
          <w:b w:val="1"/>
        </w:rPr>
      </w:pPr>
      <w:r w:rsidDel="00000000" w:rsidR="00000000" w:rsidRPr="00000000">
        <w:rPr>
          <w:b w:val="1"/>
          <w:rtl w:val="0"/>
        </w:rPr>
        <w:t xml:space="preserve">ASSIGNMENT 2</w:t>
      </w:r>
    </w:p>
    <w:p w:rsidR="00000000" w:rsidDel="00000000" w:rsidP="00000000" w:rsidRDefault="00000000" w:rsidRPr="00000000" w14:paraId="00000005">
      <w:pPr>
        <w:spacing w:after="0" w:line="360" w:lineRule="auto"/>
        <w:jc w:val="center"/>
        <w:rPr>
          <w:b w:val="1"/>
        </w:rPr>
      </w:pPr>
      <w:r w:rsidDel="00000000" w:rsidR="00000000" w:rsidRPr="00000000">
        <w:rPr>
          <w:b w:val="1"/>
          <w:rtl w:val="0"/>
        </w:rPr>
        <w:t xml:space="preserve">CASE STUDY: THE CITY HOTEL</w:t>
      </w:r>
    </w:p>
    <w:p w:rsidR="00000000" w:rsidDel="00000000" w:rsidP="00000000" w:rsidRDefault="00000000" w:rsidRPr="00000000" w14:paraId="00000006">
      <w:pPr>
        <w:spacing w:after="0" w:line="360" w:lineRule="auto"/>
        <w:jc w:val="center"/>
        <w:rPr>
          <w:b w:val="1"/>
        </w:rPr>
      </w:pPr>
      <w:r w:rsidDel="00000000" w:rsidR="00000000" w:rsidRPr="00000000">
        <w:rPr>
          <w:rtl w:val="0"/>
        </w:rPr>
      </w:r>
    </w:p>
    <w:p w:rsidR="00000000" w:rsidDel="00000000" w:rsidP="00000000" w:rsidRDefault="00000000" w:rsidRPr="00000000" w14:paraId="00000007">
      <w:pPr>
        <w:spacing w:after="0" w:line="360" w:lineRule="auto"/>
        <w:jc w:val="left"/>
        <w:rPr>
          <w:b w:val="1"/>
        </w:rPr>
      </w:pPr>
      <w:r w:rsidDel="00000000" w:rsidR="00000000" w:rsidRPr="00000000">
        <w:rPr>
          <w:b w:val="1"/>
          <w:rtl w:val="0"/>
        </w:rPr>
        <w:t xml:space="preserve">MODULE NAME: FINANCIAL MANAGEMENT FOR THE HOTEL INDUSTRY</w:t>
      </w:r>
    </w:p>
    <w:p w:rsidR="00000000" w:rsidDel="00000000" w:rsidP="00000000" w:rsidRDefault="00000000" w:rsidRPr="00000000" w14:paraId="00000008">
      <w:pPr>
        <w:spacing w:after="0" w:line="360" w:lineRule="auto"/>
        <w:jc w:val="center"/>
        <w:rPr>
          <w:b w:val="1"/>
        </w:rPr>
      </w:pPr>
      <w:r w:rsidDel="00000000" w:rsidR="00000000" w:rsidRPr="00000000">
        <w:rPr>
          <w:b w:val="1"/>
          <w:rtl w:val="0"/>
        </w:rPr>
        <w:t xml:space="preserve">MODULE CODE: BMIH5007</w:t>
      </w:r>
    </w:p>
    <w:p w:rsidR="00000000" w:rsidDel="00000000" w:rsidP="00000000" w:rsidRDefault="00000000" w:rsidRPr="00000000" w14:paraId="00000009">
      <w:pPr>
        <w:spacing w:after="0" w:line="360" w:lineRule="auto"/>
        <w:jc w:val="center"/>
        <w:rPr>
          <w:b w:val="1"/>
        </w:rPr>
      </w:pPr>
      <w:r w:rsidDel="00000000" w:rsidR="00000000" w:rsidRPr="00000000">
        <w:rPr>
          <w:b w:val="1"/>
          <w:rtl w:val="0"/>
        </w:rPr>
        <w:t xml:space="preserve">LECTURER: TRISTAN HAWKINS</w:t>
      </w:r>
    </w:p>
    <w:p w:rsidR="00000000" w:rsidDel="00000000" w:rsidP="00000000" w:rsidRDefault="00000000" w:rsidRPr="00000000" w14:paraId="0000000A">
      <w:pPr>
        <w:spacing w:after="0" w:line="360" w:lineRule="auto"/>
        <w:jc w:val="center"/>
        <w:rPr>
          <w:b w:val="1"/>
        </w:rPr>
      </w:pPr>
      <w:r w:rsidDel="00000000" w:rsidR="00000000" w:rsidRPr="00000000">
        <w:rPr>
          <w:rtl w:val="0"/>
        </w:rPr>
      </w:r>
    </w:p>
    <w:p w:rsidR="00000000" w:rsidDel="00000000" w:rsidP="00000000" w:rsidRDefault="00000000" w:rsidRPr="00000000" w14:paraId="0000000B">
      <w:pPr>
        <w:spacing w:after="0" w:line="360" w:lineRule="auto"/>
        <w:jc w:val="left"/>
        <w:rPr>
          <w:b w:val="1"/>
        </w:rPr>
      </w:pPr>
      <w:r w:rsidDel="00000000" w:rsidR="00000000" w:rsidRPr="00000000">
        <w:rPr>
          <w:b w:val="1"/>
          <w:rtl w:val="0"/>
        </w:rPr>
        <w:t xml:space="preserve">                      STUDENT NAME: TEOHAR NICOLETA - VALENTINA</w:t>
      </w:r>
    </w:p>
    <w:p w:rsidR="00000000" w:rsidDel="00000000" w:rsidP="00000000" w:rsidRDefault="00000000" w:rsidRPr="00000000" w14:paraId="0000000C">
      <w:pPr>
        <w:spacing w:after="0" w:line="360" w:lineRule="auto"/>
        <w:jc w:val="center"/>
        <w:rPr>
          <w:b w:val="1"/>
        </w:rPr>
      </w:pPr>
      <w:r w:rsidDel="00000000" w:rsidR="00000000" w:rsidRPr="00000000">
        <w:rPr>
          <w:b w:val="1"/>
          <w:rtl w:val="0"/>
        </w:rPr>
        <w:t xml:space="preserve">STUDENT ID: 1918827</w:t>
      </w:r>
    </w:p>
    <w:p w:rsidR="00000000" w:rsidDel="00000000" w:rsidP="00000000" w:rsidRDefault="00000000" w:rsidRPr="00000000" w14:paraId="0000000D">
      <w:pPr>
        <w:spacing w:after="0" w:line="360" w:lineRule="auto"/>
        <w:jc w:val="left"/>
        <w:rPr>
          <w:b w:val="1"/>
        </w:rPr>
      </w:pPr>
      <w:r w:rsidDel="00000000" w:rsidR="00000000" w:rsidRPr="00000000">
        <w:rPr>
          <w:b w:val="1"/>
          <w:rtl w:val="0"/>
        </w:rPr>
        <w:t xml:space="preserve">                                                         WORD COUNT-2205</w:t>
      </w:r>
    </w:p>
    <w:p w:rsidR="00000000" w:rsidDel="00000000" w:rsidP="00000000" w:rsidRDefault="00000000" w:rsidRPr="00000000" w14:paraId="0000000E">
      <w:pPr>
        <w:spacing w:after="0" w:line="360" w:lineRule="auto"/>
        <w:jc w:val="center"/>
        <w:rPr>
          <w:b w:val="1"/>
        </w:rPr>
      </w:pPr>
      <w:r w:rsidDel="00000000" w:rsidR="00000000" w:rsidRPr="00000000">
        <w:rPr>
          <w:rtl w:val="0"/>
        </w:rPr>
      </w:r>
    </w:p>
    <w:p w:rsidR="00000000" w:rsidDel="00000000" w:rsidP="00000000" w:rsidRDefault="00000000" w:rsidRPr="00000000" w14:paraId="0000000F">
      <w:pPr>
        <w:spacing w:after="0" w:line="360" w:lineRule="auto"/>
        <w:jc w:val="center"/>
        <w:rPr>
          <w:b w:val="1"/>
        </w:rPr>
      </w:pPr>
      <w:r w:rsidDel="00000000" w:rsidR="00000000" w:rsidRPr="00000000">
        <w:rPr>
          <w:rtl w:val="0"/>
        </w:rPr>
      </w:r>
    </w:p>
    <w:p w:rsidR="00000000" w:rsidDel="00000000" w:rsidP="00000000" w:rsidRDefault="00000000" w:rsidRPr="00000000" w14:paraId="00000010">
      <w:pPr>
        <w:spacing w:after="0" w:line="360" w:lineRule="auto"/>
        <w:jc w:val="left"/>
        <w:rPr>
          <w:rFonts w:ascii="Arial" w:cs="Arial" w:eastAsia="Arial" w:hAnsi="Arial"/>
          <w:b w:val="1"/>
          <w:color w:val="222222"/>
          <w:sz w:val="22"/>
          <w:szCs w:val="22"/>
          <w:highlight w:val="white"/>
        </w:rPr>
      </w:pPr>
      <w:bookmarkStart w:colFirst="0" w:colLast="0" w:name="_heading=h.jwm6t0muzew9" w:id="0"/>
      <w:bookmarkEnd w:id="0"/>
      <w:r w:rsidDel="00000000" w:rsidR="00000000" w:rsidRPr="00000000">
        <w:rPr>
          <w:rtl w:val="0"/>
        </w:rPr>
      </w:r>
    </w:p>
    <w:p w:rsidR="00000000" w:rsidDel="00000000" w:rsidP="00000000" w:rsidRDefault="00000000" w:rsidRPr="00000000" w14:paraId="00000011">
      <w:pPr>
        <w:spacing w:after="0" w:line="360" w:lineRule="auto"/>
        <w:jc w:val="left"/>
        <w:rPr>
          <w:rFonts w:ascii="Arial" w:cs="Arial" w:eastAsia="Arial" w:hAnsi="Arial"/>
          <w:b w:val="1"/>
          <w:color w:val="222222"/>
          <w:sz w:val="22"/>
          <w:szCs w:val="22"/>
          <w:highlight w:val="white"/>
        </w:rPr>
      </w:pPr>
      <w:bookmarkStart w:colFirst="0" w:colLast="0" w:name="_heading=h.ld7ukny48alh" w:id="1"/>
      <w:bookmarkEnd w:id="1"/>
      <w:r w:rsidDel="00000000" w:rsidR="00000000" w:rsidRPr="00000000">
        <w:rPr>
          <w:rtl w:val="0"/>
        </w:rPr>
      </w:r>
    </w:p>
    <w:p w:rsidR="00000000" w:rsidDel="00000000" w:rsidP="00000000" w:rsidRDefault="00000000" w:rsidRPr="00000000" w14:paraId="00000012">
      <w:pPr>
        <w:spacing w:after="0" w:line="360" w:lineRule="auto"/>
        <w:jc w:val="left"/>
        <w:rPr>
          <w:rFonts w:ascii="Arial" w:cs="Arial" w:eastAsia="Arial" w:hAnsi="Arial"/>
          <w:b w:val="1"/>
          <w:color w:val="222222"/>
          <w:sz w:val="22"/>
          <w:szCs w:val="22"/>
          <w:highlight w:val="white"/>
        </w:rPr>
      </w:pPr>
      <w:bookmarkStart w:colFirst="0" w:colLast="0" w:name="_heading=h.xbhwhutfoaoo" w:id="2"/>
      <w:bookmarkEnd w:id="2"/>
      <w:r w:rsidDel="00000000" w:rsidR="00000000" w:rsidRPr="00000000">
        <w:rPr>
          <w:rtl w:val="0"/>
        </w:rPr>
      </w:r>
    </w:p>
    <w:p w:rsidR="00000000" w:rsidDel="00000000" w:rsidP="00000000" w:rsidRDefault="00000000" w:rsidRPr="00000000" w14:paraId="00000013">
      <w:pPr>
        <w:spacing w:after="0" w:line="360" w:lineRule="auto"/>
        <w:jc w:val="left"/>
        <w:rPr>
          <w:rFonts w:ascii="Arial" w:cs="Arial" w:eastAsia="Arial" w:hAnsi="Arial"/>
          <w:b w:val="1"/>
          <w:color w:val="222222"/>
          <w:sz w:val="22"/>
          <w:szCs w:val="22"/>
          <w:highlight w:val="white"/>
        </w:rPr>
      </w:pPr>
      <w:bookmarkStart w:colFirst="0" w:colLast="0" w:name="_heading=h.7gyurqyj80f5" w:id="3"/>
      <w:bookmarkEnd w:id="3"/>
      <w:r w:rsidDel="00000000" w:rsidR="00000000" w:rsidRPr="00000000">
        <w:rPr>
          <w:rtl w:val="0"/>
        </w:rPr>
      </w:r>
    </w:p>
    <w:p w:rsidR="00000000" w:rsidDel="00000000" w:rsidP="00000000" w:rsidRDefault="00000000" w:rsidRPr="00000000" w14:paraId="00000014">
      <w:pPr>
        <w:spacing w:after="0" w:line="360" w:lineRule="auto"/>
        <w:jc w:val="left"/>
        <w:rPr>
          <w:rFonts w:ascii="Arial" w:cs="Arial" w:eastAsia="Arial" w:hAnsi="Arial"/>
          <w:b w:val="1"/>
          <w:color w:val="222222"/>
          <w:sz w:val="22"/>
          <w:szCs w:val="22"/>
          <w:highlight w:val="white"/>
        </w:rPr>
      </w:pPr>
      <w:bookmarkStart w:colFirst="0" w:colLast="0" w:name="_heading=h.ow5f9kfk506a" w:id="4"/>
      <w:bookmarkEnd w:id="4"/>
      <w:r w:rsidDel="00000000" w:rsidR="00000000" w:rsidRPr="00000000">
        <w:rPr>
          <w:rtl w:val="0"/>
        </w:rPr>
      </w:r>
    </w:p>
    <w:p w:rsidR="00000000" w:rsidDel="00000000" w:rsidP="00000000" w:rsidRDefault="00000000" w:rsidRPr="00000000" w14:paraId="00000015">
      <w:pPr>
        <w:spacing w:after="0" w:line="360" w:lineRule="auto"/>
        <w:jc w:val="left"/>
        <w:rPr>
          <w:rFonts w:ascii="Arial" w:cs="Arial" w:eastAsia="Arial" w:hAnsi="Arial"/>
          <w:b w:val="1"/>
          <w:color w:val="222222"/>
          <w:sz w:val="22"/>
          <w:szCs w:val="22"/>
          <w:highlight w:val="white"/>
        </w:rPr>
      </w:pPr>
      <w:bookmarkStart w:colFirst="0" w:colLast="0" w:name="_heading=h.o8wdco2rb74r" w:id="5"/>
      <w:bookmarkEnd w:id="5"/>
      <w:r w:rsidDel="00000000" w:rsidR="00000000" w:rsidRPr="00000000">
        <w:rPr>
          <w:rtl w:val="0"/>
        </w:rPr>
      </w:r>
    </w:p>
    <w:p w:rsidR="00000000" w:rsidDel="00000000" w:rsidP="00000000" w:rsidRDefault="00000000" w:rsidRPr="00000000" w14:paraId="00000016">
      <w:pPr>
        <w:spacing w:after="0" w:line="360" w:lineRule="auto"/>
        <w:jc w:val="left"/>
        <w:rPr>
          <w:rFonts w:ascii="Arial" w:cs="Arial" w:eastAsia="Arial" w:hAnsi="Arial"/>
          <w:b w:val="1"/>
          <w:color w:val="222222"/>
          <w:sz w:val="22"/>
          <w:szCs w:val="22"/>
          <w:highlight w:val="white"/>
        </w:rPr>
      </w:pPr>
      <w:bookmarkStart w:colFirst="0" w:colLast="0" w:name="_heading=h.3w5a4rjnjhgl" w:id="6"/>
      <w:bookmarkEnd w:id="6"/>
      <w:r w:rsidDel="00000000" w:rsidR="00000000" w:rsidRPr="00000000">
        <w:rPr>
          <w:rtl w:val="0"/>
        </w:rPr>
      </w:r>
    </w:p>
    <w:p w:rsidR="00000000" w:rsidDel="00000000" w:rsidP="00000000" w:rsidRDefault="00000000" w:rsidRPr="00000000" w14:paraId="00000017">
      <w:pPr>
        <w:spacing w:after="0" w:line="360" w:lineRule="auto"/>
        <w:jc w:val="left"/>
        <w:rPr>
          <w:rFonts w:ascii="Arial" w:cs="Arial" w:eastAsia="Arial" w:hAnsi="Arial"/>
          <w:b w:val="1"/>
          <w:color w:val="222222"/>
          <w:sz w:val="22"/>
          <w:szCs w:val="22"/>
          <w:highlight w:val="white"/>
        </w:rPr>
      </w:pPr>
      <w:bookmarkStart w:colFirst="0" w:colLast="0" w:name="_heading=h.cp0tdl1zpf4m" w:id="7"/>
      <w:bookmarkEnd w:id="7"/>
      <w:r w:rsidDel="00000000" w:rsidR="00000000" w:rsidRPr="00000000">
        <w:rPr>
          <w:rtl w:val="0"/>
        </w:rPr>
      </w:r>
    </w:p>
    <w:p w:rsidR="00000000" w:rsidDel="00000000" w:rsidP="00000000" w:rsidRDefault="00000000" w:rsidRPr="00000000" w14:paraId="00000018">
      <w:pPr>
        <w:spacing w:after="0" w:line="360" w:lineRule="auto"/>
        <w:jc w:val="left"/>
        <w:rPr>
          <w:rFonts w:ascii="Arial" w:cs="Arial" w:eastAsia="Arial" w:hAnsi="Arial"/>
          <w:b w:val="1"/>
          <w:color w:val="222222"/>
          <w:sz w:val="22"/>
          <w:szCs w:val="22"/>
          <w:highlight w:val="white"/>
        </w:rPr>
      </w:pPr>
      <w:bookmarkStart w:colFirst="0" w:colLast="0" w:name="_heading=h.gjdgxs" w:id="8"/>
      <w:bookmarkEnd w:id="8"/>
      <w:r w:rsidDel="00000000" w:rsidR="00000000" w:rsidRPr="00000000">
        <w:rPr>
          <w:rFonts w:ascii="Arial" w:cs="Arial" w:eastAsia="Arial" w:hAnsi="Arial"/>
          <w:b w:val="1"/>
          <w:color w:val="222222"/>
          <w:sz w:val="22"/>
          <w:szCs w:val="22"/>
          <w:highlight w:val="white"/>
          <w:rtl w:val="0"/>
        </w:rPr>
        <w:t xml:space="preserve">I acknowledge the use of Grammarly (</w:t>
      </w:r>
      <w:hyperlink r:id="rId8">
        <w:r w:rsidDel="00000000" w:rsidR="00000000" w:rsidRPr="00000000">
          <w:rPr>
            <w:rFonts w:ascii="Arial" w:cs="Arial" w:eastAsia="Arial" w:hAnsi="Arial"/>
            <w:b w:val="1"/>
            <w:color w:val="1155cc"/>
            <w:sz w:val="22"/>
            <w:szCs w:val="22"/>
            <w:highlight w:val="white"/>
            <w:u w:val="single"/>
            <w:rtl w:val="0"/>
          </w:rPr>
          <w:t xml:space="preserve">https://www.grammarly.com/)on</w:t>
        </w:r>
      </w:hyperlink>
      <w:r w:rsidDel="00000000" w:rsidR="00000000" w:rsidRPr="00000000">
        <w:rPr>
          <w:rFonts w:ascii="Arial" w:cs="Arial" w:eastAsia="Arial" w:hAnsi="Arial"/>
          <w:b w:val="1"/>
          <w:color w:val="222222"/>
          <w:sz w:val="22"/>
          <w:szCs w:val="22"/>
          <w:highlight w:val="white"/>
          <w:rtl w:val="0"/>
        </w:rPr>
        <w:t xml:space="preserve"> 13/11/2024 in order to check my work for readability, grammar and syntax.</w:t>
      </w:r>
    </w:p>
    <w:p w:rsidR="00000000" w:rsidDel="00000000" w:rsidP="00000000" w:rsidRDefault="00000000" w:rsidRPr="00000000" w14:paraId="00000019">
      <w:pPr>
        <w:spacing w:after="0" w:line="360" w:lineRule="auto"/>
        <w:jc w:val="left"/>
        <w:rPr>
          <w:b w:val="1"/>
        </w:rPr>
      </w:pPr>
      <w:bookmarkStart w:colFirst="0" w:colLast="0" w:name="_heading=h.gjdgxs" w:id="8"/>
      <w:bookmarkEnd w:id="8"/>
      <w:r w:rsidDel="00000000" w:rsidR="00000000" w:rsidRPr="00000000">
        <w:rPr>
          <w:rFonts w:ascii="Arial" w:cs="Arial" w:eastAsia="Arial" w:hAnsi="Arial"/>
          <w:b w:val="1"/>
          <w:color w:val="222222"/>
          <w:sz w:val="22"/>
          <w:szCs w:val="22"/>
          <w:highlight w:val="white"/>
          <w:rtl w:val="0"/>
        </w:rPr>
        <w:t xml:space="preserve">I confirm that I have not presented any AI generated text as my own work. I confirm that I have copies of my drafts, notes and other resources I used before and after the uses of AI tools which I may be asked to provide in evidence</w:t>
      </w:r>
      <w:r w:rsidDel="00000000" w:rsidR="00000000" w:rsidRPr="00000000">
        <w:rPr>
          <w:rtl w:val="0"/>
        </w:rPr>
      </w:r>
    </w:p>
    <w:p w:rsidR="00000000" w:rsidDel="00000000" w:rsidP="00000000" w:rsidRDefault="00000000" w:rsidRPr="00000000" w14:paraId="0000001A">
      <w:pPr>
        <w:spacing w:after="0" w:line="360" w:lineRule="auto"/>
        <w:jc w:val="center"/>
        <w:rPr>
          <w:b w:val="1"/>
        </w:rPr>
        <w:sectPr>
          <w:footerReference r:id="rId9" w:type="first"/>
          <w:pgSz w:h="16838" w:w="11906" w:orient="portrait"/>
          <w:pgMar w:bottom="1440" w:top="1440" w:left="1440" w:right="1440" w:header="708" w:footer="708"/>
          <w:pgNumType w:start="1"/>
        </w:sectPr>
      </w:pPr>
      <w:r w:rsidDel="00000000" w:rsidR="00000000" w:rsidRPr="00000000">
        <w:rPr>
          <w:rtl w:val="0"/>
        </w:rPr>
      </w:r>
    </w:p>
    <w:p w:rsidR="00000000" w:rsidDel="00000000" w:rsidP="00000000" w:rsidRDefault="00000000" w:rsidRPr="00000000" w14:paraId="0000001B">
      <w:pPr>
        <w:jc w:val="center"/>
        <w:rPr>
          <w:b w:val="1"/>
        </w:rPr>
      </w:pPr>
      <w:r w:rsidDel="00000000" w:rsidR="00000000" w:rsidRPr="00000000">
        <w:rPr>
          <w:b w:val="1"/>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FINANCIAL PERFORMANCE ANALYSIS</w:t>
              <w:tab/>
              <w:t xml:space="preserve">1</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PROFITABILITY RATIOS</w:t>
              <w:tab/>
              <w:t xml:space="preserve">1</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GROSS PROFIT MARGIN</w:t>
              <w:tab/>
              <w:t xml:space="preserve">1</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OPERATING PROFIT MARGIN</w:t>
              <w:tab/>
              <w:t xml:space="preserve">2</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NET PROFIT MARGIN</w:t>
              <w:tab/>
              <w:t xml:space="preserve">2</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LIQUIDITY RATIOS</w:t>
              <w:tab/>
              <w:t xml:space="preserve">3</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CURRENT RATIO</w:t>
              <w:tab/>
              <w:t xml:space="preserve">3</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QUICK RATIO</w:t>
              <w:tab/>
              <w:t xml:space="preserve">3</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SOLVENCY RATIOS</w:t>
              <w:tab/>
              <w:t xml:space="preserve">4</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DEBT-TO-EQUITY RATIO</w:t>
              <w:tab/>
              <w:t xml:space="preserve">4</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REASONS FOR DECLINE IN PROFITABILITY</w:t>
              <w:tab/>
              <w:t xml:space="preserve">5</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INTERNAL FACTORS</w:t>
              <w:tab/>
              <w:t xml:space="preserve">5</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EXTERNAL FACTORS</w:t>
              <w:tab/>
              <w:t xml:space="preserve">6</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TURNAROUND STRATEGY</w:t>
              <w:tab/>
              <w:t xml:space="preserve">6</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2D">
          <w:pPr>
            <w:spacing w:after="0"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E">
      <w:pPr>
        <w:pStyle w:val="Heading1"/>
        <w:spacing w:before="0" w:line="360" w:lineRule="auto"/>
        <w:rPr/>
        <w:sectPr>
          <w:type w:val="nextPage"/>
          <w:pgSz w:h="16838" w:w="11906" w:orient="portrait"/>
          <w:pgMar w:bottom="1440" w:top="1440" w:left="1440" w:right="1440" w:header="708" w:footer="708"/>
        </w:sectPr>
      </w:pPr>
      <w:r w:rsidDel="00000000" w:rsidR="00000000" w:rsidRPr="00000000">
        <w:rPr>
          <w:rtl w:val="0"/>
        </w:rPr>
      </w:r>
    </w:p>
    <w:p w:rsidR="00000000" w:rsidDel="00000000" w:rsidP="00000000" w:rsidRDefault="00000000" w:rsidRPr="00000000" w14:paraId="0000002F">
      <w:pPr>
        <w:pStyle w:val="Heading1"/>
        <w:spacing w:before="0" w:line="360" w:lineRule="auto"/>
        <w:rPr/>
      </w:pPr>
      <w:bookmarkStart w:colFirst="0" w:colLast="0" w:name="_heading=h.30j0zll" w:id="9"/>
      <w:bookmarkEnd w:id="9"/>
      <w:r w:rsidDel="00000000" w:rsidR="00000000" w:rsidRPr="00000000">
        <w:rPr>
          <w:rtl w:val="0"/>
        </w:rPr>
        <w:t xml:space="preserve">INTRODUCTION</w:t>
      </w:r>
    </w:p>
    <w:p w:rsidR="00000000" w:rsidDel="00000000" w:rsidP="00000000" w:rsidRDefault="00000000" w:rsidRPr="00000000" w14:paraId="00000030">
      <w:pPr>
        <w:spacing w:after="0" w:line="360" w:lineRule="auto"/>
        <w:rPr/>
      </w:pPr>
      <w:r w:rsidDel="00000000" w:rsidR="00000000" w:rsidRPr="00000000">
        <w:rPr>
          <w:rtl w:val="0"/>
        </w:rPr>
        <w:t xml:space="preserve">The City Hotel, a renowned hotel for its quality service and in the best location is now struggling financially. The hotel has seen dwindling revenue, declining occupancy rates, and falling customer satisfaction levels over the past several years (</w:t>
      </w:r>
      <w:r w:rsidDel="00000000" w:rsidR="00000000" w:rsidRPr="00000000">
        <w:rPr>
          <w:color w:val="222222"/>
          <w:highlight w:val="white"/>
          <w:rtl w:val="0"/>
        </w:rPr>
        <w:t xml:space="preserve">Olayinka</w:t>
      </w:r>
      <w:r w:rsidDel="00000000" w:rsidR="00000000" w:rsidRPr="00000000">
        <w:rPr>
          <w:rtl w:val="0"/>
        </w:rPr>
        <w:t xml:space="preserve">, 2022). Broader economic shifts and increasing competition in the hospitality sector have exacerbated these challenges. This report is prepared to analyze the financial performance of The City Hotel for three years, concentrating on revenue growth and profitability as well as liquidity and solvency of the hotel. This report aims to identify internal and external factors leading up these struggles to lay out a targeted turnaround plan. The focus will be to return The City Hotel to profitability whilst ensuring the continued long-term ownership by the owner.</w:t>
      </w:r>
    </w:p>
    <w:p w:rsidR="00000000" w:rsidDel="00000000" w:rsidP="00000000" w:rsidRDefault="00000000" w:rsidRPr="00000000" w14:paraId="00000031">
      <w:pPr>
        <w:pStyle w:val="Heading1"/>
        <w:spacing w:before="0" w:line="360" w:lineRule="auto"/>
        <w:rPr/>
      </w:pPr>
      <w:bookmarkStart w:colFirst="0" w:colLast="0" w:name="_heading=h.1fob9te" w:id="10"/>
      <w:bookmarkEnd w:id="10"/>
      <w:r w:rsidDel="00000000" w:rsidR="00000000" w:rsidRPr="00000000">
        <w:rPr>
          <w:rtl w:val="0"/>
        </w:rPr>
        <w:t xml:space="preserve">FINANCIAL PERFORMANCE ANALYSIS</w:t>
      </w:r>
    </w:p>
    <w:p w:rsidR="00000000" w:rsidDel="00000000" w:rsidP="00000000" w:rsidRDefault="00000000" w:rsidRPr="00000000" w14:paraId="00000032">
      <w:pPr>
        <w:spacing w:after="0" w:line="360" w:lineRule="auto"/>
        <w:rPr/>
      </w:pPr>
      <w:r w:rsidDel="00000000" w:rsidR="00000000" w:rsidRPr="00000000">
        <w:rPr>
          <w:rtl w:val="0"/>
        </w:rPr>
        <w:t xml:space="preserve">To assess The City Hotel’s financial health, financial ratios and trend analysis are considered very effective as those analysis have the ability to provide insight into the hotel’s ability to meet short-term obligations, generate profits, and maintain a stable capital structure (Rashid, 2021).</w:t>
      </w:r>
    </w:p>
    <w:p w:rsidR="00000000" w:rsidDel="00000000" w:rsidP="00000000" w:rsidRDefault="00000000" w:rsidRPr="00000000" w14:paraId="00000033">
      <w:pPr>
        <w:pStyle w:val="Heading2"/>
        <w:spacing w:before="0" w:line="360" w:lineRule="auto"/>
        <w:rPr/>
      </w:pPr>
      <w:bookmarkStart w:colFirst="0" w:colLast="0" w:name="_heading=h.3znysh7" w:id="11"/>
      <w:bookmarkEnd w:id="11"/>
      <w:r w:rsidDel="00000000" w:rsidR="00000000" w:rsidRPr="00000000">
        <w:rPr>
          <w:rtl w:val="0"/>
        </w:rPr>
        <w:t xml:space="preserve">PROFITABILITY RATIOS</w:t>
      </w:r>
    </w:p>
    <w:p w:rsidR="00000000" w:rsidDel="00000000" w:rsidP="00000000" w:rsidRDefault="00000000" w:rsidRPr="00000000" w14:paraId="00000034">
      <w:pPr>
        <w:spacing w:after="0" w:line="360" w:lineRule="auto"/>
        <w:rPr/>
      </w:pPr>
      <w:r w:rsidDel="00000000" w:rsidR="00000000" w:rsidRPr="00000000">
        <w:rPr>
          <w:rtl w:val="0"/>
        </w:rPr>
        <w:t xml:space="preserve">Profitability ratios assess a company’s ability to generate profit relative to its revenue, cost structure, and assets, indicating how efficiently the company manages its resources (</w:t>
      </w:r>
      <w:r w:rsidDel="00000000" w:rsidR="00000000" w:rsidRPr="00000000">
        <w:rPr>
          <w:color w:val="222222"/>
          <w:highlight w:val="white"/>
          <w:rtl w:val="0"/>
        </w:rPr>
        <w:t xml:space="preserve">Olayinka</w:t>
      </w:r>
      <w:r w:rsidDel="00000000" w:rsidR="00000000" w:rsidRPr="00000000">
        <w:rPr>
          <w:rtl w:val="0"/>
        </w:rPr>
        <w:t xml:space="preserve">, 2022). </w:t>
      </w:r>
    </w:p>
    <w:p w:rsidR="00000000" w:rsidDel="00000000" w:rsidP="00000000" w:rsidRDefault="00000000" w:rsidRPr="00000000" w14:paraId="00000035">
      <w:pPr>
        <w:pStyle w:val="Heading3"/>
        <w:spacing w:after="0" w:before="0" w:line="360" w:lineRule="auto"/>
        <w:rPr>
          <w:b w:val="1"/>
        </w:rPr>
      </w:pPr>
      <w:bookmarkStart w:colFirst="0" w:colLast="0" w:name="_heading=h.2et92p0" w:id="12"/>
      <w:bookmarkEnd w:id="12"/>
      <w:r w:rsidDel="00000000" w:rsidR="00000000" w:rsidRPr="00000000">
        <w:rPr>
          <w:b w:val="1"/>
          <w:rtl w:val="0"/>
        </w:rPr>
        <w:t xml:space="preserve">GROSS PROFIT MARGIN</w:t>
      </w:r>
    </w:p>
    <w:p w:rsidR="00000000" w:rsidDel="00000000" w:rsidP="00000000" w:rsidRDefault="00000000" w:rsidRPr="00000000" w14:paraId="00000036">
      <w:pPr>
        <w:spacing w:after="0" w:line="360" w:lineRule="auto"/>
        <w:rPr/>
      </w:pPr>
      <w:r w:rsidDel="00000000" w:rsidR="00000000" w:rsidRPr="00000000">
        <w:rPr>
          <w:rtl w:val="0"/>
        </w:rPr>
        <w:t xml:space="preserve">The Gross Profit Margin measures the percentage of revenue remaining after deducting the cost of goods sold (COGS), reflecting the efficiency of production and pricing strategy (Akinleye et al., 2023). By calculating the difference between revenue and COGS, we assess how much revenue exceeds direct production costs.</w:t>
      </w:r>
    </w:p>
    <w:p w:rsidR="00000000" w:rsidDel="00000000" w:rsidP="00000000" w:rsidRDefault="00000000" w:rsidRPr="00000000" w14:paraId="00000037">
      <w:pPr>
        <w:spacing w:after="0" w:line="360" w:lineRule="auto"/>
        <w:jc w:val="center"/>
        <w:rPr>
          <w:b w:val="1"/>
          <w:sz w:val="20"/>
          <w:szCs w:val="20"/>
        </w:rPr>
      </w:pPr>
      <w:r w:rsidDel="00000000" w:rsidR="00000000" w:rsidRPr="00000000">
        <w:rPr>
          <w:b w:val="1"/>
          <w:sz w:val="20"/>
          <w:szCs w:val="20"/>
        </w:rPr>
        <w:drawing>
          <wp:inline distB="0" distT="0" distL="0" distR="0">
            <wp:extent cx="3589675" cy="2004413"/>
            <wp:effectExtent b="0" l="0" r="0" t="0"/>
            <wp:docPr id="2073134640"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3589675" cy="2004413"/>
                    </a:xfrm>
                    <a:prstGeom prst="rect"/>
                    <a:ln/>
                  </pic:spPr>
                </pic:pic>
              </a:graphicData>
            </a:graphic>
          </wp:inline>
        </w:drawing>
      </w:r>
      <w:r w:rsidDel="00000000" w:rsidR="00000000" w:rsidRPr="00000000">
        <w:rPr>
          <w:rtl w:val="0"/>
        </w:rPr>
      </w:r>
    </w:p>
    <w:p w:rsidR="00000000" w:rsidDel="00000000" w:rsidP="00000000" w:rsidRDefault="00000000" w:rsidRPr="00000000" w14:paraId="00000038">
      <w:pPr>
        <w:spacing w:after="0" w:line="360" w:lineRule="auto"/>
        <w:jc w:val="center"/>
        <w:rPr>
          <w:b w:val="1"/>
          <w:sz w:val="20"/>
          <w:szCs w:val="20"/>
        </w:rPr>
      </w:pPr>
      <w:r w:rsidDel="00000000" w:rsidR="00000000" w:rsidRPr="00000000">
        <w:rPr>
          <w:b w:val="1"/>
          <w:sz w:val="20"/>
          <w:szCs w:val="20"/>
          <w:rtl w:val="0"/>
        </w:rPr>
        <w:t xml:space="preserve">FIGURE 1: GROSS PROFIT MARGIN ANALYSIS</w:t>
      </w:r>
    </w:p>
    <w:p w:rsidR="00000000" w:rsidDel="00000000" w:rsidP="00000000" w:rsidRDefault="00000000" w:rsidRPr="00000000" w14:paraId="00000039">
      <w:pPr>
        <w:spacing w:after="0" w:line="360" w:lineRule="auto"/>
        <w:rPr>
          <w:b w:val="0"/>
        </w:rPr>
      </w:pPr>
      <w:r w:rsidDel="00000000" w:rsidR="00000000" w:rsidRPr="00000000">
        <w:rPr>
          <w:b w:val="0"/>
          <w:rtl w:val="0"/>
        </w:rPr>
        <w:t xml:space="preserve">From Figure 1, it is found that the Gross Profit Margin remained stable across all three years, suggesting that the cost of goods sold did not fluctuate significantly relative to revenue. This indicates effective cost management in production, despite declining revenue.</w:t>
      </w:r>
    </w:p>
    <w:p w:rsidR="00000000" w:rsidDel="00000000" w:rsidP="00000000" w:rsidRDefault="00000000" w:rsidRPr="00000000" w14:paraId="0000003A">
      <w:pPr>
        <w:pStyle w:val="Heading3"/>
        <w:spacing w:after="0" w:before="0" w:line="360" w:lineRule="auto"/>
        <w:rPr>
          <w:b w:val="1"/>
        </w:rPr>
      </w:pPr>
      <w:bookmarkStart w:colFirst="0" w:colLast="0" w:name="_heading=h.tyjcwt" w:id="13"/>
      <w:bookmarkEnd w:id="13"/>
      <w:r w:rsidDel="00000000" w:rsidR="00000000" w:rsidRPr="00000000">
        <w:rPr>
          <w:b w:val="1"/>
          <w:rtl w:val="0"/>
        </w:rPr>
        <w:t xml:space="preserve">OPERATING PROFIT MARGIN</w:t>
      </w:r>
    </w:p>
    <w:p w:rsidR="00000000" w:rsidDel="00000000" w:rsidP="00000000" w:rsidRDefault="00000000" w:rsidRPr="00000000" w14:paraId="0000003B">
      <w:pPr>
        <w:spacing w:after="0" w:line="360" w:lineRule="auto"/>
        <w:rPr/>
      </w:pPr>
      <w:r w:rsidDel="00000000" w:rsidR="00000000" w:rsidRPr="00000000">
        <w:rPr>
          <w:rtl w:val="0"/>
        </w:rPr>
        <w:t xml:space="preserve">The Operating Profit Margin evaluates the percentage of revenue left after all operating expenses, excluding interest and taxes, are subtracted. It reflects operational efficiency. This ratio compares operating income to revenue, providing insights into cost management and profitability before financing and tax impacts (Jayathilaka, 2020).</w:t>
      </w:r>
    </w:p>
    <w:p w:rsidR="00000000" w:rsidDel="00000000" w:rsidP="00000000" w:rsidRDefault="00000000" w:rsidRPr="00000000" w14:paraId="0000003C">
      <w:pPr>
        <w:spacing w:after="0" w:line="360" w:lineRule="auto"/>
        <w:jc w:val="center"/>
        <w:rPr>
          <w:sz w:val="20"/>
          <w:szCs w:val="20"/>
        </w:rPr>
      </w:pPr>
      <w:r w:rsidDel="00000000" w:rsidR="00000000" w:rsidRPr="00000000">
        <w:rPr>
          <w:sz w:val="20"/>
          <w:szCs w:val="20"/>
        </w:rPr>
        <w:drawing>
          <wp:inline distB="0" distT="0" distL="0" distR="0">
            <wp:extent cx="3585928" cy="2160000"/>
            <wp:effectExtent b="0" l="0" r="0" t="0"/>
            <wp:docPr id="2073134642" name="image4.png"/>
            <a:graphic>
              <a:graphicData uri="http://schemas.openxmlformats.org/drawingml/2006/picture">
                <pic:pic>
                  <pic:nvPicPr>
                    <pic:cNvPr id="0" name="image4.png"/>
                    <pic:cNvPicPr preferRelativeResize="0"/>
                  </pic:nvPicPr>
                  <pic:blipFill>
                    <a:blip r:embed="rId11"/>
                    <a:srcRect b="0" l="0" r="0" t="0"/>
                    <a:stretch>
                      <a:fillRect/>
                    </a:stretch>
                  </pic:blipFill>
                  <pic:spPr>
                    <a:xfrm>
                      <a:off x="0" y="0"/>
                      <a:ext cx="3585928" cy="2160000"/>
                    </a:xfrm>
                    <a:prstGeom prst="rect"/>
                    <a:ln/>
                  </pic:spPr>
                </pic:pic>
              </a:graphicData>
            </a:graphic>
          </wp:inline>
        </w:drawing>
      </w:r>
      <w:r w:rsidDel="00000000" w:rsidR="00000000" w:rsidRPr="00000000">
        <w:rPr>
          <w:rtl w:val="0"/>
        </w:rPr>
      </w:r>
    </w:p>
    <w:p w:rsidR="00000000" w:rsidDel="00000000" w:rsidP="00000000" w:rsidRDefault="00000000" w:rsidRPr="00000000" w14:paraId="0000003D">
      <w:pPr>
        <w:spacing w:after="0" w:line="360" w:lineRule="auto"/>
        <w:jc w:val="center"/>
        <w:rPr>
          <w:b w:val="1"/>
          <w:sz w:val="20"/>
          <w:szCs w:val="20"/>
        </w:rPr>
      </w:pPr>
      <w:r w:rsidDel="00000000" w:rsidR="00000000" w:rsidRPr="00000000">
        <w:rPr>
          <w:b w:val="1"/>
          <w:sz w:val="20"/>
          <w:szCs w:val="20"/>
          <w:rtl w:val="0"/>
        </w:rPr>
        <w:t xml:space="preserve">FIGURE 2: OPERATING PROFIT MARGIN ANALYSIS</w:t>
      </w:r>
    </w:p>
    <w:p w:rsidR="00000000" w:rsidDel="00000000" w:rsidP="00000000" w:rsidRDefault="00000000" w:rsidRPr="00000000" w14:paraId="0000003E">
      <w:pPr>
        <w:spacing w:after="0" w:line="360" w:lineRule="auto"/>
        <w:rPr>
          <w:b w:val="0"/>
        </w:rPr>
      </w:pPr>
      <w:r w:rsidDel="00000000" w:rsidR="00000000" w:rsidRPr="00000000">
        <w:rPr>
          <w:b w:val="0"/>
          <w:rtl w:val="0"/>
        </w:rPr>
        <w:t xml:space="preserve">Figure 2 shows that the Operating Profit Margin dropped significantly to -52.4% in 2023 from 12.7% in previous years. This drastic change highlights challenges in covering operational expenses, likely due to lower occupancy rates and revenue.</w:t>
      </w:r>
    </w:p>
    <w:p w:rsidR="00000000" w:rsidDel="00000000" w:rsidP="00000000" w:rsidRDefault="00000000" w:rsidRPr="00000000" w14:paraId="0000003F">
      <w:pPr>
        <w:pStyle w:val="Heading3"/>
        <w:spacing w:after="0" w:before="0" w:line="360" w:lineRule="auto"/>
        <w:rPr>
          <w:b w:val="1"/>
        </w:rPr>
      </w:pPr>
      <w:bookmarkStart w:colFirst="0" w:colLast="0" w:name="_heading=h.3dy6vkm" w:id="14"/>
      <w:bookmarkEnd w:id="14"/>
      <w:r w:rsidDel="00000000" w:rsidR="00000000" w:rsidRPr="00000000">
        <w:rPr>
          <w:b w:val="1"/>
          <w:rtl w:val="0"/>
        </w:rPr>
        <w:t xml:space="preserve">NET PROFIT MARGIN</w:t>
      </w:r>
    </w:p>
    <w:p w:rsidR="00000000" w:rsidDel="00000000" w:rsidP="00000000" w:rsidRDefault="00000000" w:rsidRPr="00000000" w14:paraId="00000040">
      <w:pPr>
        <w:spacing w:after="0" w:line="360" w:lineRule="auto"/>
        <w:rPr/>
      </w:pPr>
      <w:r w:rsidDel="00000000" w:rsidR="00000000" w:rsidRPr="00000000">
        <w:rPr>
          <w:rtl w:val="0"/>
        </w:rPr>
        <w:t xml:space="preserve">The Net Profit Margin indicates the portion of revenue that becomes net profit after all expenses, including taxes and interest, have been deducted (Hutagalung &amp; Siagian, 2022). This ratio measures overall profitability, giving a complete picture of how much revenue remains after all business expenses.</w:t>
      </w:r>
    </w:p>
    <w:p w:rsidR="00000000" w:rsidDel="00000000" w:rsidP="00000000" w:rsidRDefault="00000000" w:rsidRPr="00000000" w14:paraId="00000041">
      <w:pPr>
        <w:spacing w:after="0" w:line="360" w:lineRule="auto"/>
        <w:jc w:val="center"/>
        <w:rPr>
          <w:b w:val="0"/>
        </w:rPr>
      </w:pPr>
      <w:r w:rsidDel="00000000" w:rsidR="00000000" w:rsidRPr="00000000">
        <w:rPr>
          <w:b w:val="0"/>
        </w:rPr>
        <w:drawing>
          <wp:inline distB="0" distT="0" distL="0" distR="0">
            <wp:extent cx="3585928" cy="2160000"/>
            <wp:effectExtent b="0" l="0" r="0" t="0"/>
            <wp:docPr id="2073134641" name="image2.png"/>
            <a:graphic>
              <a:graphicData uri="http://schemas.openxmlformats.org/drawingml/2006/picture">
                <pic:pic>
                  <pic:nvPicPr>
                    <pic:cNvPr id="0" name="image2.png"/>
                    <pic:cNvPicPr preferRelativeResize="0"/>
                  </pic:nvPicPr>
                  <pic:blipFill>
                    <a:blip r:embed="rId12"/>
                    <a:srcRect b="0" l="0" r="0" t="0"/>
                    <a:stretch>
                      <a:fillRect/>
                    </a:stretch>
                  </pic:blipFill>
                  <pic:spPr>
                    <a:xfrm>
                      <a:off x="0" y="0"/>
                      <a:ext cx="3585928" cy="2160000"/>
                    </a:xfrm>
                    <a:prstGeom prst="rect"/>
                    <a:ln/>
                  </pic:spPr>
                </pic:pic>
              </a:graphicData>
            </a:graphic>
          </wp:inline>
        </w:drawing>
      </w:r>
      <w:r w:rsidDel="00000000" w:rsidR="00000000" w:rsidRPr="00000000">
        <w:rPr>
          <w:rtl w:val="0"/>
        </w:rPr>
      </w:r>
    </w:p>
    <w:p w:rsidR="00000000" w:rsidDel="00000000" w:rsidP="00000000" w:rsidRDefault="00000000" w:rsidRPr="00000000" w14:paraId="00000042">
      <w:pPr>
        <w:spacing w:after="0" w:line="360" w:lineRule="auto"/>
        <w:jc w:val="center"/>
        <w:rPr>
          <w:b w:val="1"/>
          <w:sz w:val="20"/>
          <w:szCs w:val="20"/>
        </w:rPr>
      </w:pPr>
      <w:r w:rsidDel="00000000" w:rsidR="00000000" w:rsidRPr="00000000">
        <w:rPr>
          <w:b w:val="1"/>
          <w:sz w:val="20"/>
          <w:szCs w:val="20"/>
          <w:rtl w:val="0"/>
        </w:rPr>
        <w:t xml:space="preserve">FIGURE 3: NET PROFIT MARGIN ANALYSIS</w:t>
      </w:r>
    </w:p>
    <w:p w:rsidR="00000000" w:rsidDel="00000000" w:rsidP="00000000" w:rsidRDefault="00000000" w:rsidRPr="00000000" w14:paraId="00000043">
      <w:pPr>
        <w:spacing w:after="0" w:line="360" w:lineRule="auto"/>
        <w:rPr>
          <w:b w:val="0"/>
        </w:rPr>
      </w:pPr>
      <w:r w:rsidDel="00000000" w:rsidR="00000000" w:rsidRPr="00000000">
        <w:rPr>
          <w:b w:val="0"/>
          <w:rtl w:val="0"/>
        </w:rPr>
        <w:t xml:space="preserve">Figure 3 shows that, the Net Profit Margin turning negative at -48.8% in 2023 underscores a critical loss in overall profitability, signalling that even after all expenses, the hotel faced severe net losses.</w:t>
      </w:r>
    </w:p>
    <w:p w:rsidR="00000000" w:rsidDel="00000000" w:rsidP="00000000" w:rsidRDefault="00000000" w:rsidRPr="00000000" w14:paraId="00000044">
      <w:pPr>
        <w:pStyle w:val="Heading2"/>
        <w:spacing w:before="0" w:line="360" w:lineRule="auto"/>
        <w:rPr/>
      </w:pPr>
      <w:bookmarkStart w:colFirst="0" w:colLast="0" w:name="_heading=h.1t3h5sf" w:id="15"/>
      <w:bookmarkEnd w:id="15"/>
      <w:r w:rsidDel="00000000" w:rsidR="00000000" w:rsidRPr="00000000">
        <w:rPr>
          <w:b w:val="1"/>
          <w:rtl w:val="0"/>
        </w:rPr>
        <w:t xml:space="preserve">LIQUIDITY RATIOS</w:t>
      </w:r>
      <w:r w:rsidDel="00000000" w:rsidR="00000000" w:rsidRPr="00000000">
        <w:rPr>
          <w:rtl w:val="0"/>
        </w:rPr>
      </w:r>
    </w:p>
    <w:p w:rsidR="00000000" w:rsidDel="00000000" w:rsidP="00000000" w:rsidRDefault="00000000" w:rsidRPr="00000000" w14:paraId="00000045">
      <w:pPr>
        <w:spacing w:after="0" w:line="360" w:lineRule="auto"/>
        <w:rPr>
          <w:b w:val="0"/>
        </w:rPr>
      </w:pPr>
      <w:r w:rsidDel="00000000" w:rsidR="00000000" w:rsidRPr="00000000">
        <w:rPr>
          <w:b w:val="0"/>
          <w:rtl w:val="0"/>
        </w:rPr>
        <w:t xml:space="preserve">Liquidity ratios examine the company’s ability to cover its short-term obligations using current assets. High liquidity indicates financial flexibility (Purwanti &amp; Warasto, 2023).</w:t>
      </w:r>
    </w:p>
    <w:p w:rsidR="00000000" w:rsidDel="00000000" w:rsidP="00000000" w:rsidRDefault="00000000" w:rsidRPr="00000000" w14:paraId="00000046">
      <w:pPr>
        <w:pStyle w:val="Heading3"/>
        <w:spacing w:after="0" w:before="0" w:line="360" w:lineRule="auto"/>
        <w:rPr>
          <w:b w:val="1"/>
        </w:rPr>
      </w:pPr>
      <w:bookmarkStart w:colFirst="0" w:colLast="0" w:name="_heading=h.4d34og8" w:id="16"/>
      <w:bookmarkEnd w:id="16"/>
      <w:r w:rsidDel="00000000" w:rsidR="00000000" w:rsidRPr="00000000">
        <w:rPr>
          <w:b w:val="1"/>
          <w:rtl w:val="0"/>
        </w:rPr>
        <w:t xml:space="preserve">CURRENT RATIO</w:t>
      </w:r>
    </w:p>
    <w:p w:rsidR="00000000" w:rsidDel="00000000" w:rsidP="00000000" w:rsidRDefault="00000000" w:rsidRPr="00000000" w14:paraId="00000047">
      <w:pPr>
        <w:spacing w:after="0" w:line="360" w:lineRule="auto"/>
        <w:rPr/>
      </w:pPr>
      <w:r w:rsidDel="00000000" w:rsidR="00000000" w:rsidRPr="00000000">
        <w:rPr>
          <w:b w:val="0"/>
          <w:rtl w:val="0"/>
        </w:rPr>
        <w:t xml:space="preserve">The Current Ratio evaluates the company’s ability to cover current liabilities with its current assets, representing short-term financial health.</w:t>
      </w:r>
      <w:r w:rsidDel="00000000" w:rsidR="00000000" w:rsidRPr="00000000">
        <w:rPr>
          <w:rtl w:val="0"/>
        </w:rPr>
        <w:t xml:space="preserve"> This ratio is calculated by dividing total current assets by total current liabilities, assessing the hotel’s capacity to meet short-term obligations </w:t>
      </w:r>
      <w:r w:rsidDel="00000000" w:rsidR="00000000" w:rsidRPr="00000000">
        <w:rPr>
          <w:b w:val="0"/>
          <w:rtl w:val="0"/>
        </w:rPr>
        <w:t xml:space="preserve"> (Purwanti &amp; Warasto, 2023)</w:t>
      </w:r>
      <w:r w:rsidDel="00000000" w:rsidR="00000000" w:rsidRPr="00000000">
        <w:rPr>
          <w:rtl w:val="0"/>
        </w:rPr>
        <w:t xml:space="preserve">.</w:t>
      </w:r>
    </w:p>
    <w:p w:rsidR="00000000" w:rsidDel="00000000" w:rsidP="00000000" w:rsidRDefault="00000000" w:rsidRPr="00000000" w14:paraId="00000048">
      <w:pPr>
        <w:spacing w:after="0" w:line="360" w:lineRule="auto"/>
        <w:jc w:val="center"/>
        <w:rPr>
          <w:b w:val="1"/>
          <w:sz w:val="20"/>
          <w:szCs w:val="20"/>
        </w:rPr>
      </w:pPr>
      <w:r w:rsidDel="00000000" w:rsidR="00000000" w:rsidRPr="00000000">
        <w:rPr>
          <w:b w:val="1"/>
          <w:sz w:val="20"/>
          <w:szCs w:val="20"/>
        </w:rPr>
        <w:drawing>
          <wp:inline distB="0" distT="0" distL="0" distR="0">
            <wp:extent cx="3585928" cy="2160000"/>
            <wp:effectExtent b="0" l="0" r="0" t="0"/>
            <wp:docPr id="2073134644" name="image1.png"/>
            <a:graphic>
              <a:graphicData uri="http://schemas.openxmlformats.org/drawingml/2006/picture">
                <pic:pic>
                  <pic:nvPicPr>
                    <pic:cNvPr id="0" name="image1.png"/>
                    <pic:cNvPicPr preferRelativeResize="0"/>
                  </pic:nvPicPr>
                  <pic:blipFill>
                    <a:blip r:embed="rId13"/>
                    <a:srcRect b="0" l="0" r="0" t="0"/>
                    <a:stretch>
                      <a:fillRect/>
                    </a:stretch>
                  </pic:blipFill>
                  <pic:spPr>
                    <a:xfrm>
                      <a:off x="0" y="0"/>
                      <a:ext cx="3585928" cy="2160000"/>
                    </a:xfrm>
                    <a:prstGeom prst="rect"/>
                    <a:ln/>
                  </pic:spPr>
                </pic:pic>
              </a:graphicData>
            </a:graphic>
          </wp:inline>
        </w:drawing>
      </w:r>
      <w:r w:rsidDel="00000000" w:rsidR="00000000" w:rsidRPr="00000000">
        <w:rPr>
          <w:rtl w:val="0"/>
        </w:rPr>
      </w:r>
    </w:p>
    <w:p w:rsidR="00000000" w:rsidDel="00000000" w:rsidP="00000000" w:rsidRDefault="00000000" w:rsidRPr="00000000" w14:paraId="00000049">
      <w:pPr>
        <w:spacing w:after="0" w:line="360" w:lineRule="auto"/>
        <w:jc w:val="center"/>
        <w:rPr>
          <w:b w:val="1"/>
          <w:sz w:val="20"/>
          <w:szCs w:val="20"/>
        </w:rPr>
      </w:pPr>
      <w:r w:rsidDel="00000000" w:rsidR="00000000" w:rsidRPr="00000000">
        <w:rPr>
          <w:b w:val="1"/>
          <w:sz w:val="20"/>
          <w:szCs w:val="20"/>
          <w:rtl w:val="0"/>
        </w:rPr>
        <w:t xml:space="preserve">FIGURE 4: CURRENT RATIO</w:t>
      </w:r>
    </w:p>
    <w:p w:rsidR="00000000" w:rsidDel="00000000" w:rsidP="00000000" w:rsidRDefault="00000000" w:rsidRPr="00000000" w14:paraId="0000004A">
      <w:pPr>
        <w:spacing w:after="0" w:line="360" w:lineRule="auto"/>
        <w:rPr>
          <w:b w:val="0"/>
        </w:rPr>
      </w:pPr>
      <w:r w:rsidDel="00000000" w:rsidR="00000000" w:rsidRPr="00000000">
        <w:rPr>
          <w:rtl w:val="0"/>
        </w:rPr>
        <w:t xml:space="preserve">Figure 4 shows that th</w:t>
      </w:r>
      <w:r w:rsidDel="00000000" w:rsidR="00000000" w:rsidRPr="00000000">
        <w:rPr>
          <w:b w:val="0"/>
          <w:rtl w:val="0"/>
        </w:rPr>
        <w:t xml:space="preserve">e Current Ratio decreased from 0.97 in 2021 to 0.81 in 2023, indicating a declining ability to cover short-term liabilities. A ratio below 1 implies that the hotel’s current assets are insufficient to meet short-term obligations.</w:t>
      </w:r>
    </w:p>
    <w:p w:rsidR="00000000" w:rsidDel="00000000" w:rsidP="00000000" w:rsidRDefault="00000000" w:rsidRPr="00000000" w14:paraId="0000004B">
      <w:pPr>
        <w:pStyle w:val="Heading3"/>
        <w:spacing w:after="0" w:before="0" w:line="360" w:lineRule="auto"/>
        <w:rPr>
          <w:b w:val="1"/>
        </w:rPr>
      </w:pPr>
      <w:bookmarkStart w:colFirst="0" w:colLast="0" w:name="_heading=h.2s8eyo1" w:id="17"/>
      <w:bookmarkEnd w:id="17"/>
      <w:r w:rsidDel="00000000" w:rsidR="00000000" w:rsidRPr="00000000">
        <w:rPr>
          <w:b w:val="1"/>
          <w:rtl w:val="0"/>
        </w:rPr>
        <w:t xml:space="preserve">QUICK RATIO</w:t>
      </w:r>
    </w:p>
    <w:p w:rsidR="00000000" w:rsidDel="00000000" w:rsidP="00000000" w:rsidRDefault="00000000" w:rsidRPr="00000000" w14:paraId="0000004C">
      <w:pPr>
        <w:spacing w:after="0" w:line="360" w:lineRule="auto"/>
        <w:rPr>
          <w:b w:val="0"/>
        </w:rPr>
      </w:pPr>
      <w:r w:rsidDel="00000000" w:rsidR="00000000" w:rsidRPr="00000000">
        <w:rPr>
          <w:b w:val="0"/>
          <w:rtl w:val="0"/>
        </w:rPr>
        <w:t xml:space="preserve">The Quick Ratio measures liquidity without relying on inventory, providing a stricter view of the company’s ability to cover immediate liabilities. By excluding inventories, this ratio provides a clearer picture of liquid assets available for immediate liabilities (Purwanti &amp; Warasto, 2023).</w:t>
      </w:r>
    </w:p>
    <w:p w:rsidR="00000000" w:rsidDel="00000000" w:rsidP="00000000" w:rsidRDefault="00000000" w:rsidRPr="00000000" w14:paraId="0000004D">
      <w:pPr>
        <w:spacing w:after="0" w:line="360" w:lineRule="auto"/>
        <w:jc w:val="center"/>
        <w:rPr>
          <w:b w:val="1"/>
          <w:sz w:val="20"/>
          <w:szCs w:val="20"/>
        </w:rPr>
      </w:pPr>
      <w:r w:rsidDel="00000000" w:rsidR="00000000" w:rsidRPr="00000000">
        <w:rPr>
          <w:b w:val="1"/>
          <w:sz w:val="20"/>
          <w:szCs w:val="20"/>
        </w:rPr>
        <w:drawing>
          <wp:inline distB="0" distT="0" distL="0" distR="0">
            <wp:extent cx="2988273" cy="1800000"/>
            <wp:effectExtent b="0" l="0" r="0" t="0"/>
            <wp:docPr id="2073134643" name="image3.png"/>
            <a:graphic>
              <a:graphicData uri="http://schemas.openxmlformats.org/drawingml/2006/picture">
                <pic:pic>
                  <pic:nvPicPr>
                    <pic:cNvPr id="0" name="image3.png"/>
                    <pic:cNvPicPr preferRelativeResize="0"/>
                  </pic:nvPicPr>
                  <pic:blipFill>
                    <a:blip r:embed="rId14"/>
                    <a:srcRect b="0" l="0" r="0" t="0"/>
                    <a:stretch>
                      <a:fillRect/>
                    </a:stretch>
                  </pic:blipFill>
                  <pic:spPr>
                    <a:xfrm>
                      <a:off x="0" y="0"/>
                      <a:ext cx="2988273" cy="1800000"/>
                    </a:xfrm>
                    <a:prstGeom prst="rect"/>
                    <a:ln/>
                  </pic:spPr>
                </pic:pic>
              </a:graphicData>
            </a:graphic>
          </wp:inline>
        </w:drawing>
      </w:r>
      <w:r w:rsidDel="00000000" w:rsidR="00000000" w:rsidRPr="00000000">
        <w:rPr>
          <w:rtl w:val="0"/>
        </w:rPr>
      </w:r>
    </w:p>
    <w:p w:rsidR="00000000" w:rsidDel="00000000" w:rsidP="00000000" w:rsidRDefault="00000000" w:rsidRPr="00000000" w14:paraId="0000004E">
      <w:pPr>
        <w:spacing w:after="0" w:line="360" w:lineRule="auto"/>
        <w:jc w:val="center"/>
        <w:rPr>
          <w:b w:val="1"/>
          <w:sz w:val="20"/>
          <w:szCs w:val="20"/>
        </w:rPr>
      </w:pPr>
      <w:r w:rsidDel="00000000" w:rsidR="00000000" w:rsidRPr="00000000">
        <w:rPr>
          <w:b w:val="1"/>
          <w:sz w:val="20"/>
          <w:szCs w:val="20"/>
          <w:rtl w:val="0"/>
        </w:rPr>
        <w:t xml:space="preserve">FIGURE 5: QUICK RATIO</w:t>
      </w:r>
    </w:p>
    <w:p w:rsidR="00000000" w:rsidDel="00000000" w:rsidP="00000000" w:rsidRDefault="00000000" w:rsidRPr="00000000" w14:paraId="0000004F">
      <w:pPr>
        <w:spacing w:after="0" w:line="360" w:lineRule="auto"/>
        <w:rPr>
          <w:b w:val="0"/>
        </w:rPr>
      </w:pPr>
      <w:r w:rsidDel="00000000" w:rsidR="00000000" w:rsidRPr="00000000">
        <w:rPr>
          <w:b w:val="0"/>
          <w:rtl w:val="0"/>
        </w:rPr>
        <w:t xml:space="preserve">Similar to current ratio, Figure 5 shows that the Quick Ratio declined from 0.95 to 0.79 over the same period. Excluding inventories, the hotel still struggled to meet immediate liabilities, suggesting a need for improved cash management or restructuring of current liabilities.</w:t>
      </w:r>
    </w:p>
    <w:p w:rsidR="00000000" w:rsidDel="00000000" w:rsidP="00000000" w:rsidRDefault="00000000" w:rsidRPr="00000000" w14:paraId="00000050">
      <w:pPr>
        <w:pStyle w:val="Heading2"/>
        <w:spacing w:before="0" w:line="360" w:lineRule="auto"/>
        <w:rPr/>
      </w:pPr>
      <w:bookmarkStart w:colFirst="0" w:colLast="0" w:name="_heading=h.17dp8vu" w:id="18"/>
      <w:bookmarkEnd w:id="18"/>
      <w:r w:rsidDel="00000000" w:rsidR="00000000" w:rsidRPr="00000000">
        <w:rPr>
          <w:b w:val="1"/>
          <w:rtl w:val="0"/>
        </w:rPr>
        <w:t xml:space="preserve">SOLVENCY RATIOS</w:t>
      </w:r>
      <w:r w:rsidDel="00000000" w:rsidR="00000000" w:rsidRPr="00000000">
        <w:rPr>
          <w:rtl w:val="0"/>
        </w:rPr>
      </w:r>
    </w:p>
    <w:p w:rsidR="00000000" w:rsidDel="00000000" w:rsidP="00000000" w:rsidRDefault="00000000" w:rsidRPr="00000000" w14:paraId="00000051">
      <w:pPr>
        <w:spacing w:after="0" w:line="360" w:lineRule="auto"/>
        <w:rPr>
          <w:b w:val="0"/>
        </w:rPr>
      </w:pPr>
      <w:r w:rsidDel="00000000" w:rsidR="00000000" w:rsidRPr="00000000">
        <w:rPr>
          <w:b w:val="0"/>
          <w:rtl w:val="0"/>
        </w:rPr>
        <w:t xml:space="preserve">Solvency ratios assess a company’s capacity to meet long-term obligations, indicating its long-term financial stability (Omodara, 2023).</w:t>
      </w:r>
    </w:p>
    <w:p w:rsidR="00000000" w:rsidDel="00000000" w:rsidP="00000000" w:rsidRDefault="00000000" w:rsidRPr="00000000" w14:paraId="00000052">
      <w:pPr>
        <w:pStyle w:val="Heading3"/>
        <w:spacing w:after="0" w:before="0" w:line="360" w:lineRule="auto"/>
        <w:rPr>
          <w:b w:val="1"/>
        </w:rPr>
      </w:pPr>
      <w:bookmarkStart w:colFirst="0" w:colLast="0" w:name="_heading=h.3rdcrjn" w:id="19"/>
      <w:bookmarkEnd w:id="19"/>
      <w:r w:rsidDel="00000000" w:rsidR="00000000" w:rsidRPr="00000000">
        <w:rPr>
          <w:b w:val="1"/>
          <w:rtl w:val="0"/>
        </w:rPr>
        <w:t xml:space="preserve">DEBT-TO-EQUITY RATIO</w:t>
      </w:r>
    </w:p>
    <w:p w:rsidR="00000000" w:rsidDel="00000000" w:rsidP="00000000" w:rsidRDefault="00000000" w:rsidRPr="00000000" w14:paraId="00000053">
      <w:pPr>
        <w:spacing w:after="0" w:line="360" w:lineRule="auto"/>
        <w:rPr/>
      </w:pPr>
      <w:r w:rsidDel="00000000" w:rsidR="00000000" w:rsidRPr="00000000">
        <w:rPr>
          <w:b w:val="0"/>
          <w:rtl w:val="0"/>
        </w:rPr>
        <w:t xml:space="preserve">The Debt-to-Equity Ratio reflects the company’s financial leverage by comparing total liabilities to shareholder equity. A high ratio may indicate heavy reliance on debt (Omodara, 2023). By dividing total liabilities by total equity, this ratio shows how much debt the hotel uses to finance its assets compared to owner’s equity.</w:t>
      </w:r>
      <w:r w:rsidDel="00000000" w:rsidR="00000000" w:rsidRPr="00000000">
        <w:rPr>
          <w:rtl w:val="0"/>
        </w:rPr>
        <w:t xml:space="preserve"> </w:t>
      </w:r>
    </w:p>
    <w:p w:rsidR="00000000" w:rsidDel="00000000" w:rsidP="00000000" w:rsidRDefault="00000000" w:rsidRPr="00000000" w14:paraId="00000054">
      <w:pPr>
        <w:spacing w:after="0" w:line="360" w:lineRule="auto"/>
        <w:jc w:val="center"/>
        <w:rPr>
          <w:b w:val="1"/>
          <w:sz w:val="20"/>
          <w:szCs w:val="20"/>
        </w:rPr>
      </w:pPr>
      <w:r w:rsidDel="00000000" w:rsidR="00000000" w:rsidRPr="00000000">
        <w:rPr>
          <w:b w:val="1"/>
          <w:sz w:val="20"/>
          <w:szCs w:val="20"/>
        </w:rPr>
        <w:drawing>
          <wp:inline distB="0" distT="0" distL="0" distR="0">
            <wp:extent cx="3585928" cy="2160000"/>
            <wp:effectExtent b="0" l="0" r="0" t="0"/>
            <wp:docPr id="2073134645" name="image7.png"/>
            <a:graphic>
              <a:graphicData uri="http://schemas.openxmlformats.org/drawingml/2006/picture">
                <pic:pic>
                  <pic:nvPicPr>
                    <pic:cNvPr id="0" name="image7.png"/>
                    <pic:cNvPicPr preferRelativeResize="0"/>
                  </pic:nvPicPr>
                  <pic:blipFill>
                    <a:blip r:embed="rId15"/>
                    <a:srcRect b="0" l="0" r="0" t="0"/>
                    <a:stretch>
                      <a:fillRect/>
                    </a:stretch>
                  </pic:blipFill>
                  <pic:spPr>
                    <a:xfrm>
                      <a:off x="0" y="0"/>
                      <a:ext cx="3585928" cy="2160000"/>
                    </a:xfrm>
                    <a:prstGeom prst="rect"/>
                    <a:ln/>
                  </pic:spPr>
                </pic:pic>
              </a:graphicData>
            </a:graphic>
          </wp:inline>
        </w:drawing>
      </w:r>
      <w:r w:rsidDel="00000000" w:rsidR="00000000" w:rsidRPr="00000000">
        <w:rPr>
          <w:rtl w:val="0"/>
        </w:rPr>
      </w:r>
    </w:p>
    <w:p w:rsidR="00000000" w:rsidDel="00000000" w:rsidP="00000000" w:rsidRDefault="00000000" w:rsidRPr="00000000" w14:paraId="00000055">
      <w:pPr>
        <w:spacing w:after="0" w:line="360" w:lineRule="auto"/>
        <w:jc w:val="center"/>
        <w:rPr>
          <w:b w:val="1"/>
          <w:sz w:val="20"/>
          <w:szCs w:val="20"/>
        </w:rPr>
      </w:pPr>
      <w:r w:rsidDel="00000000" w:rsidR="00000000" w:rsidRPr="00000000">
        <w:rPr>
          <w:b w:val="1"/>
          <w:sz w:val="20"/>
          <w:szCs w:val="20"/>
          <w:rtl w:val="0"/>
        </w:rPr>
        <w:t xml:space="preserve">FIGURE 6: DEBT-TO-EQUITY RATIO</w:t>
      </w:r>
    </w:p>
    <w:p w:rsidR="00000000" w:rsidDel="00000000" w:rsidP="00000000" w:rsidRDefault="00000000" w:rsidRPr="00000000" w14:paraId="00000056">
      <w:pPr>
        <w:spacing w:after="0" w:line="360" w:lineRule="auto"/>
        <w:rPr>
          <w:b w:val="0"/>
        </w:rPr>
      </w:pPr>
      <w:r w:rsidDel="00000000" w:rsidR="00000000" w:rsidRPr="00000000">
        <w:rPr>
          <w:rtl w:val="0"/>
        </w:rPr>
        <w:t xml:space="preserve">Figure 6 shows that, t</w:t>
      </w:r>
      <w:r w:rsidDel="00000000" w:rsidR="00000000" w:rsidRPr="00000000">
        <w:rPr>
          <w:b w:val="0"/>
          <w:rtl w:val="0"/>
        </w:rPr>
        <w:t xml:space="preserve">he Debt-to-Equity Ratio rose sharply from 4.7 in 2021 to 10.1 in 2023, indicating a heavy reliance on debt financing. This increase in leverage raises concerns about the hotel’s ability to manage its debt sustainably and limits options for future borrowing.</w:t>
      </w:r>
    </w:p>
    <w:p w:rsidR="00000000" w:rsidDel="00000000" w:rsidP="00000000" w:rsidRDefault="00000000" w:rsidRPr="00000000" w14:paraId="00000057">
      <w:pPr>
        <w:spacing w:after="0" w:line="360" w:lineRule="auto"/>
        <w:rPr>
          <w:b w:val="0"/>
        </w:rPr>
      </w:pPr>
      <w:r w:rsidDel="00000000" w:rsidR="00000000" w:rsidRPr="00000000">
        <w:rPr>
          <w:b w:val="0"/>
          <w:rtl w:val="0"/>
        </w:rPr>
        <w:t xml:space="preserve">In summary, the financial analysis reveals that The City Hotel faces declining profitability, weakened liquidity, and increased reliance on debt. These trends suggest an urgent need for a turnaround strategy to stabilize operations, reduce debt dependence, and restore profitability.</w:t>
      </w:r>
    </w:p>
    <w:p w:rsidR="00000000" w:rsidDel="00000000" w:rsidP="00000000" w:rsidRDefault="00000000" w:rsidRPr="00000000" w14:paraId="00000058">
      <w:pPr>
        <w:pStyle w:val="Heading1"/>
        <w:spacing w:before="0" w:line="360" w:lineRule="auto"/>
        <w:rPr/>
      </w:pPr>
      <w:bookmarkStart w:colFirst="0" w:colLast="0" w:name="_heading=h.26in1rg" w:id="20"/>
      <w:bookmarkEnd w:id="20"/>
      <w:r w:rsidDel="00000000" w:rsidR="00000000" w:rsidRPr="00000000">
        <w:rPr>
          <w:rtl w:val="0"/>
        </w:rPr>
        <w:t xml:space="preserve">REASONS FOR DECLINE IN PROFITABILITY </w:t>
      </w:r>
    </w:p>
    <w:p w:rsidR="00000000" w:rsidDel="00000000" w:rsidP="00000000" w:rsidRDefault="00000000" w:rsidRPr="00000000" w14:paraId="00000059">
      <w:pPr>
        <w:pStyle w:val="Heading2"/>
        <w:spacing w:before="0" w:line="360" w:lineRule="auto"/>
        <w:rPr/>
      </w:pPr>
      <w:bookmarkStart w:colFirst="0" w:colLast="0" w:name="_heading=h.lnxbz9" w:id="21"/>
      <w:bookmarkEnd w:id="21"/>
      <w:r w:rsidDel="00000000" w:rsidR="00000000" w:rsidRPr="00000000">
        <w:rPr>
          <w:rtl w:val="0"/>
        </w:rPr>
        <w:t xml:space="preserve">INTERNAL FACTORS</w:t>
      </w:r>
    </w:p>
    <w:p w:rsidR="00000000" w:rsidDel="00000000" w:rsidP="00000000" w:rsidRDefault="00000000" w:rsidRPr="00000000" w14:paraId="0000005A">
      <w:pPr>
        <w:spacing w:after="0" w:line="360" w:lineRule="auto"/>
        <w:rPr/>
      </w:pPr>
      <w:r w:rsidDel="00000000" w:rsidR="00000000" w:rsidRPr="00000000">
        <w:rPr>
          <w:rtl w:val="0"/>
        </w:rPr>
        <w:t xml:space="preserve">The internal factors leading to The City Hotel in a financial crisis identified as ineffective cost strategies, operational inefficiency and underutilized assets which will affect profitability as well as liquidity. </w:t>
      </w:r>
    </w:p>
    <w:p w:rsidR="00000000" w:rsidDel="00000000" w:rsidP="00000000" w:rsidRDefault="00000000" w:rsidRPr="00000000" w14:paraId="0000005B">
      <w:pPr>
        <w:spacing w:after="0" w:line="360" w:lineRule="auto"/>
        <w:rPr/>
      </w:pPr>
      <w:r w:rsidDel="00000000" w:rsidR="00000000" w:rsidRPr="00000000">
        <w:rPr>
          <w:rtl w:val="0"/>
        </w:rPr>
        <w:t xml:space="preserve">The first is that costs are simply being mismanaged, as seen with the sharp decline of the Operating Profit Margin going from 12.7% in 2022 to -52.4% in 2023. It suggests that [operational costs] have increased far more than revenue run, especially when employee-related expenses and other external expenses remain large. In 2021, the staff costs were already £1,724,760 and then in 2022 they advanced to a total of £1,770,700 whereas little added revenue was gained. Despite these costs being cut to £1,233,160 in 2023, the significant reduction in revenue caused a negative impact on profitability. Such high fixed costs become much more of a burden when there are relatively few rooms occupied to help defray these steady expenses (Atrill &amp; McLaney, 2020).</w:t>
      </w:r>
    </w:p>
    <w:p w:rsidR="00000000" w:rsidDel="00000000" w:rsidP="00000000" w:rsidRDefault="00000000" w:rsidRPr="00000000" w14:paraId="0000005C">
      <w:pPr>
        <w:spacing w:after="0" w:line="360" w:lineRule="auto"/>
        <w:rPr/>
      </w:pPr>
      <w:r w:rsidDel="00000000" w:rsidR="00000000" w:rsidRPr="00000000">
        <w:rPr>
          <w:rtl w:val="0"/>
        </w:rPr>
        <w:t xml:space="preserve">Also, their current Debt-to-Equity Ratio reflects a worrying increase of 4.7 in the year 2021 to 10.1 in the year 2023 which indicates financial leverage along with it over-dependence on debt to run their operations. Meanwhile, the Current Ratio – an even more telling liquidity measure – believes that better cash flow management is in order too, having plummeted from 0.97 (2021) to 0.81 (2023), suggesting that hotel may not have enough assets to pay off bulging current liabilities in a timely manner.</w:t>
      </w:r>
    </w:p>
    <w:p w:rsidR="00000000" w:rsidDel="00000000" w:rsidP="00000000" w:rsidRDefault="00000000" w:rsidRPr="00000000" w14:paraId="0000005D">
      <w:pPr>
        <w:spacing w:after="0" w:line="360" w:lineRule="auto"/>
        <w:rPr/>
      </w:pPr>
      <w:r w:rsidDel="00000000" w:rsidR="00000000" w:rsidRPr="00000000">
        <w:rPr>
          <w:rtl w:val="0"/>
        </w:rPr>
        <w:t xml:space="preserve">The third big issue is utilization of the assets. The increase in depreciation and amortization from £409,190 (2021) to £661,590 (2023) implies continued investment, however such assets may not be generating a sufficient return. </w:t>
      </w:r>
    </w:p>
    <w:p w:rsidR="00000000" w:rsidDel="00000000" w:rsidP="00000000" w:rsidRDefault="00000000" w:rsidRPr="00000000" w14:paraId="0000005E">
      <w:pPr>
        <w:spacing w:after="0" w:line="360" w:lineRule="auto"/>
        <w:rPr/>
      </w:pPr>
      <w:r w:rsidDel="00000000" w:rsidR="00000000" w:rsidRPr="00000000">
        <w:rPr/>
        <mc:AlternateContent>
          <mc:Choice Requires="wpg">
            <w:drawing>
              <wp:inline distB="0" distT="0" distL="0" distR="0">
                <wp:extent cx="5762625" cy="1152525"/>
                <wp:effectExtent b="0" l="0" r="0" t="0"/>
                <wp:docPr id="2073134639" name=""/>
                <a:graphic>
                  <a:graphicData uri="http://schemas.microsoft.com/office/word/2010/wordprocessingGroup">
                    <wpg:wgp>
                      <wpg:cNvGrpSpPr/>
                      <wpg:grpSpPr>
                        <a:xfrm>
                          <a:off x="0" y="0"/>
                          <a:ext cx="5762625" cy="1152525"/>
                          <a:chOff x="0" y="0"/>
                          <a:chExt cx="5769000" cy="1158900"/>
                        </a:xfrm>
                      </wpg:grpSpPr>
                      <wpg:grpSp>
                        <wpg:cNvGrpSpPr/>
                        <wpg:grpSpPr>
                          <a:xfrm>
                            <a:off x="0" y="0"/>
                            <a:ext cx="5762625" cy="1152525"/>
                            <a:chOff x="0" y="0"/>
                            <a:chExt cx="5762625" cy="1152525"/>
                          </a:xfrm>
                        </wpg:grpSpPr>
                        <wps:wsp>
                          <wps:cNvSpPr/>
                          <wps:cNvPr id="3" name="Shape 3"/>
                          <wps:spPr>
                            <a:xfrm>
                              <a:off x="0" y="0"/>
                              <a:ext cx="5762625" cy="11525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a:off x="0" y="0"/>
                              <a:ext cx="5762625" cy="1152525"/>
                            </a:xfrm>
                            <a:prstGeom prst="roundRect">
                              <a:avLst>
                                <a:gd fmla="val 10000" name="adj"/>
                              </a:avLst>
                            </a:prstGeom>
                            <a:solidFill>
                              <a:schemeClr val="lt1"/>
                            </a:solidFill>
                            <a:ln cap="flat" cmpd="sng" w="12700">
                              <a:solidFill>
                                <a:schemeClr val="accent4"/>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5" name="Shape 5"/>
                          <wps:spPr>
                            <a:xfrm>
                              <a:off x="33756" y="33756"/>
                              <a:ext cx="5695113" cy="1085013"/>
                            </a:xfrm>
                            <a:prstGeom prst="rect">
                              <a:avLst/>
                            </a:prstGeom>
                            <a:noFill/>
                            <a:ln>
                              <a:noFill/>
                            </a:ln>
                          </wps:spPr>
                          <wps:txbx>
                            <w:txbxContent>
                              <w:p w:rsidR="00000000" w:rsidDel="00000000" w:rsidP="00000000" w:rsidRDefault="00000000" w:rsidRPr="00000000">
                                <w:pPr>
                                  <w:spacing w:after="0" w:before="0" w:line="215.9999942779541"/>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In summary, The City Hotel is internally financially stressed because it has high fixed costs during lower revenue periods, must increasingly rely on debt itself which will lead to higher interest payments and its profitability may reduce in the future due to less capacity usage of its assets. These have highlighted the necessity for better cost control and asset management to return back to financial health.</w:t>
                                </w:r>
                              </w:p>
                            </w:txbxContent>
                          </wps:txbx>
                          <wps:bodyPr anchorCtr="0" anchor="ctr" bIns="15225" lIns="22850" spcFirstLastPara="1" rIns="22850" wrap="square" tIns="15225">
                            <a:noAutofit/>
                          </wps:bodyPr>
                        </wps:wsp>
                      </wpg:grpSp>
                    </wpg:wgp>
                  </a:graphicData>
                </a:graphic>
              </wp:inline>
            </w:drawing>
          </mc:Choice>
          <mc:Fallback>
            <w:drawing>
              <wp:inline distB="0" distT="0" distL="0" distR="0">
                <wp:extent cx="5762625" cy="1152525"/>
                <wp:effectExtent b="0" l="0" r="0" t="0"/>
                <wp:docPr id="2073134639" name="image8.png"/>
                <a:graphic>
                  <a:graphicData uri="http://schemas.openxmlformats.org/drawingml/2006/picture">
                    <pic:pic>
                      <pic:nvPicPr>
                        <pic:cNvPr id="0" name="image8.png"/>
                        <pic:cNvPicPr preferRelativeResize="0"/>
                      </pic:nvPicPr>
                      <pic:blipFill>
                        <a:blip r:embed="rId16"/>
                        <a:srcRect/>
                        <a:stretch>
                          <a:fillRect/>
                        </a:stretch>
                      </pic:blipFill>
                      <pic:spPr>
                        <a:xfrm>
                          <a:off x="0" y="0"/>
                          <a:ext cx="5762625" cy="115252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5F">
      <w:pPr>
        <w:spacing w:after="0" w:line="360" w:lineRule="auto"/>
        <w:rPr/>
      </w:pPr>
      <w:r w:rsidDel="00000000" w:rsidR="00000000" w:rsidRPr="00000000">
        <w:rPr>
          <w:rtl w:val="0"/>
        </w:rPr>
      </w:r>
    </w:p>
    <w:p w:rsidR="00000000" w:rsidDel="00000000" w:rsidP="00000000" w:rsidRDefault="00000000" w:rsidRPr="00000000" w14:paraId="00000060">
      <w:pPr>
        <w:spacing w:after="0" w:line="360" w:lineRule="auto"/>
        <w:rPr/>
      </w:pPr>
      <w:r w:rsidDel="00000000" w:rsidR="00000000" w:rsidRPr="00000000">
        <w:rPr>
          <w:rtl w:val="0"/>
        </w:rPr>
      </w:r>
    </w:p>
    <w:p w:rsidR="00000000" w:rsidDel="00000000" w:rsidP="00000000" w:rsidRDefault="00000000" w:rsidRPr="00000000" w14:paraId="00000061">
      <w:pPr>
        <w:pStyle w:val="Heading2"/>
        <w:spacing w:before="0" w:line="360" w:lineRule="auto"/>
        <w:rPr/>
      </w:pPr>
      <w:bookmarkStart w:colFirst="0" w:colLast="0" w:name="_heading=h.35nkun2" w:id="22"/>
      <w:bookmarkEnd w:id="22"/>
      <w:r w:rsidDel="00000000" w:rsidR="00000000" w:rsidRPr="00000000">
        <w:rPr>
          <w:rtl w:val="0"/>
        </w:rPr>
        <w:t xml:space="preserve">EXTERNAL FACTORS</w:t>
      </w:r>
    </w:p>
    <w:p w:rsidR="00000000" w:rsidDel="00000000" w:rsidP="00000000" w:rsidRDefault="00000000" w:rsidRPr="00000000" w14:paraId="00000062">
      <w:pPr>
        <w:spacing w:after="0" w:line="360" w:lineRule="auto"/>
        <w:rPr>
          <w:b w:val="0"/>
        </w:rPr>
      </w:pPr>
      <w:r w:rsidDel="00000000" w:rsidR="00000000" w:rsidRPr="00000000">
        <w:rPr>
          <w:b w:val="1"/>
          <w:rtl w:val="0"/>
        </w:rPr>
        <w:t xml:space="preserve">Economic Conditions and Inflation</w:t>
      </w:r>
      <w:r w:rsidDel="00000000" w:rsidR="00000000" w:rsidRPr="00000000">
        <w:rPr>
          <w:b w:val="0"/>
          <w:rtl w:val="0"/>
        </w:rPr>
        <w:t xml:space="preserve">: The inflationary trend has created upward pressure on operational costs for hospitality </w:t>
      </w:r>
      <w:r w:rsidDel="00000000" w:rsidR="00000000" w:rsidRPr="00000000">
        <w:rPr>
          <w:rtl w:val="0"/>
        </w:rPr>
        <w:t xml:space="preserve">businesses</w:t>
      </w:r>
      <w:r w:rsidDel="00000000" w:rsidR="00000000" w:rsidRPr="00000000">
        <w:rPr>
          <w:b w:val="0"/>
          <w:rtl w:val="0"/>
        </w:rPr>
        <w:t xml:space="preserve"> across the board. According to Access (2024), the prices of food are over 26.2% more expensive between December 2021 and December 2023, while energy price has increased in general by 238% in the year of 2022 making hotel expenses higher as well. Profitability has become under a lot of pressure from the cost side which is certainly not sustainable.</w:t>
      </w:r>
    </w:p>
    <w:p w:rsidR="00000000" w:rsidDel="00000000" w:rsidP="00000000" w:rsidRDefault="00000000" w:rsidRPr="00000000" w14:paraId="00000063">
      <w:pPr>
        <w:spacing w:after="0" w:line="360" w:lineRule="auto"/>
        <w:rPr>
          <w:b w:val="0"/>
        </w:rPr>
      </w:pPr>
      <w:r w:rsidDel="00000000" w:rsidR="00000000" w:rsidRPr="00000000">
        <w:rPr>
          <w:b w:val="1"/>
          <w:rtl w:val="0"/>
        </w:rPr>
        <w:t xml:space="preserve">Changes in Customer Spending: </w:t>
      </w:r>
      <w:r w:rsidDel="00000000" w:rsidR="00000000" w:rsidRPr="00000000">
        <w:rPr>
          <w:b w:val="0"/>
          <w:rtl w:val="0"/>
        </w:rPr>
        <w:t xml:space="preserve">Consumer pressures have limited the propensity to spend discretionary capital, impacting industries such as hospitality. With the emergence of the 'imperious' trend—consumers choosing in-home experiences opposed to going out for dining—the demand for hotel services has continued decreasing (Robinson, 2024). This change in the way consumers are travelling has helped with occupancy and revenue falling in hotels.</w:t>
      </w:r>
    </w:p>
    <w:p w:rsidR="00000000" w:rsidDel="00000000" w:rsidP="00000000" w:rsidRDefault="00000000" w:rsidRPr="00000000" w14:paraId="00000064">
      <w:pPr>
        <w:spacing w:after="0" w:line="360" w:lineRule="auto"/>
        <w:rPr>
          <w:b w:val="0"/>
        </w:rPr>
      </w:pPr>
      <w:r w:rsidDel="00000000" w:rsidR="00000000" w:rsidRPr="00000000">
        <w:rPr>
          <w:b w:val="1"/>
          <w:rtl w:val="0"/>
        </w:rPr>
        <w:t xml:space="preserve">Increased Competition: </w:t>
      </w:r>
      <w:r w:rsidDel="00000000" w:rsidR="00000000" w:rsidRPr="00000000">
        <w:rPr>
          <w:b w:val="0"/>
          <w:rtl w:val="0"/>
        </w:rPr>
        <w:t xml:space="preserve">Competition has increased, the hospitality industry competition is expected to experience new </w:t>
      </w:r>
      <w:r w:rsidDel="00000000" w:rsidR="00000000" w:rsidRPr="00000000">
        <w:rPr>
          <w:rtl w:val="0"/>
        </w:rPr>
        <w:t xml:space="preserve">entrants</w:t>
      </w:r>
      <w:r w:rsidDel="00000000" w:rsidR="00000000" w:rsidRPr="00000000">
        <w:rPr>
          <w:b w:val="0"/>
          <w:rtl w:val="0"/>
        </w:rPr>
        <w:t xml:space="preserve"> and can dominate alternative lodging sectors such as Airbnb (Roma et al., 2019). Such competition has led to traditional hotels lowering prices or improving service levels which have impacted revenue and profitability.</w:t>
      </w:r>
    </w:p>
    <w:p w:rsidR="00000000" w:rsidDel="00000000" w:rsidP="00000000" w:rsidRDefault="00000000" w:rsidRPr="00000000" w14:paraId="00000065">
      <w:pPr>
        <w:spacing w:after="0" w:line="360" w:lineRule="auto"/>
        <w:rPr>
          <w:b w:val="0"/>
        </w:rPr>
      </w:pPr>
      <w:r w:rsidDel="00000000" w:rsidR="00000000" w:rsidRPr="00000000">
        <w:rPr>
          <w:b w:val="1"/>
          <w:rtl w:val="0"/>
        </w:rPr>
        <w:t xml:space="preserve">Post-COVID Industry Impacts</w:t>
      </w:r>
      <w:r w:rsidDel="00000000" w:rsidR="00000000" w:rsidRPr="00000000">
        <w:rPr>
          <w:b w:val="0"/>
          <w:rtl w:val="0"/>
        </w:rPr>
        <w:t xml:space="preserve">: </w:t>
      </w:r>
      <w:r w:rsidDel="00000000" w:rsidR="00000000" w:rsidRPr="00000000">
        <w:rPr>
          <w:rtl w:val="0"/>
        </w:rPr>
        <w:t xml:space="preserve">Hotel occupancy rates dropped sharply due to long lockdowns and worldwide travel restrictions during the COVID-19 pandemic. While the industry slowly started to recover, it was never back to pre-pandemic levels. As of 2023, global hotel occupancy remained lower than the pre-pandemic average of 68.3% through 2019 (McCracken, 2021; HVC, 2023). The pandemic has also led to changes in travel behaviour with remote work and virtual meetings causing business travel to decline, which negatively affected the hotel revenue per available room</w:t>
      </w:r>
      <w:r w:rsidDel="00000000" w:rsidR="00000000" w:rsidRPr="00000000">
        <w:rPr>
          <w:b w:val="0"/>
          <w:rtl w:val="0"/>
        </w:rPr>
        <w:t xml:space="preserve">.</w:t>
      </w:r>
    </w:p>
    <w:p w:rsidR="00000000" w:rsidDel="00000000" w:rsidP="00000000" w:rsidRDefault="00000000" w:rsidRPr="00000000" w14:paraId="00000066">
      <w:pPr>
        <w:spacing w:after="0" w:line="360" w:lineRule="auto"/>
        <w:rPr>
          <w:b w:val="0"/>
        </w:rPr>
      </w:pPr>
      <w:r w:rsidDel="00000000" w:rsidR="00000000" w:rsidRPr="00000000">
        <w:rPr>
          <w:b w:val="0"/>
          <w:rtl w:val="0"/>
        </w:rPr>
        <w:t xml:space="preserve">Overall, the City Hotel's decline is influenced by external factors including cost push inflation, changes in consumer spending patterns later aggravated by recession, competition with star hotels and longer term implications of COVID-19 pandemic. </w:t>
      </w:r>
    </w:p>
    <w:p w:rsidR="00000000" w:rsidDel="00000000" w:rsidP="00000000" w:rsidRDefault="00000000" w:rsidRPr="00000000" w14:paraId="00000067">
      <w:pPr>
        <w:pStyle w:val="Heading1"/>
        <w:spacing w:before="0" w:line="360" w:lineRule="auto"/>
        <w:rPr/>
      </w:pPr>
      <w:bookmarkStart w:colFirst="0" w:colLast="0" w:name="_heading=h.1ksv4uv" w:id="23"/>
      <w:bookmarkEnd w:id="23"/>
      <w:r w:rsidDel="00000000" w:rsidR="00000000" w:rsidRPr="00000000">
        <w:rPr>
          <w:rtl w:val="0"/>
        </w:rPr>
        <w:t xml:space="preserve">TURNAROUND STRATEGY</w:t>
      </w:r>
    </w:p>
    <w:p w:rsidR="00000000" w:rsidDel="00000000" w:rsidP="00000000" w:rsidRDefault="00000000" w:rsidRPr="00000000" w14:paraId="00000068">
      <w:pPr>
        <w:spacing w:after="0" w:line="360" w:lineRule="auto"/>
        <w:rPr/>
      </w:pPr>
      <w:r w:rsidDel="00000000" w:rsidR="00000000" w:rsidRPr="00000000">
        <w:rPr>
          <w:b w:val="0"/>
          <w:rtl w:val="0"/>
        </w:rPr>
        <w:t xml:space="preserve">To address The City Hotel’s current financial challenges, a</w:t>
      </w:r>
      <w:r w:rsidDel="00000000" w:rsidR="00000000" w:rsidRPr="00000000">
        <w:rPr>
          <w:rtl w:val="0"/>
        </w:rPr>
        <w:t xml:space="preserve"> comprehensive turnaround plan is needed. These may be through revenue generation, cost control mechanisms, sustainability efforts, strategic market repositioning and strong risk management to build a resilient business model.</w:t>
      </w:r>
    </w:p>
    <w:p w:rsidR="00000000" w:rsidDel="00000000" w:rsidP="00000000" w:rsidRDefault="00000000" w:rsidRPr="00000000" w14:paraId="00000069">
      <w:pPr>
        <w:spacing w:after="0" w:line="360" w:lineRule="auto"/>
        <w:rPr>
          <w:b w:val="1"/>
        </w:rPr>
      </w:pPr>
      <w:r w:rsidDel="00000000" w:rsidR="00000000" w:rsidRPr="00000000">
        <w:rPr>
          <w:b w:val="1"/>
          <w:rtl w:val="0"/>
        </w:rPr>
        <w:t xml:space="preserve">REVENUE INCREASE</w:t>
      </w:r>
    </w:p>
    <w:p w:rsidR="00000000" w:rsidDel="00000000" w:rsidP="00000000" w:rsidRDefault="00000000" w:rsidRPr="00000000" w14:paraId="0000006A">
      <w:pPr>
        <w:spacing w:after="0" w:line="360" w:lineRule="auto"/>
        <w:rPr/>
      </w:pPr>
      <w:r w:rsidDel="00000000" w:rsidR="00000000" w:rsidRPr="00000000">
        <w:rPr>
          <w:rtl w:val="0"/>
        </w:rPr>
        <w:t xml:space="preserve">The City Hotel should use the demand base pricing to cope with reduce in its revenue. This approach enables variable room pricing, responsive to shifts in demand, which can aid in filling vacancies during low occupancy times while maximizing sales potential when demand is high. Numerous hotel data show that the introduction of demand-based pricing increases revenue by providing prospective consumers with a price that is consistent with real consumer demands, especially around periods of changing occupancy (Kotler &amp; Keller, 2016). Moreover, creating package offers that bundle room rates with dining or event services can help generate ancillary revenue, especially for restaurants or event spaces that are not utilized to their full potential. This resonates well with the concept of hotels generating additional revenue by providing a wider range of services to guests, creating desired offerings that draw local and foreign travellers to benefit from it.</w:t>
      </w:r>
    </w:p>
    <w:p w:rsidR="00000000" w:rsidDel="00000000" w:rsidP="00000000" w:rsidRDefault="00000000" w:rsidRPr="00000000" w14:paraId="0000006B">
      <w:pPr>
        <w:spacing w:after="0" w:line="360" w:lineRule="auto"/>
        <w:rPr>
          <w:b w:val="1"/>
        </w:rPr>
      </w:pPr>
      <w:r w:rsidDel="00000000" w:rsidR="00000000" w:rsidRPr="00000000">
        <w:rPr>
          <w:b w:val="1"/>
          <w:rtl w:val="0"/>
        </w:rPr>
        <w:t xml:space="preserve">COST MANAGEMENT</w:t>
      </w:r>
    </w:p>
    <w:p w:rsidR="00000000" w:rsidDel="00000000" w:rsidP="00000000" w:rsidRDefault="00000000" w:rsidRPr="00000000" w14:paraId="0000006C">
      <w:pPr>
        <w:spacing w:after="0" w:line="360" w:lineRule="auto"/>
        <w:rPr/>
      </w:pPr>
      <w:r w:rsidDel="00000000" w:rsidR="00000000" w:rsidRPr="00000000">
        <w:rPr>
          <w:rtl w:val="0"/>
        </w:rPr>
        <w:t xml:space="preserve">Considering The City Hotel operates with high labour and overhead fixed costs, controlling cost is essential. Zero-based budgeting can help assess and eliminate non-essential expenses by building the budget from square one, allowing only those costs that directly impact operational efficiency. In a turnaround scenario where historical budgets are likely no longer accurate reflections of the financial reality for the business, zero-based budgeting helps ensure that management is appropriating funds based on current requirements as opposed to past spending patterns (Kazar et al., 2023). Furthermore, flexible staffing models—whereby staff hours are matched with occupancy—will reduce labour costs without compromising service standards (Coates, 2024). Not only does this eliminate any unproductive labour costs during low occupancy periods, it can be with the added awareness of when the company should begin to operate normally on lower fixed staffing levels.</w:t>
      </w:r>
    </w:p>
    <w:p w:rsidR="00000000" w:rsidDel="00000000" w:rsidP="00000000" w:rsidRDefault="00000000" w:rsidRPr="00000000" w14:paraId="0000006D">
      <w:pPr>
        <w:spacing w:after="0" w:line="360" w:lineRule="auto"/>
        <w:rPr>
          <w:b w:val="1"/>
        </w:rPr>
      </w:pPr>
      <w:r w:rsidDel="00000000" w:rsidR="00000000" w:rsidRPr="00000000">
        <w:rPr>
          <w:b w:val="1"/>
          <w:rtl w:val="0"/>
        </w:rPr>
        <w:t xml:space="preserve">SUSTAINABILITY INITIATIVES</w:t>
      </w:r>
    </w:p>
    <w:p w:rsidR="00000000" w:rsidDel="00000000" w:rsidP="00000000" w:rsidRDefault="00000000" w:rsidRPr="00000000" w14:paraId="0000006E">
      <w:pPr>
        <w:spacing w:after="0" w:line="360" w:lineRule="auto"/>
        <w:rPr/>
      </w:pPr>
      <w:r w:rsidDel="00000000" w:rsidR="00000000" w:rsidRPr="00000000">
        <w:rPr>
          <w:rtl w:val="0"/>
        </w:rPr>
        <w:t xml:space="preserve">Sustainability is both imperative for saving costs and catering to customer expectations, making it an important keyword in hospitality. Long-term solutions, like energy-saving programs that include the installation of LED lighting and heating, ventilation and air conditioning system (HVAC) optimization can cut your utility costs. By implementing green technologies, many hotels managed to reduce energy use sustainably resulting in lowering the costs while attracting environmentally conscious travellers (Gashi et al., 2023). The restaurant can save money in the short run by cutting down on waste, especially for food and single-use plastic and move towards achieving its sustainability goals. </w:t>
      </w:r>
      <w:r w:rsidDel="00000000" w:rsidR="00000000" w:rsidRPr="00000000">
        <w:rPr>
          <w:i w:val="1"/>
          <w:rtl w:val="0"/>
        </w:rPr>
        <w:t xml:space="preserve">For example,</w:t>
      </w:r>
      <w:r w:rsidDel="00000000" w:rsidR="00000000" w:rsidRPr="00000000">
        <w:rPr>
          <w:rtl w:val="0"/>
        </w:rPr>
        <w:t xml:space="preserve"> incorporating Corporate Social Responsibility (CSR) principles and getting guests involved in sustainable practices can create loyal brand ambassadors who are on the lookout for green lodging.</w:t>
      </w:r>
    </w:p>
    <w:p w:rsidR="00000000" w:rsidDel="00000000" w:rsidP="00000000" w:rsidRDefault="00000000" w:rsidRPr="00000000" w14:paraId="0000006F">
      <w:pPr>
        <w:spacing w:after="0" w:line="360" w:lineRule="auto"/>
        <w:rPr>
          <w:b w:val="1"/>
        </w:rPr>
      </w:pPr>
      <w:r w:rsidDel="00000000" w:rsidR="00000000" w:rsidRPr="00000000">
        <w:rPr>
          <w:b w:val="1"/>
          <w:rtl w:val="0"/>
        </w:rPr>
        <w:t xml:space="preserve">MARKENING</w:t>
      </w:r>
    </w:p>
    <w:p w:rsidR="00000000" w:rsidDel="00000000" w:rsidP="00000000" w:rsidRDefault="00000000" w:rsidRPr="00000000" w14:paraId="00000070">
      <w:pPr>
        <w:spacing w:after="0" w:line="360" w:lineRule="auto"/>
        <w:rPr>
          <w:b w:val="0"/>
        </w:rPr>
      </w:pPr>
      <w:r w:rsidDel="00000000" w:rsidR="00000000" w:rsidRPr="00000000">
        <w:rPr>
          <w:b w:val="0"/>
          <w:rtl w:val="0"/>
        </w:rPr>
        <w:t xml:space="preserve">In response to changing customer expectations, The City Hotel should consider repositioning itself through a differentiation strategy. This can be achieved by emphasizing the hotel’s unique offerings, such as local cultural experiences, personalized services, and quality amenities, which could distinguish it from budget competitors. Using Porter’s differentiation strategy, the hotel can justify a premium rate by enhancing the guest experience and meeting specific customer preferences, particularly those of mid-range to upscale travellers who seek a balance between quality and affordability (Porter, 1985) . In parallel, targeting Nic, like eco-conscious or business travellers, could enhance appeal and fill a specific market gap in the competitive landscape. Such targeted repositioning can help the hotel avoid being “stuck in the middle,” a strategic pitfall where neither low cost nor distinctive value is achieved .</w:t>
      </w:r>
    </w:p>
    <w:p w:rsidR="00000000" w:rsidDel="00000000" w:rsidP="00000000" w:rsidRDefault="00000000" w:rsidRPr="00000000" w14:paraId="00000071">
      <w:pPr>
        <w:spacing w:after="0" w:line="360" w:lineRule="auto"/>
        <w:rPr/>
      </w:pPr>
      <w:r w:rsidDel="00000000" w:rsidR="00000000" w:rsidRPr="00000000">
        <w:rPr>
          <w:b w:val="1"/>
          <w:rtl w:val="0"/>
        </w:rPr>
        <w:t xml:space="preserve">RISK MITIGATION</w:t>
      </w:r>
      <w:r w:rsidDel="00000000" w:rsidR="00000000" w:rsidRPr="00000000">
        <w:rPr>
          <w:rtl w:val="0"/>
        </w:rPr>
      </w:r>
    </w:p>
    <w:p w:rsidR="00000000" w:rsidDel="00000000" w:rsidP="00000000" w:rsidRDefault="00000000" w:rsidRPr="00000000" w14:paraId="00000072">
      <w:pPr>
        <w:spacing w:after="0" w:line="360" w:lineRule="auto"/>
        <w:rPr/>
      </w:pPr>
      <w:r w:rsidDel="00000000" w:rsidR="00000000" w:rsidRPr="00000000">
        <w:rPr>
          <w:rtl w:val="0"/>
        </w:rPr>
        <w:t xml:space="preserve">The City Hotel should adopt a comprehensive risk management strategies to mitigate financial, capital and operational risks. One way is to have multiple streams of income so you can do more than just room rentals, like serving corporate events, which will offer stable revenue from the operations that are not seasonal. Decoration creates less dependence on any one source of income and can protect the hotel itself from market fluctuations (Lawrence et al., 2021). Also, obtaining suitable property and liability insurance as well as business interruption insurance will help preserve the hotel financially during adverse events. In addition, regular financial planning and forecasting such as these will also allow the hotel to better be prepared for cash flow needs, as well as low revenue periods, ultimately helping ensure liquidity and stability in tough times.</w:t>
      </w:r>
    </w:p>
    <w:p w:rsidR="00000000" w:rsidDel="00000000" w:rsidP="00000000" w:rsidRDefault="00000000" w:rsidRPr="00000000" w14:paraId="00000073">
      <w:pPr>
        <w:pStyle w:val="Heading1"/>
        <w:spacing w:line="360" w:lineRule="auto"/>
        <w:rPr/>
      </w:pPr>
      <w:bookmarkStart w:colFirst="0" w:colLast="0" w:name="_heading=h.44sinio" w:id="24"/>
      <w:bookmarkEnd w:id="24"/>
      <w:r w:rsidDel="00000000" w:rsidR="00000000" w:rsidRPr="00000000">
        <w:rPr>
          <w:rtl w:val="0"/>
        </w:rPr>
        <w:t xml:space="preserve">CONCLUSION</w:t>
      </w:r>
    </w:p>
    <w:p w:rsidR="00000000" w:rsidDel="00000000" w:rsidP="00000000" w:rsidRDefault="00000000" w:rsidRPr="00000000" w14:paraId="00000074">
      <w:pPr>
        <w:spacing w:after="0" w:line="360" w:lineRule="auto"/>
        <w:rPr/>
      </w:pPr>
      <w:bookmarkStart w:colFirst="0" w:colLast="0" w:name="_heading=h.2jxsxqh" w:id="25"/>
      <w:bookmarkEnd w:id="25"/>
      <w:r w:rsidDel="00000000" w:rsidR="00000000" w:rsidRPr="00000000">
        <w:rPr>
          <w:rtl w:val="0"/>
        </w:rPr>
        <w:t xml:space="preserve">In conclusion, The City Hotel is losing its profitability as a result of declining income level, decreasing liquidity position an point out reliance on debt. Some of the internal issues are: High fixed cost, Cost inefficiency; and externally there is already pressure on financial health arising due to rising inflation &amp; Competition. The turnaround strategy we have proposed addresses these challenges through cost reduction and higher revenue from demand-based pricing and better asset utilization. In the immediate term, it may require: aligning staffing and other costs with occupancy levels; pursuing energy saving initiatives; and rebalancing the hotel to service a larger portion of the customer base. Regular financial reviews then will be imperative, keeping tabs on progress and making necessary adjustments for changing market conditions. If the hotel is flexible and quick to implement necessary changes, The City Hotel can regain financial health and establish a platform for long-term prosperity.</w:t>
      </w:r>
    </w:p>
    <w:p w:rsidR="00000000" w:rsidDel="00000000" w:rsidP="00000000" w:rsidRDefault="00000000" w:rsidRPr="00000000" w14:paraId="00000075">
      <w:pPr>
        <w:spacing w:after="0" w:line="360" w:lineRule="auto"/>
        <w:rPr>
          <w:b w:val="0"/>
        </w:rPr>
      </w:pPr>
      <w:r w:rsidDel="00000000" w:rsidR="00000000" w:rsidRPr="00000000">
        <w:rPr>
          <w:b w:val="1"/>
          <w:rtl w:val="0"/>
        </w:rPr>
        <w:t xml:space="preserve">REFERENCES </w:t>
      </w:r>
      <w:r w:rsidDel="00000000" w:rsidR="00000000" w:rsidRPr="00000000">
        <w:rPr>
          <w:rtl w:val="0"/>
        </w:rPr>
      </w:r>
    </w:p>
    <w:p w:rsidR="00000000" w:rsidDel="00000000" w:rsidP="00000000" w:rsidRDefault="00000000" w:rsidRPr="00000000" w14:paraId="00000076">
      <w:pPr>
        <w:ind w:left="567" w:hanging="567"/>
        <w:rPr/>
      </w:pPr>
      <w:r w:rsidDel="00000000" w:rsidR="00000000" w:rsidRPr="00000000">
        <w:rPr>
          <w:rtl w:val="0"/>
        </w:rPr>
        <w:t xml:space="preserve">Access (2024) </w:t>
      </w:r>
      <w:r w:rsidDel="00000000" w:rsidR="00000000" w:rsidRPr="00000000">
        <w:rPr>
          <w:i w:val="1"/>
          <w:rtl w:val="0"/>
        </w:rPr>
        <w:t xml:space="preserve">Surviving The Cost of Living Crisis in Hospitality. </w:t>
      </w:r>
      <w:r w:rsidDel="00000000" w:rsidR="00000000" w:rsidRPr="00000000">
        <w:rPr>
          <w:rtl w:val="0"/>
        </w:rPr>
        <w:t xml:space="preserve">Available at; </w:t>
      </w:r>
      <w:hyperlink r:id="rId17">
        <w:r w:rsidDel="00000000" w:rsidR="00000000" w:rsidRPr="00000000">
          <w:rPr>
            <w:color w:val="0000ff"/>
            <w:u w:val="single"/>
            <w:rtl w:val="0"/>
          </w:rPr>
          <w:t xml:space="preserve">https://www.theaccessgroup.com/en-gb/blog/hos-how-the-cost-of-living-is-impacting-hospitality/</w:t>
        </w:r>
      </w:hyperlink>
      <w:r w:rsidDel="00000000" w:rsidR="00000000" w:rsidRPr="00000000">
        <w:rPr>
          <w:rtl w:val="0"/>
        </w:rPr>
        <w:t xml:space="preserve"> (Accessed 4 November 2024)</w:t>
      </w:r>
    </w:p>
    <w:p w:rsidR="00000000" w:rsidDel="00000000" w:rsidP="00000000" w:rsidRDefault="00000000" w:rsidRPr="00000000" w14:paraId="00000077">
      <w:pPr>
        <w:ind w:left="567" w:hanging="567"/>
        <w:rPr/>
      </w:pPr>
      <w:r w:rsidDel="00000000" w:rsidR="00000000" w:rsidRPr="00000000">
        <w:rPr>
          <w:rtl w:val="0"/>
        </w:rPr>
        <w:t xml:space="preserve">Akinleye, G. T. &amp; Oluyori, J. O. (2023) ‘The impact of standard costing on the financial performance of listed consumable goods companies in Nigeria’, </w:t>
      </w:r>
      <w:r w:rsidDel="00000000" w:rsidR="00000000" w:rsidRPr="00000000">
        <w:rPr>
          <w:i w:val="1"/>
          <w:rtl w:val="0"/>
        </w:rPr>
        <w:t xml:space="preserve">Fuoye Journal of Accounting and Management</w:t>
      </w:r>
      <w:r w:rsidDel="00000000" w:rsidR="00000000" w:rsidRPr="00000000">
        <w:rPr>
          <w:rtl w:val="0"/>
        </w:rPr>
        <w:t xml:space="preserve">, 6(1).</w:t>
      </w:r>
    </w:p>
    <w:p w:rsidR="00000000" w:rsidDel="00000000" w:rsidP="00000000" w:rsidRDefault="00000000" w:rsidRPr="00000000" w14:paraId="00000078">
      <w:pPr>
        <w:ind w:left="567" w:hanging="567"/>
        <w:rPr/>
      </w:pPr>
      <w:r w:rsidDel="00000000" w:rsidR="00000000" w:rsidRPr="00000000">
        <w:rPr>
          <w:rtl w:val="0"/>
        </w:rPr>
        <w:t xml:space="preserve">Coates, K. R. (2024) </w:t>
      </w:r>
      <w:r w:rsidDel="00000000" w:rsidR="00000000" w:rsidRPr="00000000">
        <w:rPr>
          <w:i w:val="1"/>
          <w:rtl w:val="0"/>
        </w:rPr>
        <w:t xml:space="preserve">Strategies for Reducing Employee Turnover Costs</w:t>
      </w:r>
      <w:r w:rsidDel="00000000" w:rsidR="00000000" w:rsidRPr="00000000">
        <w:rPr>
          <w:rtl w:val="0"/>
        </w:rPr>
        <w:t xml:space="preserve"> (Doctoral dissertation, Walden University).</w:t>
      </w:r>
    </w:p>
    <w:p w:rsidR="00000000" w:rsidDel="00000000" w:rsidP="00000000" w:rsidRDefault="00000000" w:rsidRPr="00000000" w14:paraId="00000079">
      <w:pPr>
        <w:ind w:left="567" w:hanging="567"/>
        <w:rPr/>
      </w:pPr>
      <w:r w:rsidDel="00000000" w:rsidR="00000000" w:rsidRPr="00000000">
        <w:rPr>
          <w:rtl w:val="0"/>
        </w:rPr>
        <w:t xml:space="preserve">Gashi, S. et al. (2023) An overview into the literature on the concept of eco/green hotel1. In </w:t>
      </w:r>
      <w:r w:rsidDel="00000000" w:rsidR="00000000" w:rsidRPr="00000000">
        <w:rPr>
          <w:i w:val="1"/>
          <w:rtl w:val="0"/>
        </w:rPr>
        <w:t xml:space="preserve">Proceedings of FIKUSZ Symposium for Young Researchers</w:t>
      </w:r>
      <w:r w:rsidDel="00000000" w:rsidR="00000000" w:rsidRPr="00000000">
        <w:rPr>
          <w:rtl w:val="0"/>
        </w:rPr>
        <w:t xml:space="preserve"> (pp. 39-56). Óbuda University Keleti Károly Faculty of Economics.</w:t>
      </w:r>
    </w:p>
    <w:p w:rsidR="00000000" w:rsidDel="00000000" w:rsidP="00000000" w:rsidRDefault="00000000" w:rsidRPr="00000000" w14:paraId="0000007A">
      <w:pPr>
        <w:ind w:left="567" w:hanging="567"/>
        <w:rPr/>
      </w:pPr>
      <w:r w:rsidDel="00000000" w:rsidR="00000000" w:rsidRPr="00000000">
        <w:rPr>
          <w:rtl w:val="0"/>
        </w:rPr>
        <w:t xml:space="preserve">Hutagalung, L., &amp; Siagian, H. (2022) The effect of gross profit, operating profit and net profit on future cash flow prediction at the company of telecommunications sub sector on IDX in 2014-2019. </w:t>
      </w:r>
      <w:r w:rsidDel="00000000" w:rsidR="00000000" w:rsidRPr="00000000">
        <w:rPr>
          <w:i w:val="1"/>
          <w:rtl w:val="0"/>
        </w:rPr>
        <w:t xml:space="preserve">Ekonomis: Journal of Economics and Business</w:t>
      </w:r>
      <w:r w:rsidDel="00000000" w:rsidR="00000000" w:rsidRPr="00000000">
        <w:rPr>
          <w:rtl w:val="0"/>
        </w:rPr>
        <w:t xml:space="preserve">, 6(1), 348-358.</w:t>
      </w:r>
    </w:p>
    <w:p w:rsidR="00000000" w:rsidDel="00000000" w:rsidP="00000000" w:rsidRDefault="00000000" w:rsidRPr="00000000" w14:paraId="0000007B">
      <w:pPr>
        <w:ind w:left="567" w:hanging="567"/>
        <w:rPr/>
      </w:pPr>
      <w:r w:rsidDel="00000000" w:rsidR="00000000" w:rsidRPr="00000000">
        <w:rPr>
          <w:rtl w:val="0"/>
        </w:rPr>
        <w:t xml:space="preserve">HVC (2023) </w:t>
      </w:r>
      <w:r w:rsidDel="00000000" w:rsidR="00000000" w:rsidRPr="00000000">
        <w:rPr>
          <w:i w:val="1"/>
          <w:rtl w:val="0"/>
        </w:rPr>
        <w:t xml:space="preserve">HVS Global Hotel Industry: 2023 Recap and 2024 Outlook.</w:t>
      </w:r>
      <w:r w:rsidDel="00000000" w:rsidR="00000000" w:rsidRPr="00000000">
        <w:rPr>
          <w:rtl w:val="0"/>
        </w:rPr>
        <w:t xml:space="preserve"> Available at; </w:t>
      </w:r>
      <w:hyperlink r:id="rId18">
        <w:r w:rsidDel="00000000" w:rsidR="00000000" w:rsidRPr="00000000">
          <w:rPr>
            <w:color w:val="0000ff"/>
            <w:u w:val="single"/>
            <w:rtl w:val="0"/>
          </w:rPr>
          <w:t xml:space="preserve">https://www.hvs.com/article/9814-hvs-global-hotel-industry-2023-recap-and-2024-outlook</w:t>
        </w:r>
      </w:hyperlink>
      <w:r w:rsidDel="00000000" w:rsidR="00000000" w:rsidRPr="00000000">
        <w:rPr>
          <w:rtl w:val="0"/>
        </w:rPr>
        <w:t xml:space="preserve"> (Accessed 4 November 2024)</w:t>
      </w:r>
    </w:p>
    <w:p w:rsidR="00000000" w:rsidDel="00000000" w:rsidP="00000000" w:rsidRDefault="00000000" w:rsidRPr="00000000" w14:paraId="0000007C">
      <w:pPr>
        <w:ind w:left="567" w:hanging="567"/>
        <w:rPr/>
      </w:pPr>
      <w:r w:rsidDel="00000000" w:rsidR="00000000" w:rsidRPr="00000000">
        <w:rPr>
          <w:rtl w:val="0"/>
        </w:rPr>
        <w:t xml:space="preserve">Jayathilaka, A. K. (2020) ‘Operating profit and net profit: measurements of profitability’, </w:t>
      </w:r>
      <w:r w:rsidDel="00000000" w:rsidR="00000000" w:rsidRPr="00000000">
        <w:rPr>
          <w:i w:val="1"/>
          <w:rtl w:val="0"/>
        </w:rPr>
        <w:t xml:space="preserve">Open Access Library Journal</w:t>
      </w:r>
      <w:r w:rsidDel="00000000" w:rsidR="00000000" w:rsidRPr="00000000">
        <w:rPr>
          <w:rtl w:val="0"/>
        </w:rPr>
        <w:t xml:space="preserve">, 7(12), 1-11.</w:t>
      </w:r>
    </w:p>
    <w:p w:rsidR="00000000" w:rsidDel="00000000" w:rsidP="00000000" w:rsidRDefault="00000000" w:rsidRPr="00000000" w14:paraId="0000007D">
      <w:pPr>
        <w:ind w:left="567" w:hanging="567"/>
        <w:rPr/>
      </w:pPr>
      <w:r w:rsidDel="00000000" w:rsidR="00000000" w:rsidRPr="00000000">
        <w:rPr>
          <w:rtl w:val="0"/>
        </w:rPr>
        <w:t xml:space="preserve">Kazar, G. et al. (2023) ‘Development of zero-based budgeting approach for multinational construction contractors’, </w:t>
      </w:r>
      <w:r w:rsidDel="00000000" w:rsidR="00000000" w:rsidRPr="00000000">
        <w:rPr>
          <w:i w:val="1"/>
          <w:rtl w:val="0"/>
        </w:rPr>
        <w:t xml:space="preserve">Engineering, Construction and Architectural Management</w:t>
      </w:r>
      <w:r w:rsidDel="00000000" w:rsidR="00000000" w:rsidRPr="00000000">
        <w:rPr>
          <w:rtl w:val="0"/>
        </w:rPr>
        <w:t xml:space="preserve">, 30(10), 5217-5232.</w:t>
      </w:r>
    </w:p>
    <w:p w:rsidR="00000000" w:rsidDel="00000000" w:rsidP="00000000" w:rsidRDefault="00000000" w:rsidRPr="00000000" w14:paraId="0000007E">
      <w:pPr>
        <w:ind w:left="567" w:hanging="567"/>
        <w:rPr/>
      </w:pPr>
      <w:r w:rsidDel="00000000" w:rsidR="00000000" w:rsidRPr="00000000">
        <w:rPr>
          <w:rtl w:val="0"/>
        </w:rPr>
        <w:t xml:space="preserve">Kotler, P., &amp; Keller, K. L. (2016) </w:t>
      </w:r>
      <w:r w:rsidDel="00000000" w:rsidR="00000000" w:rsidRPr="00000000">
        <w:rPr>
          <w:i w:val="1"/>
          <w:rtl w:val="0"/>
        </w:rPr>
        <w:t xml:space="preserve">Marketing Management </w:t>
      </w:r>
      <w:r w:rsidDel="00000000" w:rsidR="00000000" w:rsidRPr="00000000">
        <w:rPr>
          <w:rtl w:val="0"/>
        </w:rPr>
        <w:t xml:space="preserve">(14th edition). Shanghai: Shanghai People’s Publishing House.</w:t>
      </w:r>
    </w:p>
    <w:p w:rsidR="00000000" w:rsidDel="00000000" w:rsidP="00000000" w:rsidRDefault="00000000" w:rsidRPr="00000000" w14:paraId="0000007F">
      <w:pPr>
        <w:ind w:left="567" w:hanging="567"/>
        <w:rPr/>
      </w:pPr>
      <w:r w:rsidDel="00000000" w:rsidR="00000000" w:rsidRPr="00000000">
        <w:rPr>
          <w:rtl w:val="0"/>
        </w:rPr>
        <w:t xml:space="preserve">Lawrence, B., et al. (2021) ‘Return on investments in hotel franchising: understanding moderating effects of franchisee dependence’, </w:t>
      </w:r>
      <w:r w:rsidDel="00000000" w:rsidR="00000000" w:rsidRPr="00000000">
        <w:rPr>
          <w:i w:val="1"/>
          <w:rtl w:val="0"/>
        </w:rPr>
        <w:t xml:space="preserve">Production and Operations Management</w:t>
      </w:r>
      <w:r w:rsidDel="00000000" w:rsidR="00000000" w:rsidRPr="00000000">
        <w:rPr>
          <w:rtl w:val="0"/>
        </w:rPr>
        <w:t xml:space="preserve">, 30(8), 2420-2440.</w:t>
      </w:r>
    </w:p>
    <w:p w:rsidR="00000000" w:rsidDel="00000000" w:rsidP="00000000" w:rsidRDefault="00000000" w:rsidRPr="00000000" w14:paraId="00000080">
      <w:pPr>
        <w:ind w:left="567" w:hanging="567"/>
        <w:rPr/>
      </w:pPr>
      <w:r w:rsidDel="00000000" w:rsidR="00000000" w:rsidRPr="00000000">
        <w:rPr>
          <w:rtl w:val="0"/>
        </w:rPr>
        <w:t xml:space="preserve">McCracken, S. (2021) ‘The Lost Year: How COVID-19 Has Altered the Hotel Industry’, </w:t>
      </w:r>
      <w:r w:rsidDel="00000000" w:rsidR="00000000" w:rsidRPr="00000000">
        <w:rPr>
          <w:i w:val="1"/>
          <w:rtl w:val="0"/>
        </w:rPr>
        <w:t xml:space="preserve">Costar</w:t>
      </w:r>
      <w:r w:rsidDel="00000000" w:rsidR="00000000" w:rsidRPr="00000000">
        <w:rPr>
          <w:rtl w:val="0"/>
        </w:rPr>
        <w:t xml:space="preserve">. Available at; </w:t>
      </w:r>
      <w:hyperlink r:id="rId19">
        <w:r w:rsidDel="00000000" w:rsidR="00000000" w:rsidRPr="00000000">
          <w:rPr>
            <w:color w:val="0000ff"/>
            <w:u w:val="single"/>
            <w:rtl w:val="0"/>
          </w:rPr>
          <w:t xml:space="preserve">https://www.costar.com/article/539962170/the-lost-year-how-covid-19-has-altered-the-hotel-industry</w:t>
        </w:r>
      </w:hyperlink>
      <w:r w:rsidDel="00000000" w:rsidR="00000000" w:rsidRPr="00000000">
        <w:rPr>
          <w:rtl w:val="0"/>
        </w:rPr>
        <w:t xml:space="preserve"> (Accessed 4 November 2024)</w:t>
      </w:r>
    </w:p>
    <w:p w:rsidR="00000000" w:rsidDel="00000000" w:rsidP="00000000" w:rsidRDefault="00000000" w:rsidRPr="00000000" w14:paraId="00000081">
      <w:pPr>
        <w:ind w:left="567" w:hanging="567"/>
        <w:rPr/>
      </w:pPr>
      <w:r w:rsidDel="00000000" w:rsidR="00000000" w:rsidRPr="00000000">
        <w:rPr>
          <w:rtl w:val="0"/>
        </w:rPr>
        <w:t xml:space="preserve">Olayinka, A. A. (2022) ‘Financial statement analysis as a tool for investment decisions and assessment of companies’ performance’, </w:t>
      </w:r>
      <w:r w:rsidDel="00000000" w:rsidR="00000000" w:rsidRPr="00000000">
        <w:rPr>
          <w:i w:val="1"/>
          <w:rtl w:val="0"/>
        </w:rPr>
        <w:t xml:space="preserve">International Journal of Financial, Accounting, and Management,</w:t>
      </w:r>
      <w:r w:rsidDel="00000000" w:rsidR="00000000" w:rsidRPr="00000000">
        <w:rPr>
          <w:rtl w:val="0"/>
        </w:rPr>
        <w:t xml:space="preserve"> 4(1), 49-66.</w:t>
      </w:r>
    </w:p>
    <w:p w:rsidR="00000000" w:rsidDel="00000000" w:rsidP="00000000" w:rsidRDefault="00000000" w:rsidRPr="00000000" w14:paraId="00000082">
      <w:pPr>
        <w:ind w:left="567" w:hanging="567"/>
        <w:rPr/>
      </w:pPr>
      <w:r w:rsidDel="00000000" w:rsidR="00000000" w:rsidRPr="00000000">
        <w:rPr>
          <w:rtl w:val="0"/>
        </w:rPr>
        <w:t xml:space="preserve">Omodara, O. V. (2023) ‘The Dynamics of Short-Term Debt Ratio and Firm Performance: A Comprehensive Study of Nigerian Manufacturing Firms’, </w:t>
      </w:r>
      <w:r w:rsidDel="00000000" w:rsidR="00000000" w:rsidRPr="00000000">
        <w:rPr>
          <w:i w:val="1"/>
          <w:rtl w:val="0"/>
        </w:rPr>
        <w:t xml:space="preserve">FUOYE JOURNAL OF ACCOUNTING AND MANAGEMENT</w:t>
      </w:r>
      <w:r w:rsidDel="00000000" w:rsidR="00000000" w:rsidRPr="00000000">
        <w:rPr>
          <w:rtl w:val="0"/>
        </w:rPr>
        <w:t xml:space="preserve">, 6(2).</w:t>
      </w:r>
    </w:p>
    <w:p w:rsidR="00000000" w:rsidDel="00000000" w:rsidP="00000000" w:rsidRDefault="00000000" w:rsidRPr="00000000" w14:paraId="00000083">
      <w:pPr>
        <w:ind w:left="567" w:hanging="567"/>
        <w:rPr/>
      </w:pPr>
      <w:r w:rsidDel="00000000" w:rsidR="00000000" w:rsidRPr="00000000">
        <w:rPr>
          <w:rtl w:val="0"/>
        </w:rPr>
        <w:t xml:space="preserve">Porter, M.E. (1985) </w:t>
      </w:r>
      <w:r w:rsidDel="00000000" w:rsidR="00000000" w:rsidRPr="00000000">
        <w:rPr>
          <w:i w:val="1"/>
          <w:rtl w:val="0"/>
        </w:rPr>
        <w:t xml:space="preserve">Competitive Advantage. Creating and Sustaining Superior Performance</w:t>
      </w:r>
      <w:r w:rsidDel="00000000" w:rsidR="00000000" w:rsidRPr="00000000">
        <w:rPr>
          <w:rtl w:val="0"/>
        </w:rPr>
        <w:t xml:space="preserve">. Free Press, New York, 557 p.</w:t>
      </w:r>
    </w:p>
    <w:p w:rsidR="00000000" w:rsidDel="00000000" w:rsidP="00000000" w:rsidRDefault="00000000" w:rsidRPr="00000000" w14:paraId="00000084">
      <w:pPr>
        <w:ind w:left="567" w:hanging="567"/>
        <w:rPr/>
      </w:pPr>
      <w:r w:rsidDel="00000000" w:rsidR="00000000" w:rsidRPr="00000000">
        <w:rPr>
          <w:rtl w:val="0"/>
        </w:rPr>
        <w:t xml:space="preserve">Purwanti, B., &amp; Warasto, H. N. (2023) ‘The influence of current ratio, quick ratio and cash ratio, on return on assets at Pempek Cawan Putih restaurant period 2012–2021’, </w:t>
      </w:r>
      <w:r w:rsidDel="00000000" w:rsidR="00000000" w:rsidRPr="00000000">
        <w:rPr>
          <w:i w:val="1"/>
          <w:rtl w:val="0"/>
        </w:rPr>
        <w:t xml:space="preserve">International Journal of Social and Management Studies</w:t>
      </w:r>
      <w:r w:rsidDel="00000000" w:rsidR="00000000" w:rsidRPr="00000000">
        <w:rPr>
          <w:rtl w:val="0"/>
        </w:rPr>
        <w:t xml:space="preserve">, 4(2), 31-36.</w:t>
      </w:r>
    </w:p>
    <w:p w:rsidR="00000000" w:rsidDel="00000000" w:rsidP="00000000" w:rsidRDefault="00000000" w:rsidRPr="00000000" w14:paraId="00000085">
      <w:pPr>
        <w:ind w:left="567" w:hanging="567"/>
        <w:rPr/>
      </w:pPr>
      <w:r w:rsidDel="00000000" w:rsidR="00000000" w:rsidRPr="00000000">
        <w:rPr>
          <w:rtl w:val="0"/>
        </w:rPr>
        <w:t xml:space="preserve">Rashid, C. A. (2021) ‘The efficiency of financial ratios analysis to evaluate company’s profitability’, </w:t>
      </w:r>
      <w:r w:rsidDel="00000000" w:rsidR="00000000" w:rsidRPr="00000000">
        <w:rPr>
          <w:i w:val="1"/>
          <w:rtl w:val="0"/>
        </w:rPr>
        <w:t xml:space="preserve">Journal of Global Economics and Business</w:t>
      </w:r>
      <w:r w:rsidDel="00000000" w:rsidR="00000000" w:rsidRPr="00000000">
        <w:rPr>
          <w:rtl w:val="0"/>
        </w:rPr>
        <w:t xml:space="preserve">, 2(4), 119-132.</w:t>
      </w:r>
    </w:p>
    <w:p w:rsidR="00000000" w:rsidDel="00000000" w:rsidP="00000000" w:rsidRDefault="00000000" w:rsidRPr="00000000" w14:paraId="00000086">
      <w:pPr>
        <w:ind w:left="567" w:hanging="567"/>
        <w:rPr/>
      </w:pPr>
      <w:r w:rsidDel="00000000" w:rsidR="00000000" w:rsidRPr="00000000">
        <w:rPr>
          <w:rtl w:val="0"/>
        </w:rPr>
        <w:t xml:space="preserve">Robinson, R. (2024) ‘2024 Outlook: Hospitality and Leisure’, </w:t>
      </w:r>
      <w:r w:rsidDel="00000000" w:rsidR="00000000" w:rsidRPr="00000000">
        <w:rPr>
          <w:i w:val="1"/>
          <w:rtl w:val="0"/>
        </w:rPr>
        <w:t xml:space="preserve">Barclays Corporate</w:t>
      </w:r>
      <w:r w:rsidDel="00000000" w:rsidR="00000000" w:rsidRPr="00000000">
        <w:rPr>
          <w:rtl w:val="0"/>
        </w:rPr>
        <w:t xml:space="preserve">. Available at; </w:t>
      </w:r>
      <w:hyperlink r:id="rId20">
        <w:r w:rsidDel="00000000" w:rsidR="00000000" w:rsidRPr="00000000">
          <w:rPr>
            <w:color w:val="0000ff"/>
            <w:u w:val="single"/>
            <w:rtl w:val="0"/>
          </w:rPr>
          <w:t xml:space="preserve">https://www.barclayscorporate.com/insights/2024-outlook/hospitality-and-leisure/</w:t>
        </w:r>
      </w:hyperlink>
      <w:r w:rsidDel="00000000" w:rsidR="00000000" w:rsidRPr="00000000">
        <w:rPr>
          <w:rtl w:val="0"/>
        </w:rPr>
        <w:t xml:space="preserve"> (Accessed 4 November 2024)</w:t>
      </w:r>
    </w:p>
    <w:p w:rsidR="00000000" w:rsidDel="00000000" w:rsidP="00000000" w:rsidRDefault="00000000" w:rsidRPr="00000000" w14:paraId="00000087">
      <w:pPr>
        <w:ind w:left="567" w:hanging="567"/>
        <w:rPr/>
      </w:pPr>
      <w:r w:rsidDel="00000000" w:rsidR="00000000" w:rsidRPr="00000000">
        <w:rPr>
          <w:rtl w:val="0"/>
        </w:rPr>
        <w:t xml:space="preserve">Roma, P. et al. (2019) ‘Sharing economy and incumbents' pricing strategy: The impact of Airbnb on the hospitality industry’, </w:t>
      </w:r>
      <w:r w:rsidDel="00000000" w:rsidR="00000000" w:rsidRPr="00000000">
        <w:rPr>
          <w:i w:val="1"/>
          <w:rtl w:val="0"/>
        </w:rPr>
        <w:t xml:space="preserve">International Journal of Production Economics</w:t>
      </w:r>
      <w:r w:rsidDel="00000000" w:rsidR="00000000" w:rsidRPr="00000000">
        <w:rPr>
          <w:rtl w:val="0"/>
        </w:rPr>
        <w:t xml:space="preserve">, 214, 17-29.</w:t>
      </w:r>
    </w:p>
    <w:sectPr>
      <w:footerReference r:id="rId21" w:type="default"/>
      <w:footerReference r:id="rId22" w:type="first"/>
      <w:type w:val="nextPage"/>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GB"/>
      </w:rPr>
    </w:rPrDefault>
    <w:pPrDefault>
      <w:pPr>
        <w:spacing w:after="160"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rPr>
  </w:style>
  <w:style w:type="paragraph" w:styleId="Heading2">
    <w:name w:val="heading 2"/>
    <w:basedOn w:val="Normal"/>
    <w:next w:val="Normal"/>
    <w:pPr>
      <w:keepNext w:val="1"/>
      <w:keepLines w:val="1"/>
      <w:spacing w:after="0" w:before="40" w:lineRule="auto"/>
    </w:pPr>
    <w:rPr>
      <w:b w:val="1"/>
      <w:sz w:val="22"/>
      <w:szCs w:val="22"/>
    </w:rPr>
  </w:style>
  <w:style w:type="paragraph" w:styleId="Heading3">
    <w:name w:val="heading 3"/>
    <w:basedOn w:val="Normal"/>
    <w:next w:val="Normal"/>
    <w:pPr/>
    <w:rPr>
      <w:b w:val="1"/>
      <w:i w:val="1"/>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f5496"/>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7A7C89"/>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val="1"/>
    <w:rsid w:val="007A7C89"/>
    <w:pPr>
      <w:keepNext w:val="1"/>
      <w:keepLines w:val="1"/>
      <w:spacing w:after="0" w:before="240"/>
      <w:outlineLvl w:val="0"/>
    </w:pPr>
    <w:rPr>
      <w:rFonts w:cstheme="majorBidi" w:eastAsiaTheme="majorEastAsia"/>
      <w:b w:val="1"/>
      <w:szCs w:val="40"/>
    </w:rPr>
  </w:style>
  <w:style w:type="paragraph" w:styleId="Heading2">
    <w:name w:val="heading 2"/>
    <w:basedOn w:val="Normal"/>
    <w:next w:val="Normal"/>
    <w:link w:val="Heading2Char"/>
    <w:uiPriority w:val="9"/>
    <w:unhideWhenUsed w:val="1"/>
    <w:qFormat w:val="1"/>
    <w:rsid w:val="00FA0837"/>
    <w:pPr>
      <w:keepNext w:val="1"/>
      <w:keepLines w:val="1"/>
      <w:spacing w:after="0" w:before="40"/>
      <w:outlineLvl w:val="1"/>
    </w:pPr>
    <w:rPr>
      <w:rFonts w:cstheme="majorBidi" w:eastAsiaTheme="majorEastAsia"/>
      <w:b w:val="1"/>
      <w:sz w:val="22"/>
      <w:szCs w:val="33"/>
    </w:rPr>
  </w:style>
  <w:style w:type="paragraph" w:styleId="Heading3">
    <w:name w:val="heading 3"/>
    <w:basedOn w:val="Normal"/>
    <w:link w:val="Heading3Char"/>
    <w:uiPriority w:val="9"/>
    <w:qFormat w:val="1"/>
    <w:rsid w:val="007A7C89"/>
    <w:pPr>
      <w:spacing w:after="100" w:afterAutospacing="1" w:before="100" w:beforeAutospacing="1"/>
      <w:outlineLvl w:val="2"/>
    </w:pPr>
    <w:rPr>
      <w:rFonts w:cs="Times New Roman" w:eastAsia="Times New Roman"/>
      <w:b w:val="1"/>
      <w:bCs w:val="1"/>
      <w:i w:val="1"/>
      <w:kern w:val="0"/>
      <w:szCs w:val="27"/>
      <w:lang w:bidi="bn-BD" w:eastAsia="en-GB" w:val="en-GB"/>
    </w:rPr>
  </w:style>
  <w:style w:type="paragraph" w:styleId="Heading4">
    <w:name w:val="heading 4"/>
    <w:basedOn w:val="Normal"/>
    <w:next w:val="Normal"/>
    <w:link w:val="Heading4Char"/>
    <w:uiPriority w:val="9"/>
    <w:unhideWhenUsed w:val="1"/>
    <w:qFormat w:val="1"/>
    <w:rsid w:val="007A7C89"/>
    <w:pPr>
      <w:keepNext w:val="1"/>
      <w:keepLines w:val="1"/>
      <w:spacing w:after="0" w:before="40"/>
      <w:outlineLvl w:val="3"/>
    </w:pPr>
    <w:rPr>
      <w:rFonts w:asciiTheme="majorHAnsi" w:cstheme="majorBidi" w:eastAsiaTheme="majorEastAsia" w:hAnsiTheme="majorHAnsi"/>
      <w:i w:val="1"/>
      <w:iCs w:val="1"/>
      <w:color w:val="2f5496" w:themeColor="accent1" w:themeShade="0000BF"/>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3Char" w:customStyle="1">
    <w:name w:val="Heading 3 Char"/>
    <w:basedOn w:val="DefaultParagraphFont"/>
    <w:link w:val="Heading3"/>
    <w:uiPriority w:val="9"/>
    <w:rsid w:val="007A7C89"/>
    <w:rPr>
      <w:rFonts w:ascii="Times New Roman" w:cs="Times New Roman" w:eastAsia="Times New Roman" w:hAnsi="Times New Roman"/>
      <w:b w:val="1"/>
      <w:bCs w:val="1"/>
      <w:i w:val="1"/>
      <w:kern w:val="0"/>
      <w:sz w:val="24"/>
      <w:szCs w:val="27"/>
      <w:lang w:bidi="bn-BD" w:eastAsia="en-GB" w:val="en-GB"/>
    </w:rPr>
  </w:style>
  <w:style w:type="character" w:styleId="Strong">
    <w:name w:val="Strong"/>
    <w:basedOn w:val="DefaultParagraphFont"/>
    <w:uiPriority w:val="22"/>
    <w:qFormat w:val="1"/>
    <w:rsid w:val="007A7C89"/>
    <w:rPr>
      <w:b w:val="1"/>
      <w:bCs w:val="1"/>
    </w:rPr>
  </w:style>
  <w:style w:type="paragraph" w:styleId="NormalWeb">
    <w:name w:val="Normal (Web)"/>
    <w:basedOn w:val="Normal"/>
    <w:uiPriority w:val="99"/>
    <w:unhideWhenUsed w:val="1"/>
    <w:rsid w:val="007A7C89"/>
    <w:pPr>
      <w:spacing w:after="100" w:afterAutospacing="1" w:before="100" w:beforeAutospacing="1" w:line="240" w:lineRule="auto"/>
    </w:pPr>
    <w:rPr>
      <w:rFonts w:cs="Times New Roman" w:eastAsia="Times New Roman"/>
      <w:kern w:val="0"/>
      <w:szCs w:val="24"/>
      <w:lang w:bidi="bn-BD" w:eastAsia="en-GB" w:val="en-GB"/>
    </w:rPr>
  </w:style>
  <w:style w:type="character" w:styleId="Emphasis">
    <w:name w:val="Emphasis"/>
    <w:basedOn w:val="DefaultParagraphFont"/>
    <w:uiPriority w:val="20"/>
    <w:qFormat w:val="1"/>
    <w:rsid w:val="007A7C89"/>
    <w:rPr>
      <w:i w:val="1"/>
      <w:iCs w:val="1"/>
    </w:rPr>
  </w:style>
  <w:style w:type="character" w:styleId="Heading4Char" w:customStyle="1">
    <w:name w:val="Heading 4 Char"/>
    <w:basedOn w:val="DefaultParagraphFont"/>
    <w:link w:val="Heading4"/>
    <w:uiPriority w:val="9"/>
    <w:rsid w:val="007A7C89"/>
    <w:rPr>
      <w:rFonts w:asciiTheme="majorHAnsi" w:cstheme="majorBidi" w:eastAsiaTheme="majorEastAsia" w:hAnsiTheme="majorHAnsi"/>
      <w:i w:val="1"/>
      <w:iCs w:val="1"/>
      <w:color w:val="2f5496" w:themeColor="accent1" w:themeShade="0000BF"/>
      <w:sz w:val="24"/>
    </w:rPr>
  </w:style>
  <w:style w:type="character" w:styleId="katex-mathml" w:customStyle="1">
    <w:name w:val="katex-mathml"/>
    <w:basedOn w:val="DefaultParagraphFont"/>
    <w:rsid w:val="007A7C89"/>
  </w:style>
  <w:style w:type="character" w:styleId="mord" w:customStyle="1">
    <w:name w:val="mord"/>
    <w:basedOn w:val="DefaultParagraphFont"/>
    <w:rsid w:val="007A7C89"/>
  </w:style>
  <w:style w:type="character" w:styleId="mrel" w:customStyle="1">
    <w:name w:val="mrel"/>
    <w:basedOn w:val="DefaultParagraphFont"/>
    <w:rsid w:val="007A7C89"/>
  </w:style>
  <w:style w:type="character" w:styleId="mbin" w:customStyle="1">
    <w:name w:val="mbin"/>
    <w:basedOn w:val="DefaultParagraphFont"/>
    <w:rsid w:val="007A7C89"/>
  </w:style>
  <w:style w:type="character" w:styleId="vlist-s" w:customStyle="1">
    <w:name w:val="vlist-s"/>
    <w:basedOn w:val="DefaultParagraphFont"/>
    <w:rsid w:val="007A7C89"/>
  </w:style>
  <w:style w:type="character" w:styleId="Heading2Char" w:customStyle="1">
    <w:name w:val="Heading 2 Char"/>
    <w:basedOn w:val="DefaultParagraphFont"/>
    <w:link w:val="Heading2"/>
    <w:uiPriority w:val="9"/>
    <w:rsid w:val="00FA0837"/>
    <w:rPr>
      <w:rFonts w:ascii="Times New Roman" w:hAnsi="Times New Roman" w:cstheme="majorBidi" w:eastAsiaTheme="majorEastAsia"/>
      <w:b w:val="1"/>
      <w:szCs w:val="33"/>
    </w:rPr>
  </w:style>
  <w:style w:type="character" w:styleId="Heading1Char" w:customStyle="1">
    <w:name w:val="Heading 1 Char"/>
    <w:basedOn w:val="DefaultParagraphFont"/>
    <w:link w:val="Heading1"/>
    <w:uiPriority w:val="9"/>
    <w:rsid w:val="007A7C89"/>
    <w:rPr>
      <w:rFonts w:ascii="Times New Roman" w:hAnsi="Times New Roman" w:cstheme="majorBidi" w:eastAsiaTheme="majorEastAsia"/>
      <w:b w:val="1"/>
      <w:sz w:val="24"/>
      <w:szCs w:val="40"/>
    </w:rPr>
  </w:style>
  <w:style w:type="character" w:styleId="truncate" w:customStyle="1">
    <w:name w:val="truncate"/>
    <w:basedOn w:val="DefaultParagraphFont"/>
    <w:rsid w:val="001E2C23"/>
  </w:style>
  <w:style w:type="paragraph" w:styleId="ListParagraph">
    <w:name w:val="List Paragraph"/>
    <w:basedOn w:val="Normal"/>
    <w:uiPriority w:val="34"/>
    <w:qFormat w:val="1"/>
    <w:rsid w:val="001E2C23"/>
    <w:pPr>
      <w:ind w:left="720"/>
      <w:contextualSpacing w:val="1"/>
    </w:pPr>
  </w:style>
  <w:style w:type="character" w:styleId="Hyperlink">
    <w:name w:val="Hyperlink"/>
    <w:basedOn w:val="DefaultParagraphFont"/>
    <w:uiPriority w:val="99"/>
    <w:unhideWhenUsed w:val="1"/>
    <w:rsid w:val="00CB7689"/>
    <w:rPr>
      <w:color w:val="0000ff"/>
      <w:u w:val="single"/>
    </w:rPr>
  </w:style>
  <w:style w:type="character" w:styleId="UnresolvedMention" w:customStyle="1">
    <w:name w:val="Unresolved Mention"/>
    <w:basedOn w:val="DefaultParagraphFont"/>
    <w:uiPriority w:val="99"/>
    <w:semiHidden w:val="1"/>
    <w:unhideWhenUsed w:val="1"/>
    <w:rsid w:val="00CB7689"/>
    <w:rPr>
      <w:color w:val="605e5c"/>
      <w:shd w:color="auto" w:fill="e1dfdd" w:val="clear"/>
    </w:rPr>
  </w:style>
  <w:style w:type="paragraph" w:styleId="TOCHeading">
    <w:name w:val="TOC Heading"/>
    <w:basedOn w:val="Heading1"/>
    <w:next w:val="Normal"/>
    <w:uiPriority w:val="39"/>
    <w:unhideWhenUsed w:val="1"/>
    <w:qFormat w:val="1"/>
    <w:rsid w:val="00FC4EE1"/>
    <w:pPr>
      <w:spacing w:line="259" w:lineRule="auto"/>
      <w:jc w:val="left"/>
      <w:outlineLvl w:val="9"/>
    </w:pPr>
    <w:rPr>
      <w:rFonts w:asciiTheme="majorHAnsi" w:hAnsiTheme="majorHAnsi"/>
      <w:b w:val="0"/>
      <w:color w:val="2f5496" w:themeColor="accent1" w:themeShade="0000BF"/>
      <w:kern w:val="0"/>
      <w:sz w:val="32"/>
      <w:szCs w:val="32"/>
      <w:lang w:bidi="bn-BD" w:eastAsia="en-GB" w:val="en-GB"/>
    </w:rPr>
  </w:style>
  <w:style w:type="paragraph" w:styleId="TOC1">
    <w:name w:val="toc 1"/>
    <w:basedOn w:val="Normal"/>
    <w:next w:val="Normal"/>
    <w:autoRedefine w:val="1"/>
    <w:uiPriority w:val="39"/>
    <w:unhideWhenUsed w:val="1"/>
    <w:rsid w:val="00FC4EE1"/>
    <w:pPr>
      <w:spacing w:after="100"/>
    </w:pPr>
  </w:style>
  <w:style w:type="paragraph" w:styleId="TOC2">
    <w:name w:val="toc 2"/>
    <w:basedOn w:val="Normal"/>
    <w:next w:val="Normal"/>
    <w:autoRedefine w:val="1"/>
    <w:uiPriority w:val="39"/>
    <w:unhideWhenUsed w:val="1"/>
    <w:rsid w:val="00FC4EE1"/>
    <w:pPr>
      <w:spacing w:after="100"/>
      <w:ind w:left="240"/>
    </w:pPr>
  </w:style>
  <w:style w:type="paragraph" w:styleId="TOC3">
    <w:name w:val="toc 3"/>
    <w:basedOn w:val="Normal"/>
    <w:next w:val="Normal"/>
    <w:autoRedefine w:val="1"/>
    <w:uiPriority w:val="39"/>
    <w:unhideWhenUsed w:val="1"/>
    <w:rsid w:val="00FC4EE1"/>
    <w:pPr>
      <w:spacing w:after="100"/>
      <w:ind w:left="480"/>
    </w:pPr>
  </w:style>
  <w:style w:type="paragraph" w:styleId="Header">
    <w:name w:val="header"/>
    <w:basedOn w:val="Normal"/>
    <w:link w:val="HeaderChar"/>
    <w:uiPriority w:val="99"/>
    <w:unhideWhenUsed w:val="1"/>
    <w:rsid w:val="00FC4EE1"/>
    <w:pPr>
      <w:tabs>
        <w:tab w:val="center" w:pos="4513"/>
        <w:tab w:val="right" w:pos="9026"/>
      </w:tabs>
      <w:spacing w:after="0" w:line="240" w:lineRule="auto"/>
    </w:pPr>
  </w:style>
  <w:style w:type="character" w:styleId="HeaderChar" w:customStyle="1">
    <w:name w:val="Header Char"/>
    <w:basedOn w:val="DefaultParagraphFont"/>
    <w:link w:val="Header"/>
    <w:uiPriority w:val="99"/>
    <w:rsid w:val="00FC4EE1"/>
    <w:rPr>
      <w:rFonts w:ascii="Times New Roman" w:hAnsi="Times New Roman"/>
      <w:sz w:val="24"/>
    </w:rPr>
  </w:style>
  <w:style w:type="paragraph" w:styleId="Footer">
    <w:name w:val="footer"/>
    <w:basedOn w:val="Normal"/>
    <w:link w:val="FooterChar"/>
    <w:uiPriority w:val="99"/>
    <w:unhideWhenUsed w:val="1"/>
    <w:rsid w:val="00FC4EE1"/>
    <w:pPr>
      <w:tabs>
        <w:tab w:val="center" w:pos="4513"/>
        <w:tab w:val="right" w:pos="9026"/>
      </w:tabs>
      <w:spacing w:after="0" w:line="240" w:lineRule="auto"/>
    </w:pPr>
  </w:style>
  <w:style w:type="character" w:styleId="FooterChar" w:customStyle="1">
    <w:name w:val="Footer Char"/>
    <w:basedOn w:val="DefaultParagraphFont"/>
    <w:link w:val="Footer"/>
    <w:uiPriority w:val="99"/>
    <w:rsid w:val="00FC4EE1"/>
    <w:rPr>
      <w:rFonts w:ascii="Times New Roman" w:hAnsi="Times New Roman"/>
      <w:sz w:val="24"/>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https://www.barclayscorporate.com/insights/2024-outlook/hospitality-and-leisure/" TargetMode="External"/><Relationship Id="rId11" Type="http://schemas.openxmlformats.org/officeDocument/2006/relationships/image" Target="media/image4.png"/><Relationship Id="rId22" Type="http://schemas.openxmlformats.org/officeDocument/2006/relationships/footer" Target="footer3.xml"/><Relationship Id="rId10" Type="http://schemas.openxmlformats.org/officeDocument/2006/relationships/image" Target="media/image6.png"/><Relationship Id="rId21" Type="http://schemas.openxmlformats.org/officeDocument/2006/relationships/footer" Target="footer2.xml"/><Relationship Id="rId13" Type="http://schemas.openxmlformats.org/officeDocument/2006/relationships/image" Target="media/image1.png"/><Relationship Id="rId12" Type="http://schemas.openxmlformats.org/officeDocument/2006/relationships/image" Target="media/image2.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15" Type="http://schemas.openxmlformats.org/officeDocument/2006/relationships/image" Target="media/image7.png"/><Relationship Id="rId14" Type="http://schemas.openxmlformats.org/officeDocument/2006/relationships/image" Target="media/image3.png"/><Relationship Id="rId17" Type="http://schemas.openxmlformats.org/officeDocument/2006/relationships/hyperlink" Target="https://www.theaccessgroup.com/en-gb/blog/hos-how-the-cost-of-living-is-impacting-hospitality/" TargetMode="External"/><Relationship Id="rId16" Type="http://schemas.openxmlformats.org/officeDocument/2006/relationships/image" Target="media/image8.png"/><Relationship Id="rId5" Type="http://schemas.openxmlformats.org/officeDocument/2006/relationships/styles" Target="styles.xml"/><Relationship Id="rId19" Type="http://schemas.openxmlformats.org/officeDocument/2006/relationships/hyperlink" Target="https://www.costar.com/article/539962170/the-lost-year-how-covid-19-has-altered-the-hotel-industry" TargetMode="External"/><Relationship Id="rId6" Type="http://schemas.openxmlformats.org/officeDocument/2006/relationships/customXml" Target="../customXML/item1.xml"/><Relationship Id="rId18" Type="http://schemas.openxmlformats.org/officeDocument/2006/relationships/hyperlink" Target="https://www.hvs.com/article/9814-hvs-global-hotel-industry-2023-recap-and-2024-outlook" TargetMode="External"/><Relationship Id="rId7" Type="http://schemas.openxmlformats.org/officeDocument/2006/relationships/image" Target="media/image5.png"/><Relationship Id="rId8" Type="http://schemas.openxmlformats.org/officeDocument/2006/relationships/hyperlink" Target="https://www.grammarly.com/)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dH3sldz799TY2vh2CcGit1e2e0g==">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2024-11-13T09:57:00Z</dcterms:created>
</cp:coreProperties>
</file>