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25FA" w:rsidRPr="0038459B" w:rsidRDefault="001E25FA" w:rsidP="001E25FA">
      <w:pPr>
        <w:spacing w:line="480" w:lineRule="auto"/>
        <w:rPr>
          <w:sz w:val="28"/>
          <w:szCs w:val="28"/>
        </w:rPr>
      </w:pPr>
      <w:bookmarkStart w:id="0" w:name="_GoBack"/>
      <w:bookmarkEnd w:id="0"/>
      <w:r w:rsidRPr="0038459B">
        <w:rPr>
          <w:sz w:val="28"/>
          <w:szCs w:val="28"/>
        </w:rPr>
        <w:t xml:space="preserve">Chapter One: Introduction </w:t>
      </w:r>
    </w:p>
    <w:p w:rsidR="001E25FA" w:rsidRPr="0038459B" w:rsidRDefault="001E25FA" w:rsidP="001E25FA">
      <w:pPr>
        <w:spacing w:line="480" w:lineRule="auto"/>
      </w:pPr>
      <w:r w:rsidRPr="0038459B">
        <w:tab/>
        <w:t xml:space="preserve">In many countries, mathematical achievement is highly prized and considered a sign of intelligence, and the spoils of academic attainment in maths are accessing greater educational and vocational opportunities (Hembree, 1990).  Unfortunately, not all become mathematically proficient, individuals may suffer maths learning disabilities, or experience cognitive difficulties (Dowker, Sarkar, &amp; Looi, 2016; Geary, 2011).  However, not all poor mathematical performers lack the cognitive ability; the impairment for many may originate from maths anxiety (MA) (Dreger &amp; Aiken, 1957; Dowker </w:t>
      </w:r>
      <w:r w:rsidRPr="0038459B">
        <w:rPr>
          <w:i/>
        </w:rPr>
        <w:t>et al.,</w:t>
      </w:r>
      <w:r w:rsidRPr="0038459B">
        <w:t xml:space="preserve"> 2016; Hembree, 1990).  MA is likely to promote apprehension when computing mathematical problems, which impairs performance</w:t>
      </w:r>
      <w:r w:rsidRPr="0038459B">
        <w:rPr>
          <w:iCs/>
        </w:rPr>
        <w:t xml:space="preserve"> </w:t>
      </w:r>
      <w:r w:rsidRPr="0038459B">
        <w:t>(Richardson &amp; Suinn, 1972).  Potentially, preventing a student from achieving the necessary grade to pursue further educational opportunities in maths-related courses.</w:t>
      </w:r>
    </w:p>
    <w:p w:rsidR="001E25FA" w:rsidRPr="0038459B" w:rsidRDefault="001E25FA" w:rsidP="001E25FA">
      <w:pPr>
        <w:spacing w:line="480" w:lineRule="auto"/>
      </w:pPr>
    </w:p>
    <w:p w:rsidR="001E25FA" w:rsidRPr="0038459B" w:rsidRDefault="001E25FA" w:rsidP="001E25FA">
      <w:pPr>
        <w:spacing w:line="480" w:lineRule="auto"/>
        <w:rPr>
          <w:u w:val="single"/>
        </w:rPr>
      </w:pPr>
      <w:r w:rsidRPr="0038459B">
        <w:tab/>
        <w:t xml:space="preserve">Unlike previous generations, ‘The use of mathematics in everyday-life is more essential than ever.’ (Balgolu &amp; Kocak, 2006, p. 1326).  Despite this apparent necessity for maths proficiency in modern society, recent maths performance (MP) has declined in many nations.  The Organization for Economic Co-operation and Development conducts a Programme for International Students Assessment (PISA) of 15-years old students, which evaluates educational performance from over 60 countries.  The most recent assessments indicated the maths ranking for the United Kingdom has declined, with a greater decline reported in the United States of America (OECD, 2009, 2012, 2015).  The decline has potentially contributed to a reduction in university enrollment in mathematics-related courses in the USA, and in the UK, the inception of the National Numeracy Organization, a charity to improve numeracy (Beilock &amp; Maloney, 2015; Dowker </w:t>
      </w:r>
      <w:r w:rsidRPr="0038459B">
        <w:rPr>
          <w:i/>
        </w:rPr>
        <w:t>et al</w:t>
      </w:r>
      <w:r w:rsidRPr="0038459B">
        <w:t xml:space="preserve">., 2016).  Coincidently, the global prevalence of MA in 15-years-old students increases (Lee, 2009), and continues to rise </w:t>
      </w:r>
      <w:r w:rsidRPr="0038459B">
        <w:lastRenderedPageBreak/>
        <w:t>in this country (OECD, 2013).  Maths decline is set to continue, and given the reliance of maths evaluative testing by the educational and vocational systems, a greater understanding of the relationship between MA and MP may assist society and improve individuals future career prospects.  One of the aims of this study is to consider the relationship between MA and MP.</w:t>
      </w:r>
      <w:r w:rsidRPr="0038459B">
        <w:rPr>
          <w:u w:val="single"/>
        </w:rPr>
        <w:t xml:space="preserve"> </w:t>
      </w:r>
    </w:p>
    <w:p w:rsidR="001E25FA" w:rsidRPr="0038459B" w:rsidRDefault="001E25FA" w:rsidP="001E25FA">
      <w:pPr>
        <w:spacing w:line="480" w:lineRule="auto"/>
      </w:pPr>
      <w:r w:rsidRPr="0038459B">
        <w:t xml:space="preserve"> </w:t>
      </w:r>
    </w:p>
    <w:p w:rsidR="001E25FA" w:rsidRPr="0038459B" w:rsidRDefault="001E25FA" w:rsidP="001E25FA">
      <w:pPr>
        <w:spacing w:line="480" w:lineRule="auto"/>
        <w:rPr>
          <w:i/>
        </w:rPr>
      </w:pPr>
      <w:r w:rsidRPr="0038459B">
        <w:rPr>
          <w:i/>
        </w:rPr>
        <w:t>Theoretical framework</w:t>
      </w:r>
    </w:p>
    <w:p w:rsidR="001E25FA" w:rsidRPr="0038459B" w:rsidRDefault="001E25FA" w:rsidP="001E25FA">
      <w:pPr>
        <w:spacing w:line="480" w:lineRule="auto"/>
      </w:pPr>
      <w:r w:rsidRPr="0038459B">
        <w:tab/>
        <w:t xml:space="preserve">The relationship between MA and MP has received much consideration over the past four decades, as well as several theories.  The debilitating anxiety theory postulates, MA interferes with cognitive functioning, thereby reducing the level of performance (Ashcraft &amp; Kirk, 2001; Eysenck &amp; Calvo, 1992; Eysenck, Derakshan, Santos, &amp; Calvo, 2007; Morsanyi, Busdraghi, &amp; Primi, 2014).  Whereas, the deficit theory suggests, negative attitudes and memories of previous poor MP causes MA (Hembree, 1990; Ma &amp; Xu, 2004; Meece, Wigfield, &amp; Eccles, 1990).  Although an alternative theory, the reciprocal theory suggests a bidirectional pathway, ‘in which MA and mathematics performance can influence one another in a vicious cycle.’ (Carey, Hill, Devine, Szus, 2016, p. 1).   For example, if individuals perform poorly at maths, it is likely for some individuals to be apprehensive of the subject in the future, potentially promoting MA.  Alternatively, an individual may experience anxiety and apprehension prior to an evaluative testing situation that adversely impacts MP.  Carey and colleagues used an analogy in their title ‘The Chicken or the Egg?’ (Carey, Hill, Devine, Szus, 2016, p. 1), as the potential outcome of poor MP is MA, and MA is likely to impede MP.  </w:t>
      </w:r>
    </w:p>
    <w:p w:rsidR="001E25FA" w:rsidRPr="0038459B" w:rsidRDefault="001E25FA" w:rsidP="001E25FA">
      <w:pPr>
        <w:spacing w:line="480" w:lineRule="auto"/>
      </w:pPr>
      <w:r w:rsidRPr="0038459B">
        <w:tab/>
      </w:r>
      <w:r w:rsidRPr="0038459B">
        <w:tab/>
        <w:t xml:space="preserve"> </w:t>
      </w:r>
    </w:p>
    <w:p w:rsidR="001E25FA" w:rsidRPr="0038459B" w:rsidRDefault="001E25FA" w:rsidP="001E25FA">
      <w:pPr>
        <w:spacing w:line="480" w:lineRule="auto"/>
      </w:pPr>
    </w:p>
    <w:p w:rsidR="001E25FA" w:rsidRPr="0038459B" w:rsidRDefault="001E25FA" w:rsidP="001E25FA">
      <w:pPr>
        <w:spacing w:line="480" w:lineRule="auto"/>
      </w:pPr>
    </w:p>
    <w:p w:rsidR="001E25FA" w:rsidRPr="0029113F" w:rsidRDefault="001E25FA" w:rsidP="001E25FA">
      <w:pPr>
        <w:spacing w:line="480" w:lineRule="auto"/>
        <w:rPr>
          <w:sz w:val="28"/>
          <w:szCs w:val="28"/>
        </w:rPr>
      </w:pPr>
      <w:r w:rsidRPr="0029113F">
        <w:rPr>
          <w:sz w:val="28"/>
          <w:szCs w:val="28"/>
        </w:rPr>
        <w:lastRenderedPageBreak/>
        <w:t>Chapter two: Literature review</w:t>
      </w:r>
    </w:p>
    <w:p w:rsidR="001E25FA" w:rsidRPr="0038459B" w:rsidRDefault="001E25FA" w:rsidP="001E25FA">
      <w:pPr>
        <w:spacing w:line="480" w:lineRule="auto"/>
      </w:pPr>
      <w:r w:rsidRPr="0038459B">
        <w:tab/>
        <w:t xml:space="preserve">The empirical research presented in this literature review was conducted on children and adults, as conceivable the onset of MA and mathematical ability pre-existed in the undergraduates that enrolled on non-maths related courses at university.  </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Maths anxiety</w:t>
      </w:r>
    </w:p>
    <w:p w:rsidR="001E25FA" w:rsidRPr="0038459B" w:rsidRDefault="001E25FA" w:rsidP="001E25FA">
      <w:pPr>
        <w:spacing w:line="480" w:lineRule="auto"/>
      </w:pPr>
      <w:r w:rsidRPr="0038459B">
        <w:tab/>
        <w:t>The concept of MA was proposed over 60 years ago when number anxiety was postulated to differ from other forms of anxiety, which was determined to be unrelated to general intelligence and detrimentally impacted college students’ mathematical achievement (Dreger &amp; Aiken, 1957).  A seminal study provided a frequently cited definition of MA, ‘</w:t>
      </w:r>
      <w:r w:rsidRPr="0038459B">
        <w:rPr>
          <w:iCs/>
        </w:rPr>
        <w:t xml:space="preserve">feelings of tension and anxiety that interfere with the manipulation of numbers and the solving of mathematical problems in a variety of ordinary life and academic situations.’ </w:t>
      </w:r>
      <w:r w:rsidRPr="0038459B">
        <w:t xml:space="preserve">(Richardson &amp; Suinn, 1972, p. 551).  Later definitions suggest a range of negative emotional reactions are experienced; from apprehension to panic and terror, with some suggesting MA as disease-like, or claim MA ought to be classified as a phobia (Faust, 1992, </w:t>
      </w:r>
      <w:r w:rsidRPr="0038459B">
        <w:rPr>
          <w:i/>
        </w:rPr>
        <w:t xml:space="preserve">cited by </w:t>
      </w:r>
      <w:r w:rsidRPr="0038459B">
        <w:t xml:space="preserve">Ashcraft &amp; Kirk, 2001, p. 224; Fennema &amp; Sherman, 1976; Legg &amp; Locker, 2009; Luo, Wang, &amp; Luo, 2009).  Research suggests MA comprises of two components: fear of maths and the consequences of failure, which interact with nervousness and physiological reactivity in evaluative conditions (Wigfield &amp; Meece, 1988).  However, the negative reactions experienced may range from minor annoyance to major psychological and physiological disruption, potentially dependent on the situation and environment (Ashcraft &amp; Moore, 2009).  For example, in a scholastic situation, the math-anxious are likely to experience emotional arousal prior and during a maths class that escalates if required to answer a maths question, as apprehension and fear are likely, as no-one wishes to be seen as inferior.  However, arousal may peak during a standardised maths test, fuelling MA and depressing </w:t>
      </w:r>
      <w:r w:rsidRPr="0038459B">
        <w:lastRenderedPageBreak/>
        <w:t>MP.  Even though the math-anxious display normal reasoning capabilities and retain the appropriate knowledge to successfully accomplish the numerical task; exposure to maths beyond one’s ability is likely to elevate MA and further depress MP (Ashcraft &amp; Krause, 2007; Maloney &amp; Beilock, 2012).  A meta-analytical review of 151 studies reported a weak correlation (</w:t>
      </w:r>
      <w:r w:rsidRPr="0038459B">
        <w:rPr>
          <w:i/>
        </w:rPr>
        <w:t xml:space="preserve">r = </w:t>
      </w:r>
      <w:r w:rsidRPr="0038459B">
        <w:t>0.17) between MA and general intelligence, implying MA is likely to impair both high and low maths achievers (Hembree, 1990).  The potential debilitating effect of MA on MP is further exasperated by promoting the behaviour of maths-avoidance, when the high maths-anxious evade maths which is likely to further depress MP and maintain MA by lacking exposure to improve (Ashcraft &amp; Kirk, 2001; Beilock &amp; Maloney, 2015; Hembree, 1990).  Recent neuroimaging research found the high maths-anxious displayed significantly greater neural activity in areas of the brain associated with negative emotions when viewing a maths problem (Lyons &amp; Beilock, 2011; Lyons, Beilock, &amp; Chapouthier, 2012).  The negative emotions associated with MA are likely to interfere with an individual’s working memory (WM), which promotes attentional difficulties that impede the individual when attempting to solve a maths problem (Ashcraft &amp; Kirk, 2001; Young, WU, &amp; Menon, 2012).  While most research reports the detrimental impact of MA on MP; few purport no MP deficit elicited by MA (Krizinger, Kaufman, &amp; Wilmes, 2009).  However, the longitudinal study recruited primary school children that experienced mathematical learning disability, this limitation inhibits generalisation.  Therefore, the majority of research implies MA is not a generic term for poor MP; but a range of negative emotional states that undermine MP in a variety of situations, as worry and doubt compromise cognitive resources, all of which impacts MP.</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Scales to measure MA</w:t>
      </w:r>
    </w:p>
    <w:p w:rsidR="001E25FA" w:rsidRPr="0038459B" w:rsidRDefault="001E25FA" w:rsidP="001E25FA">
      <w:pPr>
        <w:spacing w:line="480" w:lineRule="auto"/>
      </w:pPr>
      <w:r w:rsidRPr="0038459B">
        <w:lastRenderedPageBreak/>
        <w:tab/>
        <w:t>The differing definitions have spurred the development of various instruments to measure MA.  Dreger &amp; Aiken (1957) devised the first MA self-reporting assessment instrument, although subsequent research developed a more expansive and reliable self-reporting method to measure the phenomenon.  The first formal MA assessment tool was the Math Anxiety Rating Scale, the scale and later adaptations are the most utilised scales in MA research (Ashcraft &amp; Moore, 2009; Richardson &amp; Suinn, 1972).  MA scales tend to measure several factors associated with MA: maths-evaluation anxiety, numeric-anxiety, learning-maths anxiety, personal, parental and teacher’s attitudes, confidence, and motivation in learning maths, and maths in a social context.  A scale that measures most of these factors is the 108-item Mathematics Attitude Scales (Fennema &amp; Sherman, 1976).  Later less burdensome adaptations were devised for both scales, for example the Abbreviated Math Anxiety Scale (AMAS) is a nine-item questionnaire, opposed to the original scale comprising of 98 questions, although the AMAS is highly correlated to the original scale and achieves a high test-retest reliability (</w:t>
      </w:r>
      <w:r w:rsidRPr="0038459B">
        <w:rPr>
          <w:i/>
        </w:rPr>
        <w:t xml:space="preserve">r = </w:t>
      </w:r>
      <w:r w:rsidRPr="0038459B">
        <w:t xml:space="preserve">.85 respectively) (Hopko, Mahadevan, Bare, &amp; Hunt, 2003).  Although, research suggests the self-reporting method is liable to gender artefact bias, as females tend to overrate the level of MA (Flessati &amp; Jamieson, 1991; </w:t>
      </w:r>
      <w:r w:rsidRPr="0038459B">
        <w:rPr>
          <w:i/>
        </w:rPr>
        <w:t>cited by</w:t>
      </w:r>
      <w:r w:rsidRPr="0038459B">
        <w:t xml:space="preserve"> Rubinsten, Bailik, &amp; Solar, 2012).  Despite the potential bias, self-reporting instruments are the only source available to the researcher, and this study will employ an adapted version of the AMAS to measure the participant’s levels of MA. </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 xml:space="preserve">Maths performance </w:t>
      </w:r>
    </w:p>
    <w:p w:rsidR="001E25FA" w:rsidRPr="0038459B" w:rsidRDefault="001E25FA" w:rsidP="001E25FA">
      <w:pPr>
        <w:spacing w:line="480" w:lineRule="auto"/>
      </w:pPr>
      <w:r w:rsidRPr="0038459B">
        <w:tab/>
        <w:t>The causes of depressed MP are potentially unlimited, as many factors and individual differences are likely.  From a social perspective, a study proposed adolescents’ MP was detrimentally affected by a lack of self-regulation required to stave off boredom and anxiety (Ahmed van der Werf, Kupyer, &amp; Minnaert, 2013).  Likewise, a sense of low maths self-</w:t>
      </w:r>
      <w:r w:rsidRPr="0038459B">
        <w:lastRenderedPageBreak/>
        <w:t xml:space="preserve">efficacy was found to adversely impair school children’s MP in standardised testing, and the cause for college students’ inferior MP and maths class avoidance (Fast </w:t>
      </w:r>
      <w:r w:rsidRPr="0038459B">
        <w:rPr>
          <w:i/>
        </w:rPr>
        <w:t>et al.</w:t>
      </w:r>
      <w:r w:rsidRPr="0038459B">
        <w:t>, 2010; Haynes, Mullins, &amp; Stein, 2004).  A large study with over 25,000 participantss from 41 countries and found a moderate correlation (</w:t>
      </w:r>
      <w:r w:rsidRPr="0038459B">
        <w:rPr>
          <w:i/>
        </w:rPr>
        <w:t xml:space="preserve">r </w:t>
      </w:r>
      <w:r w:rsidRPr="0038459B">
        <w:t>= .42) between self-efficacy and MP (Lee, 2009).  In the context of inferior MP, self-efficacy is likely to be initiated by environmental factors from a child’s formative years, when maths knowledge and mathematical progression are heavily influenced by parents and teachers (Bandura, 1997).  The negative behaviour and attitudes towards maths (ATM) that parents and teachers exhibit, are the primary sources for inferior MP (Soni &amp; Kumar, 2017).  This current study will measure ATM, the parental and teacher roles in a child maths development will be considered later in the literature review.</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  While from a cognitive perspective, individuals that experience mathematical learning disabilities and developmental dyscalculia are likely to show inferior MP, although this affects between 1-6% of the population (Devine, Soltesz, Nobes, Goswami, &amp; Scucs, 2013; Geary, 2011; Passolunghi, 2011).  Another potential causal factor of depressed MP is MA, as individuals regularly display inferior maths grades and performance on standardised testing and research suggests a weak to moderate inverse correlation among: primary school children, high school children, and university undergraduates (Ashcraft &amp; Kirk, 2001; Ashcraft &amp; Krause, 2007; Devine, Fawcett, Szucs, &amp; Dowker, 2012; Hembree, 1990, Ma, 1999; Miller &amp; Bischel, 2004; Wigfield &amp; Meece, 1988; Wu, Barth, Amin, Malcarne, &amp; Menon, 2012).  Individuals that experience regular poor MP are likely to exhibit cognitive deficiencies in WM-capacity, processing speed and maths cognition (Geary, 2011).</w:t>
      </w:r>
    </w:p>
    <w:p w:rsidR="001E25FA" w:rsidRPr="0038459B" w:rsidRDefault="001E25FA" w:rsidP="001E25FA">
      <w:pPr>
        <w:spacing w:line="480" w:lineRule="auto"/>
      </w:pPr>
      <w:r w:rsidRPr="0038459B">
        <w:tab/>
      </w:r>
    </w:p>
    <w:p w:rsidR="001E25FA" w:rsidRPr="0038459B" w:rsidRDefault="001E25FA" w:rsidP="001E25FA">
      <w:pPr>
        <w:spacing w:line="480" w:lineRule="auto"/>
        <w:rPr>
          <w:i/>
        </w:rPr>
      </w:pPr>
      <w:r w:rsidRPr="0038459B">
        <w:rPr>
          <w:i/>
        </w:rPr>
        <w:t>Maths cognition</w:t>
      </w:r>
    </w:p>
    <w:p w:rsidR="001E25FA" w:rsidRPr="0038459B" w:rsidRDefault="001E25FA" w:rsidP="001E25FA">
      <w:pPr>
        <w:spacing w:line="480" w:lineRule="auto"/>
      </w:pPr>
      <w:r w:rsidRPr="0038459B">
        <w:lastRenderedPageBreak/>
        <w:tab/>
        <w:t xml:space="preserve">Empirical research has considered the potential numerical deficits the maths-anxious may experience, which differs from the less maths-anxious.  Studies conducted in the 1990’s on undergraduate students suggested, the maths-anxious experienced greater difficulty in calculating double-digit problems that required following maths procedures, by making more errors and requiring more time (Ashcraft &amp; Faust, 1994 </w:t>
      </w:r>
      <w:r w:rsidRPr="0038459B">
        <w:rPr>
          <w:i/>
        </w:rPr>
        <w:t xml:space="preserve">cited </w:t>
      </w:r>
      <w:r w:rsidRPr="0038459B">
        <w:t>by Ashcraft &amp; Kirk, 2001, p. 224; Faust, Ashcraft, &amp; Fleck, 1996).  Implying, MA is associated with lower maths ability, or potentially by experiencing difficulties in cognitive processing.</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A recent study tested whether the deficiency in MP was elicited by the incorrect application of maths procedures or was evident at a more basic level of numeracy.  The study comprised of two groups of undergraduate students: 14 low maths-anxious and 14 high maths-anxious participants that were classified from the responses to the AMAS (Maloney, Risko, Ansari, &amp; Fugelsang, 2010).  The groups performed two WM-capacity tasks (backward digit and letter span tests), and a computer-based task that involved recalling how many squares had randomly appeared on screen (Maloney </w:t>
      </w:r>
      <w:r w:rsidRPr="0038459B">
        <w:rPr>
          <w:i/>
        </w:rPr>
        <w:t>et al.</w:t>
      </w:r>
      <w:r w:rsidRPr="0038459B">
        <w:t xml:space="preserve">, 2010).  During the computer-based task, between one and nine squares appeared on screen, the findings indicated, the high maths-anxious group’s performance was comparable for recalling up-to four squares; although were outperformed by the low maths-anxious group for recalling more than four squares (Maloney </w:t>
      </w:r>
      <w:r w:rsidRPr="0038459B">
        <w:rPr>
          <w:i/>
        </w:rPr>
        <w:t>et al.</w:t>
      </w:r>
      <w:r w:rsidRPr="0038459B">
        <w:t xml:space="preserve">, 2010).  Likewise, research conducted on children and adults reported the high maths-anxious individuals required addition time to perform basic numerical magnitude tasks than the less maths-anxious required (Maloney, Ansari, &amp; Fugelsang, 2011; Nunez-Pena &amp; Suarez-Pellicioni, 2014).  The authors of the three studies concluded the high maths-anxious displayed basic numerical deficiencies that were mediated by WM.  </w:t>
      </w:r>
    </w:p>
    <w:p w:rsidR="001E25FA" w:rsidRPr="0038459B" w:rsidRDefault="001E25FA" w:rsidP="001E25FA">
      <w:pPr>
        <w:spacing w:line="480" w:lineRule="auto"/>
      </w:pPr>
      <w:r w:rsidRPr="0038459B">
        <w:t xml:space="preserve"> </w:t>
      </w:r>
    </w:p>
    <w:p w:rsidR="001E25FA" w:rsidRPr="0038459B" w:rsidRDefault="001E25FA" w:rsidP="001E25FA">
      <w:pPr>
        <w:spacing w:line="480" w:lineRule="auto"/>
        <w:rPr>
          <w:i/>
        </w:rPr>
      </w:pPr>
      <w:r w:rsidRPr="0038459B">
        <w:rPr>
          <w:i/>
        </w:rPr>
        <w:lastRenderedPageBreak/>
        <w:t xml:space="preserve">Working memory </w:t>
      </w:r>
    </w:p>
    <w:p w:rsidR="001E25FA" w:rsidRPr="0038459B" w:rsidRDefault="001E25FA" w:rsidP="001E25FA">
      <w:pPr>
        <w:spacing w:line="480" w:lineRule="auto"/>
      </w:pPr>
      <w:r w:rsidRPr="0038459B">
        <w:tab/>
        <w:t xml:space="preserve">The processing efficiency theory argues anxiety inhibits the performance of a cognitive task, as negative emotions compete for limited WM resources that impair task performance (Eysenck &amp; Calvo, 1992).  Ashcraft &amp; Kirk (2001) investigated whether MA impeded WM and impaired MP.  The undergraduate sample participated in several experiments, and the authors reported the high maths-anxious exhibited a lower WM span compared to the low maths-anxious.  The study found the high maths-anxious participants required more time and made greater errors than the low maths-anxious group, especially on the double-digit tasks, supporting the findings of earlier research.  The authors suggested, the high maths-anxious group displayed a decreased level of WM as an effect of intrusive thoughts and emotions that limited WM resources available to solve the maths problems (Ashcraft &amp; Kirk, 2001).  A later study employing a functional magnetic resonance imaging scanner, found significant differences in neural activity between high and low maths-anxious when performing maths tasks (Young </w:t>
      </w:r>
      <w:r w:rsidRPr="0038459B">
        <w:rPr>
          <w:i/>
        </w:rPr>
        <w:t>et al.</w:t>
      </w:r>
      <w:r w:rsidRPr="0038459B">
        <w:t>, 2012).  The authors reported the high maths-anxious group displayed lower activity in the prefrontal cortex: a region of the brain associated with problem-solving, and elevated activity in the amygdala: the neurological region associated with pain, fear and phobias.  Thus, illustrating the high maths-anxious endure more negative emotional activity and less processing activity when attempting to solve a maths problem than the less anxious counterparts, which supports Ashcraft &amp; Kirk’s (2001).</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However, individuals may retain different levels of WM-capacity, and such variables are likely to impact MP.  Researchers found that the maths-anxious retain high WM-capacity outperforming their counterparts in basic and applied maths tasks (Miller &amp; Bichsel, 2004).  A study conducted on primary school-aged children reported the negative relationship </w:t>
      </w:r>
      <w:r w:rsidRPr="0038459B">
        <w:lastRenderedPageBreak/>
        <w:t xml:space="preserve">between MA and MP was evident in children that exhibited high levels of WM-capacity; and not those that displayed a low WM-capacity (Ramirez, Chang, Levine, &amp; Beilock, 2016).  The authors suggested the variance in MP was caused by the high WM group’s reliance on retrieving solutions from previous situations to assist with the concurrent task, consequently overloading WM and depressing MP (Ramirez </w:t>
      </w:r>
      <w:r w:rsidRPr="0038459B">
        <w:rPr>
          <w:i/>
        </w:rPr>
        <w:t>et al.</w:t>
      </w:r>
      <w:r w:rsidRPr="0038459B">
        <w:t xml:space="preserve">, 2016).  A recent longitudinal study supported these findings and concluded that MA detrimentally impacts MP on tasks reliant on greater cognitive processing, with the high WM-capacity group exhibiting greater susceptibility (Ching, 2017).  Earlier research conducted on adults found participants with high WM-capacity outperformed their counterparts in an unpressurised maths test condition; while, under a stressful condition, the MP was comparable between the groups (Beilock &amp; Carr, 2005).  The study considered WM without testing MA, although demonstrates MP is detrimentally impacted under stressful situations for individuals that retain a high level of WM.  These studies suggest, retaining a high WM-capacity is reliant on retrieving strategies to perform less basic numerical problems, which impairs MP in comparison to those that retain lower levels of WM-capacity that is likely to further degrade in stressful situations.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Ashcraft and colleagues’ explanation for how MA impedes the WM and impairs MP is a prominent theory.  While, recent research proposed the high maths-anxious are numerically deficient in low-level processing, potentially mediated by an otherwise partly occupied WM (Ching, 2017; Maloney </w:t>
      </w:r>
      <w:r w:rsidRPr="0038459B">
        <w:rPr>
          <w:i/>
        </w:rPr>
        <w:t>et al.</w:t>
      </w:r>
      <w:r w:rsidRPr="0038459B">
        <w:t>,</w:t>
      </w:r>
      <w:r w:rsidRPr="0038459B">
        <w:rPr>
          <w:i/>
        </w:rPr>
        <w:t xml:space="preserve"> </w:t>
      </w:r>
      <w:r w:rsidRPr="0038459B">
        <w:t xml:space="preserve">2010; Maloney </w:t>
      </w:r>
      <w:r w:rsidRPr="0038459B">
        <w:rPr>
          <w:i/>
        </w:rPr>
        <w:t>et al.</w:t>
      </w:r>
      <w:r w:rsidRPr="0038459B">
        <w:t xml:space="preserve">, 2011; Nunez-Pena &amp; Suarez-Pellicioni, 2014; Ramirez </w:t>
      </w:r>
      <w:r w:rsidRPr="0038459B">
        <w:rPr>
          <w:i/>
        </w:rPr>
        <w:t>et al.</w:t>
      </w:r>
      <w:r w:rsidRPr="0038459B">
        <w:t>, 2016).  Therefore, the present study will measure the participants WM-capacity, by conducting a backward digit span test that is regularly employed to assess an individual’s WM-capacity.  Additionally, measuring the participants MP, by administering a simple, timed, arithmetic test.  The BMA-3 contains many double-</w:t>
      </w:r>
      <w:r w:rsidRPr="0038459B">
        <w:lastRenderedPageBreak/>
        <w:t>digit tasks that were devised as a copyright free evaluation to assist research into MA (Steiner &amp; Ashcraft, 2012).</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Attitudes towards maths</w:t>
      </w:r>
    </w:p>
    <w:p w:rsidR="001E25FA" w:rsidRPr="0038459B" w:rsidRDefault="001E25FA" w:rsidP="001E25FA">
      <w:pPr>
        <w:spacing w:line="480" w:lineRule="auto"/>
      </w:pPr>
      <w:r w:rsidRPr="0038459B">
        <w:tab/>
        <w:t xml:space="preserve">Researchers have postulated the potential causes of MA are multi-layered and may stem from numerous interlinked sources; inherited risk of anxiety or cognitive predisposition, and negative ATM elicited by educational and parental influences (Ashcraft &amp; Krause, 2007; Beilock &amp; Maloney, 2015; Ma &amp; Xu, 2004; Maloney &amp; Beilock, 2012; Soni &amp; Kumar, 2017).  An ATM is a positive or negative emotional response related to the learning of maths, which may facilitate motivation to learn and confidence to succeed; or negatively question the need for maths, with several authors suggesting a negative ATM is likely to precede the onset of MA (Hembree, 1990; Ma &amp; Kishor, 1997; Ma &amp; Xu, 2004; Soni &amp; Kumari, 2017; Wigfield &amp; Meece, 1988).  Therefore, it could be argued that ATM and MA appear to be closely related but differ as MA is more likely experienced when performing or contemplating a maths task; while a negative ATM is a lack of desire to engage with maths.  The influences of negative ATM are likely to develop before a child enters the educational system, by constructing ideas about maths that are influenced by their parents (Geist, 2010; Wigfield &amp; Meece, 1988).  </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 xml:space="preserve">The parental role  </w:t>
      </w:r>
    </w:p>
    <w:p w:rsidR="001E25FA" w:rsidRPr="0038459B" w:rsidRDefault="001E25FA" w:rsidP="001E25FA">
      <w:pPr>
        <w:spacing w:line="480" w:lineRule="auto"/>
      </w:pPr>
      <w:r w:rsidRPr="0038459B">
        <w:t xml:space="preserve"> </w:t>
      </w:r>
      <w:r w:rsidRPr="0038459B">
        <w:tab/>
        <w:t xml:space="preserve">Research suggests, if a parent’s maths experiences were negative, this impression is likely to be imparted to the next generation (Gunderson, Ramirez, Levine, &amp; Beilock, 2012).  Parental influences usually continue during the child’s formal education, by providing support and assistance with maths homework.  A recent study considered the frequency of parental assistance in maths homework, by capturing the children’s attitudes, MA and MP on </w:t>
      </w:r>
      <w:r w:rsidRPr="0038459B">
        <w:lastRenderedPageBreak/>
        <w:t xml:space="preserve">two occasions during the scholastic year (Maloney, Gunderson, Ramirez, &amp; Beilock, 2015).  The findings indicated the highly maths-anxious parents that regularly assisted, adversely impacted the children’s MP by the end of the academic year; although infrequent homework assistance had no effect (Maloney </w:t>
      </w:r>
      <w:r w:rsidRPr="0038459B">
        <w:rPr>
          <w:i/>
        </w:rPr>
        <w:t>et al.</w:t>
      </w:r>
      <w:r w:rsidRPr="0038459B">
        <w:t xml:space="preserve">, 2015).  The authors discussed the parents’ negative ATM demotivated the children and promoted a reluctance to learn maths (Maloney </w:t>
      </w:r>
      <w:r w:rsidRPr="0038459B">
        <w:rPr>
          <w:i/>
        </w:rPr>
        <w:t>et al.</w:t>
      </w:r>
      <w:r w:rsidRPr="0038459B">
        <w:t xml:space="preserve">, 2015).  This potential outcome was found in elementary maths, abilities most parents retain, emphasising the potential adverse impact of negative parental ATM, on a child’s MP.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 The parental influence may increase when maths becomes more challenging in secondary school.  A recent study found a significant correlation between the parents’ ATM and their children’s (</w:t>
      </w:r>
      <w:r w:rsidRPr="0038459B">
        <w:rPr>
          <w:i/>
        </w:rPr>
        <w:t xml:space="preserve">r </w:t>
      </w:r>
      <w:r w:rsidRPr="0038459B">
        <w:t>= .87), and an inverse correlation for a parent’s MA and the children’s ATM (</w:t>
      </w:r>
      <w:r w:rsidRPr="0038459B">
        <w:rPr>
          <w:i/>
        </w:rPr>
        <w:t>r</w:t>
      </w:r>
      <w:r w:rsidRPr="0038459B">
        <w:t xml:space="preserve"> = -.78) and a strong correlation between the children’s ATM and MP (</w:t>
      </w:r>
      <w:r w:rsidRPr="0038459B">
        <w:rPr>
          <w:i/>
        </w:rPr>
        <w:t xml:space="preserve">r </w:t>
      </w:r>
      <w:r w:rsidRPr="0038459B">
        <w:t>= .80) (Soni &amp; Kumari, 2017).  The parental influences bestowed on the children may reflect: the methods employed when tutoring, negative behaviour towards maths, the importance of maths in society, insufficient preparation, the inconsistency of instruction, and perception of the child’s ability.  Albeit, if parents provide a positive maths attitude and exhibit positive expectations for the child to succeed, children may resist the negative impact of MA (Soni &amp; Kumari, 2017; Vukovic, Kieffer, Bailey, &amp; Harari, 2013).  Emphasising the importance of parental attitudes and behaviour towards maths, which may inadvertently influence or elevate MA and weaken MP, even when demonstrated under the auspices of good intentions.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Teaching experiences</w:t>
      </w:r>
    </w:p>
    <w:p w:rsidR="001E25FA" w:rsidRPr="0038459B" w:rsidRDefault="001E25FA" w:rsidP="001E25FA">
      <w:pPr>
        <w:spacing w:line="480" w:lineRule="auto"/>
      </w:pPr>
      <w:r w:rsidRPr="0038459B">
        <w:tab/>
        <w:t xml:space="preserve">Another major influence on individual’s maths development is initiated by teaching experiences that relate to the teachers’: negative ATM, MA, behaviour or the teaching styles employed.  Children are likely to avoid maths when encountering teachers that require </w:t>
      </w:r>
      <w:r w:rsidRPr="0038459B">
        <w:lastRenderedPageBreak/>
        <w:t xml:space="preserve">correctness; the behaviour is likely to influence the children’s behaviour, which may initiate a negative ATM, and ultimately impair MP (Turner </w:t>
      </w:r>
      <w:r w:rsidRPr="0038459B">
        <w:rPr>
          <w:i/>
        </w:rPr>
        <w:t>et al.</w:t>
      </w:r>
      <w:r w:rsidRPr="0038459B">
        <w:t xml:space="preserve">, 2002).  The influence and impact of teachers’ attitudes and MA in relation to gender stereotype on their wards (Beilock, Gunderson, Ramirez, &amp; Levine, 2010).  During the first semester, the MP of 117 primary school-aged students was tested and retested towards the end of the academic year.  The female pupils showed a larger decline, although the male pupils MP also declined.  The authors suggested, teachers exhibiting negative behaviour relating to maths is likely to impede the students’ learning of maths which detrimentally impacted the MP (Beilock </w:t>
      </w:r>
      <w:r w:rsidRPr="0038459B">
        <w:rPr>
          <w:i/>
        </w:rPr>
        <w:t>et al.</w:t>
      </w:r>
      <w:r w:rsidRPr="0038459B">
        <w:t xml:space="preserve">, 2010).  The teacher’s behaviour and ATM are potentially crucial in how they teach the subject.  Especially in a child’s formative years, as research suggests the influence of MA is likely to commence in primary school and develop through high school and potentially enduring for a lifetime (Ashcraft &amp; Krause 2007; Hembree, 1990; Maloney &amp; Beilock, 2012; Ramirez, Gunderson, Levine, &amp; Beilock, 2013; Wu </w:t>
      </w:r>
      <w:r w:rsidRPr="0038459B">
        <w:rPr>
          <w:i/>
        </w:rPr>
        <w:t>et al.</w:t>
      </w:r>
      <w:r w:rsidRPr="0038459B">
        <w:t xml:space="preserve">, 2012).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    Coincidently, preservice teachers reported the highest levels of MA among university undergraduates (Hembree, 1990).  This was potentially initiated from childhood to college experiences, and a study reported one in 14 respondents had encountered positive maths class experiences (Jackson &amp; Leffingwell, 1999).  This was supported by a Turkish study of preservice teachers.  The findings implied less than 14% reported positive teaching experiences, and over 50% of the participants experienced at least a moderate level of MA that was initiated from the teachers’ negative ATM and teaching experiences (Bekdemir, 2010).  A recent small study compared the level of MA of primary preservice teachers and retested after five years of teaching (Gresham, 2017).  The author reported a slight decline in the teachers MA, implying MA is likely to continue beyond the preservice training phase. The previously cited research suggests, if teachers suffer MA and retain a negative ATM, </w:t>
      </w:r>
      <w:r w:rsidRPr="0038459B">
        <w:lastRenderedPageBreak/>
        <w:t>these are likely to be transmitted to the class, and the teachers’ negative influence may extend throughout their career.  Research suggests the onset of MA is most likely from previous negative maths teaching experiences (Ashcraft &amp; Krause, 2007; Beilock</w:t>
      </w:r>
      <w:r w:rsidRPr="0038459B">
        <w:rPr>
          <w:i/>
        </w:rPr>
        <w:t xml:space="preserve"> et al.</w:t>
      </w:r>
      <w:r w:rsidRPr="0038459B">
        <w:t xml:space="preserve">, 2010; Bekdemir, 2010).  </w:t>
      </w:r>
    </w:p>
    <w:p w:rsidR="001E25FA" w:rsidRPr="0038459B" w:rsidRDefault="001E25FA" w:rsidP="001E25FA">
      <w:pPr>
        <w:spacing w:line="480" w:lineRule="auto"/>
      </w:pPr>
    </w:p>
    <w:p w:rsidR="001E25FA" w:rsidRPr="0038459B" w:rsidRDefault="001E25FA" w:rsidP="001E25FA">
      <w:pPr>
        <w:spacing w:line="480" w:lineRule="auto"/>
      </w:pPr>
      <w:r w:rsidRPr="0038459B">
        <w:tab/>
        <w:t>As this present study will measure the participants teaching experiences, to determine whether teacher experiences and attitudes impact MA and MP, by adapting the teaching sub-scale of the Fennema-Sherman Maths Attitude Scales (Fennema &amp; Sherman, 1976).</w:t>
      </w:r>
    </w:p>
    <w:p w:rsidR="001E25FA" w:rsidRPr="0038459B" w:rsidRDefault="001E25FA" w:rsidP="001E25FA">
      <w:pPr>
        <w:spacing w:line="480" w:lineRule="auto"/>
        <w:rPr>
          <w:u w:val="single"/>
        </w:rPr>
      </w:pPr>
    </w:p>
    <w:p w:rsidR="001E25FA" w:rsidRPr="0038459B" w:rsidRDefault="001E25FA" w:rsidP="001E25FA">
      <w:pPr>
        <w:spacing w:line="480" w:lineRule="auto"/>
      </w:pPr>
      <w:r w:rsidRPr="0038459B">
        <w:rPr>
          <w:i/>
        </w:rPr>
        <w:t>Attitudes on maths performance</w:t>
      </w:r>
      <w:r w:rsidRPr="0038459B">
        <w:t xml:space="preserve"> </w:t>
      </w:r>
    </w:p>
    <w:p w:rsidR="001E25FA" w:rsidRPr="0038459B" w:rsidRDefault="001E25FA" w:rsidP="001E25FA">
      <w:pPr>
        <w:spacing w:line="480" w:lineRule="auto"/>
      </w:pPr>
      <w:r w:rsidRPr="0038459B">
        <w:tab/>
        <w:t xml:space="preserve">Prior negative maths experiences negatively impact an individual’s attitude to MP (Beilock, 2008).  As repetitive failings on maths tasks are likely to elicit further failures and potentially elevate the negativity towards maths.  Maths is unlike most taught subjects; maths tends to be precise, the solution to a problem is neither approximate or interpretative, usually with only one correct answer.  The individual is required to learn multi-layered systems and remember how to utilise them, sometimes in stressful situations.  The demand for correctness may be instigated by the teaching methods applied by teachers and parents, and the over-reliance of correctness may promote avoidance (Turner </w:t>
      </w:r>
      <w:r w:rsidRPr="0038459B">
        <w:rPr>
          <w:i/>
        </w:rPr>
        <w:t>et al.</w:t>
      </w:r>
      <w:r w:rsidRPr="0038459B">
        <w:t xml:space="preserve">, 2002).  The evasive behaviour is likely to perpetuate, which promotes greater avoidance tactics, causing the individual to fall further behind, by learning less from the class they are unable to avoid, further depressing MP and increasing anxiety (Ashcraft, 2002; Beilock &amp; Maloney, 2015; Hembree, 1990; Wigfield &amp; Meece, 1988).  The collective effect of inferior MP and earlier maths related negative experiences may promote feelings of embarrassment in a classroom setting is likely to initiate MA (Ashcraft, 2002; Beilock, 2008).  </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lastRenderedPageBreak/>
        <w:t xml:space="preserve">Maths anxiety among university undergraduates </w:t>
      </w:r>
    </w:p>
    <w:p w:rsidR="001E25FA" w:rsidRPr="0038459B" w:rsidRDefault="001E25FA" w:rsidP="001E25FA">
      <w:pPr>
        <w:spacing w:line="480" w:lineRule="auto"/>
      </w:pPr>
      <w:r w:rsidRPr="0038459B">
        <w:tab/>
        <w:t xml:space="preserve">Previously cited research has considered the development of MA and the impact on MP, and in recent times usually studying children, which may aid educational strategies to restrict the impact on MP.  However, research that considers university students is likely to show the consequences of MA, and identify individuals that potentially avoided maths, a behaviour associated with MA (Ashcraft &amp; Kirk, 2001; Beilock &amp; Maloney, 2015; Hembree, 1990; Wigfield &amp; Meece, 1988).  Early research reported a high prevalence rate of MA among undergraduate students, although the study utilised mathematical and psychology students (Betz, 1978).  The high prevalence rate may be attributed to the demands of university level of maths.  Yet few studies have considered MA among participants from a wider variety of courses; one recent cross-cultural study suggested no variance among majors in two universities in the USA and Egypt (Hamza &amp; Ahmed, 2013).  Potentially dispelling the notion individuals that experience MA avoid maths.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While MA has undergone much consideration, few have considered the phenomenon among different age-groups within a university setting, or specifically between students that enrolled post-secondary education and those that delayed entry.  Recently research has investigated MA among students of different ages, and an exploratory study employed 120 participants, two-thirds of which were female. They found no significant differences in MA between the different age-groups (Mutodi &amp; Nigrande, 2014).  In contrast, other studies indicated non-traditional-aged students reported higher rates of MA than the traditional-aged student (Betz, 1978; Jameson &amp; Fusco, 2014).  Betz’s research comprised of comparable quantities of both sexes; although Jameson &amp; Fusco study excluded gender data, as to restrict gender stereotype threat.  The researcher’s method to determine the participant’s MP was by questionnaire and not experimental means, as the researchers were testing the respondent’s </w:t>
      </w:r>
      <w:r w:rsidRPr="0038459B">
        <w:lastRenderedPageBreak/>
        <w:t>maths self-efficacy (Jameson &amp; Fusco, 2014).  While maths self-efficacy is not a measure of MP, it represents the individual’s perceived abilities, developed from past experiences, grades accomplished, and the influences of parents and teachers.  This current study will investigate MP by experimental means and assess whether MA differs in traditional-aged and non-traditional-aged undergraduate students that pursue non-related courses.</w:t>
      </w:r>
    </w:p>
    <w:p w:rsidR="001E25FA" w:rsidRPr="0038459B" w:rsidRDefault="001E25FA" w:rsidP="001E25FA">
      <w:pPr>
        <w:spacing w:line="480" w:lineRule="auto"/>
      </w:pPr>
    </w:p>
    <w:p w:rsidR="001E25FA" w:rsidRPr="0038459B" w:rsidRDefault="001E25FA" w:rsidP="001E25FA">
      <w:pPr>
        <w:spacing w:line="480" w:lineRule="auto"/>
        <w:rPr>
          <w:i/>
          <w:u w:val="single"/>
        </w:rPr>
      </w:pPr>
      <w:r w:rsidRPr="0038459B">
        <w:rPr>
          <w:i/>
          <w:u w:val="single"/>
        </w:rPr>
        <w:t>The rationale for the study</w:t>
      </w:r>
    </w:p>
    <w:p w:rsidR="001E25FA" w:rsidRPr="0038459B" w:rsidRDefault="001E25FA" w:rsidP="001E25FA">
      <w:pPr>
        <w:spacing w:line="480" w:lineRule="auto"/>
      </w:pPr>
      <w:r w:rsidRPr="0038459B">
        <w:tab/>
        <w:t xml:space="preserve">The previously cited research suggests MA emerges from early childhood, and the consequences are likely to depress MP and potentially promote maths avoidance.  This implies, the individuals that underachieve in maths at school are more likely to avoid the subject at university and select career pathways that limit exposure to maths (Hembree, 1990).  This outcome is potentially more likely in the future, as recent data suggests MP is declining, and MA is increasing (OECD, 2009, 2012, 2013, 2015).  Suggesting both be the cause and effect of a bidirectional relationship, conceivably nurturing the behaviour of math-avoidance that further degrades MP and fuels MA in a perpetual cycle.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Therefore, university campuses appear to be an appropriate environment to measure MA among those that have chosen a future occupational pathway.  Especially the students that potentially avoided maths, namely the non-traditional-aged students and those that study non-maths related courses, in a period when universities enrolment is increasing in numbers of non-traditional-aged students and offer a variety of courses (UCAS, 2014).  Previous MA research is limited and inconclusive in this environment.  The present study will recruit undergraduates from various courses and ages that were potentially exposed to different learning environments, and curriculum; although being representative of the modern-day </w:t>
      </w:r>
      <w:r w:rsidRPr="0038459B">
        <w:lastRenderedPageBreak/>
        <w:t>university campuses.  The study partly replicates Ashcraft &amp; Kirk (2001) research, which proposed MA restricts WM-capacity and impedes MP.</w:t>
      </w:r>
    </w:p>
    <w:p w:rsidR="001E25FA" w:rsidRPr="0038459B" w:rsidRDefault="001E25FA" w:rsidP="001E25FA">
      <w:pPr>
        <w:spacing w:line="480" w:lineRule="auto"/>
      </w:pPr>
    </w:p>
    <w:p w:rsidR="001E25FA" w:rsidRPr="0038459B" w:rsidRDefault="001E25FA" w:rsidP="001E25FA">
      <w:pPr>
        <w:spacing w:line="480" w:lineRule="auto"/>
        <w:rPr>
          <w:i/>
          <w:u w:val="single"/>
        </w:rPr>
      </w:pPr>
      <w:r w:rsidRPr="0038459B">
        <w:rPr>
          <w:i/>
          <w:u w:val="single"/>
        </w:rPr>
        <w:t>Aims of this study</w:t>
      </w:r>
    </w:p>
    <w:p w:rsidR="001E25FA" w:rsidRPr="0038459B" w:rsidRDefault="001E25FA" w:rsidP="001E25FA">
      <w:pPr>
        <w:spacing w:line="480" w:lineRule="auto"/>
      </w:pPr>
      <w:r w:rsidRPr="0038459B">
        <w:tab/>
        <w:t xml:space="preserve">The overreaching aim of this study is to explore the detrimental cyclical relationship between MA and MP, among university undergraduates that study non-maths related courses that potentially selected a vocational pathway.  This study will add to the continuing research on the phenomenon of MA, and the findings may provide evidence for the educational system.  As regardless of the age of the undergraduate, MA was likely to develop during primary and secondary education (Soni &amp; Kumari, 2017).  The findings are likely to show MA is persistent.  Therefore the findings may be utilised to conceptualise interventions and nurturing future increased enrolment in maths related courses from prospective university students.  Insomuch, improving the career prospects for the next generation of university graduates.  As perpetuation of math-avoidance may promote consequences for society, as technological advancement requires maths competency. </w:t>
      </w:r>
    </w:p>
    <w:p w:rsidR="001E25FA" w:rsidRPr="0038459B" w:rsidRDefault="001E25FA" w:rsidP="001E25FA">
      <w:pPr>
        <w:spacing w:line="480" w:lineRule="auto"/>
      </w:pPr>
    </w:p>
    <w:p w:rsidR="001E25FA" w:rsidRPr="0038459B" w:rsidRDefault="001E25FA" w:rsidP="001E25FA">
      <w:pPr>
        <w:spacing w:line="480" w:lineRule="auto"/>
      </w:pPr>
      <w:r w:rsidRPr="0038459B">
        <w:tab/>
        <w:t>The following section itemises the hypotheses of this study, although the results of the study are reliant on finding significant predictor variables from two multiple regressions.  Based on the research presented in the literature review the following hypotheses are under consideration:</w:t>
      </w:r>
    </w:p>
    <w:p w:rsidR="001E25FA" w:rsidRPr="0038459B" w:rsidRDefault="001E25FA" w:rsidP="001E25FA">
      <w:pPr>
        <w:spacing w:line="480" w:lineRule="auto"/>
      </w:pPr>
    </w:p>
    <w:p w:rsidR="001E25FA" w:rsidRPr="0038459B" w:rsidRDefault="001E25FA" w:rsidP="001E25FA">
      <w:pPr>
        <w:spacing w:line="480" w:lineRule="auto"/>
      </w:pPr>
      <w:r w:rsidRPr="0038459B">
        <w:t>H1. MP will be impaired by previous bad teaching experiences and a limited WM-capacity.</w:t>
      </w:r>
    </w:p>
    <w:p w:rsidR="001E25FA" w:rsidRPr="0038459B" w:rsidRDefault="001E25FA" w:rsidP="001E25FA">
      <w:pPr>
        <w:spacing w:line="480" w:lineRule="auto"/>
      </w:pPr>
      <w:r w:rsidRPr="0038459B">
        <w:t>H2. High level of MA will be significantly associated with negative ATM and low WM-capacity.</w:t>
      </w:r>
    </w:p>
    <w:p w:rsidR="001E25FA" w:rsidRPr="0038459B" w:rsidRDefault="001E25FA" w:rsidP="001E25FA">
      <w:pPr>
        <w:spacing w:line="480" w:lineRule="auto"/>
        <w:rPr>
          <w:vertAlign w:val="subscript"/>
        </w:rPr>
      </w:pPr>
      <w:r w:rsidRPr="0038459B">
        <w:lastRenderedPageBreak/>
        <w:t>H3. The level of MA reported will not significantly differ between the two age-groups of this study.</w:t>
      </w:r>
    </w:p>
    <w:p w:rsidR="001E25FA" w:rsidRPr="0038459B" w:rsidRDefault="001E25FA" w:rsidP="001E25FA">
      <w:pPr>
        <w:spacing w:line="480" w:lineRule="auto"/>
      </w:pPr>
      <w:r w:rsidRPr="0038459B">
        <w:t>H4. There will be no significant differences in MP by the two age-groups.</w:t>
      </w:r>
    </w:p>
    <w:p w:rsidR="001E25FA" w:rsidRPr="0038459B" w:rsidRDefault="001E25FA" w:rsidP="001E25FA">
      <w:pPr>
        <w:spacing w:line="480" w:lineRule="auto"/>
      </w:pPr>
      <w:r w:rsidRPr="0038459B">
        <w:t>H5. A moderate relationship will be found between MA and MP.</w:t>
      </w:r>
    </w:p>
    <w:p w:rsidR="001E25FA" w:rsidRPr="0038459B" w:rsidRDefault="001E25FA" w:rsidP="001E25FA">
      <w:pPr>
        <w:spacing w:line="480" w:lineRule="auto"/>
      </w:pPr>
      <w:r w:rsidRPr="0038459B">
        <w:t>H6. There will be a significant difference in the MP test in the high and low math-anxious.</w:t>
      </w:r>
    </w:p>
    <w:p w:rsidR="001E25FA" w:rsidRPr="0038459B" w:rsidRDefault="001E25FA" w:rsidP="001E25FA">
      <w:pPr>
        <w:spacing w:line="480" w:lineRule="auto"/>
      </w:pPr>
    </w:p>
    <w:p w:rsidR="001E25FA" w:rsidRPr="0038459B" w:rsidRDefault="001E25FA" w:rsidP="001E25FA">
      <w:pPr>
        <w:spacing w:line="480" w:lineRule="auto"/>
      </w:pPr>
    </w:p>
    <w:p w:rsidR="001E25FA" w:rsidRPr="0038459B" w:rsidRDefault="001E25FA" w:rsidP="001E25FA">
      <w:pPr>
        <w:spacing w:line="480" w:lineRule="auto"/>
      </w:pPr>
    </w:p>
    <w:p w:rsidR="001E25FA" w:rsidRPr="0038459B" w:rsidRDefault="001E25FA" w:rsidP="001E25FA">
      <w:pPr>
        <w:spacing w:line="480" w:lineRule="auto"/>
        <w:rPr>
          <w:color w:val="FF0000"/>
        </w:rPr>
      </w:pPr>
    </w:p>
    <w:p w:rsidR="001E25FA" w:rsidRPr="0038459B" w:rsidRDefault="001E25FA" w:rsidP="001E25FA">
      <w:pPr>
        <w:spacing w:line="480" w:lineRule="auto"/>
        <w:rPr>
          <w:color w:val="FF0000"/>
        </w:rPr>
      </w:pPr>
      <w:r w:rsidRPr="0038459B">
        <w:rPr>
          <w:color w:val="FF0000"/>
        </w:rPr>
        <w:tab/>
      </w:r>
    </w:p>
    <w:p w:rsidR="001E25FA" w:rsidRPr="0038459B" w:rsidRDefault="001E25FA" w:rsidP="001E25FA">
      <w:pPr>
        <w:spacing w:line="480" w:lineRule="auto"/>
        <w:rPr>
          <w:color w:val="FF0000"/>
        </w:rPr>
      </w:pPr>
    </w:p>
    <w:p w:rsidR="001E25FA" w:rsidRPr="0038459B" w:rsidRDefault="001E25FA" w:rsidP="001E25FA">
      <w:pPr>
        <w:spacing w:line="480" w:lineRule="auto"/>
        <w:rPr>
          <w:color w:val="FF0000"/>
        </w:rPr>
      </w:pPr>
    </w:p>
    <w:p w:rsidR="001E25FA" w:rsidRPr="0038459B" w:rsidRDefault="001E25FA" w:rsidP="001E25FA">
      <w:pPr>
        <w:spacing w:line="480" w:lineRule="auto"/>
        <w:rPr>
          <w:color w:val="FF0000"/>
        </w:rPr>
      </w:pPr>
    </w:p>
    <w:p w:rsidR="001E25FA" w:rsidRPr="0038459B" w:rsidRDefault="001E25FA" w:rsidP="001E25FA">
      <w:pPr>
        <w:spacing w:line="480" w:lineRule="auto"/>
      </w:pPr>
      <w:r w:rsidRPr="0038459B">
        <w:tab/>
      </w: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Default="001E25FA" w:rsidP="001E25FA">
      <w:pPr>
        <w:spacing w:line="480" w:lineRule="auto"/>
      </w:pPr>
    </w:p>
    <w:p w:rsidR="001E25FA" w:rsidRPr="0038459B" w:rsidRDefault="001E25FA" w:rsidP="001E25FA">
      <w:pPr>
        <w:spacing w:line="480" w:lineRule="auto"/>
      </w:pPr>
    </w:p>
    <w:p w:rsidR="001E25FA" w:rsidRPr="0038459B" w:rsidRDefault="001E25FA" w:rsidP="001E25FA">
      <w:pPr>
        <w:spacing w:line="480" w:lineRule="auto"/>
        <w:rPr>
          <w:sz w:val="28"/>
          <w:szCs w:val="28"/>
        </w:rPr>
      </w:pPr>
      <w:r w:rsidRPr="0038459B">
        <w:rPr>
          <w:sz w:val="28"/>
          <w:szCs w:val="28"/>
        </w:rPr>
        <w:lastRenderedPageBreak/>
        <w:t>Chapter Three: Methods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Participants</w:t>
      </w:r>
    </w:p>
    <w:p w:rsidR="001E25FA" w:rsidRPr="0038459B" w:rsidRDefault="001E25FA" w:rsidP="001E25FA">
      <w:pPr>
        <w:spacing w:line="480" w:lineRule="auto"/>
      </w:pPr>
      <w:r w:rsidRPr="0038459B">
        <w:tab/>
        <w:t xml:space="preserve">The sample comprised of 109 undergraduate students that were gathered by opportunity sampling from universities in South Wales.  One participant was excluded from the study due to incomplete responses, and gender was identified as 80 females and 28 males.   56 participants were aged between 18-29 years old (traditional-aged students), and 52 participants being older (non-traditional-aged students).  The participants studied: Psychology, Social courses, and English, for further demographic information, see Table 1.  The participants were recruited during university lectures, with lecturer’s prior consent, although recruitment was the researcher’s responsibility; not the lecturers’, to satisfy opportunity sampling.  All participants were of consenting age and sign informed consent forms prior to participation, the data provided was anonymous and confidential in line with the British Psychological Society </w:t>
      </w:r>
      <w:r w:rsidRPr="0038459B">
        <w:rPr>
          <w:i/>
        </w:rPr>
        <w:t xml:space="preserve">Code of Ethics and conduct, Code of Human Research Ethics, </w:t>
      </w:r>
      <w:r w:rsidRPr="0038459B">
        <w:t xml:space="preserve">and the University of Wales Trinity Saint David’s, </w:t>
      </w:r>
      <w:r w:rsidRPr="0038459B">
        <w:rPr>
          <w:i/>
        </w:rPr>
        <w:t>Research Ethics Integrity Code Practice</w:t>
      </w:r>
      <w:r w:rsidRPr="0038459B">
        <w:t xml:space="preserve">.  The sample received no financial or academic inducements in lieu of participation. </w:t>
      </w:r>
    </w:p>
    <w:p w:rsidR="001E25FA" w:rsidRPr="0038459B" w:rsidRDefault="001E25FA" w:rsidP="001E25FA">
      <w:pPr>
        <w:spacing w:line="480" w:lineRule="auto"/>
      </w:pPr>
    </w:p>
    <w:p w:rsidR="001E25FA" w:rsidRPr="0038459B" w:rsidRDefault="001E25FA" w:rsidP="001E25FA">
      <w:pPr>
        <w:spacing w:line="480" w:lineRule="auto"/>
      </w:pPr>
      <w:r w:rsidRPr="0038459B">
        <w:t>Table 1</w:t>
      </w:r>
    </w:p>
    <w:p w:rsidR="001E25FA" w:rsidRPr="0038459B" w:rsidRDefault="001E25FA" w:rsidP="001E25FA">
      <w:pPr>
        <w:spacing w:line="480" w:lineRule="auto"/>
        <w:rPr>
          <w:i/>
        </w:rPr>
      </w:pPr>
      <w:r w:rsidRPr="0038459B">
        <w:rPr>
          <w:i/>
        </w:rPr>
        <w:t xml:space="preserve">The demographical characteristics of the participants, age, gender, and course studied. </w:t>
      </w:r>
    </w:p>
    <w:tbl>
      <w:tblPr>
        <w:tblStyle w:val="TableGrid"/>
        <w:tblW w:w="0" w:type="auto"/>
        <w:tblLook w:val="04A0" w:firstRow="1" w:lastRow="0" w:firstColumn="1" w:lastColumn="0" w:noHBand="0" w:noVBand="1"/>
      </w:tblPr>
      <w:tblGrid>
        <w:gridCol w:w="1701"/>
        <w:gridCol w:w="2977"/>
        <w:gridCol w:w="1276"/>
        <w:gridCol w:w="1134"/>
        <w:gridCol w:w="850"/>
        <w:gridCol w:w="1073"/>
      </w:tblGrid>
      <w:tr w:rsidR="001E25FA" w:rsidRPr="0038459B" w:rsidTr="0085216A">
        <w:tc>
          <w:tcPr>
            <w:tcW w:w="1701" w:type="dxa"/>
            <w:tcBorders>
              <w:left w:val="nil"/>
              <w:bottom w:val="single" w:sz="4" w:space="0" w:color="auto"/>
              <w:right w:val="nil"/>
            </w:tcBorders>
          </w:tcPr>
          <w:p w:rsidR="001E25FA" w:rsidRPr="001E25FA" w:rsidRDefault="001E25FA" w:rsidP="0085216A">
            <w:pPr>
              <w:spacing w:line="480" w:lineRule="auto"/>
              <w:rPr>
                <w:b w:val="0"/>
                <w:lang w:eastAsia="en-US"/>
              </w:rPr>
            </w:pPr>
          </w:p>
        </w:tc>
        <w:tc>
          <w:tcPr>
            <w:tcW w:w="2977" w:type="dxa"/>
            <w:tcBorders>
              <w:left w:val="nil"/>
              <w:bottom w:val="single" w:sz="4" w:space="0" w:color="auto"/>
              <w:right w:val="nil"/>
            </w:tcBorders>
          </w:tcPr>
          <w:p w:rsidR="001E25FA" w:rsidRPr="001E25FA" w:rsidRDefault="001E25FA" w:rsidP="0085216A">
            <w:pPr>
              <w:spacing w:line="480" w:lineRule="auto"/>
              <w:rPr>
                <w:b w:val="0"/>
                <w:lang w:eastAsia="en-US"/>
              </w:rPr>
            </w:pPr>
          </w:p>
        </w:tc>
        <w:tc>
          <w:tcPr>
            <w:tcW w:w="1276" w:type="dxa"/>
            <w:tcBorders>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Female   (</w:t>
            </w:r>
            <w:r w:rsidRPr="001E25FA">
              <w:rPr>
                <w:b w:val="0"/>
                <w:i/>
                <w:lang w:eastAsia="en-US"/>
              </w:rPr>
              <w:t>n</w:t>
            </w:r>
            <w:r w:rsidRPr="001E25FA">
              <w:rPr>
                <w:b w:val="0"/>
                <w:lang w:eastAsia="en-US"/>
              </w:rPr>
              <w:t>)</w:t>
            </w:r>
          </w:p>
        </w:tc>
        <w:tc>
          <w:tcPr>
            <w:tcW w:w="1134" w:type="dxa"/>
            <w:tcBorders>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w:t>
            </w:r>
          </w:p>
        </w:tc>
        <w:tc>
          <w:tcPr>
            <w:tcW w:w="850" w:type="dxa"/>
            <w:tcBorders>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Male   (</w:t>
            </w:r>
            <w:r w:rsidRPr="001E25FA">
              <w:rPr>
                <w:b w:val="0"/>
                <w:i/>
                <w:lang w:eastAsia="en-US"/>
              </w:rPr>
              <w:t>n</w:t>
            </w:r>
            <w:r w:rsidRPr="001E25FA">
              <w:rPr>
                <w:b w:val="0"/>
                <w:lang w:eastAsia="en-US"/>
              </w:rPr>
              <w:t>)</w:t>
            </w:r>
          </w:p>
        </w:tc>
        <w:tc>
          <w:tcPr>
            <w:tcW w:w="1073" w:type="dxa"/>
            <w:tcBorders>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w:t>
            </w:r>
          </w:p>
        </w:tc>
      </w:tr>
      <w:tr w:rsidR="001E25FA" w:rsidRPr="0038459B" w:rsidTr="0085216A">
        <w:tc>
          <w:tcPr>
            <w:tcW w:w="1701"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Age-groups</w:t>
            </w:r>
          </w:p>
        </w:tc>
        <w:tc>
          <w:tcPr>
            <w:tcW w:w="2977"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Younger than 30-years old</w:t>
            </w:r>
          </w:p>
        </w:tc>
        <w:tc>
          <w:tcPr>
            <w:tcW w:w="1276"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35</w:t>
            </w:r>
          </w:p>
        </w:tc>
        <w:tc>
          <w:tcPr>
            <w:tcW w:w="1134"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32.41</w:t>
            </w:r>
          </w:p>
        </w:tc>
        <w:tc>
          <w:tcPr>
            <w:tcW w:w="850"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21</w:t>
            </w:r>
          </w:p>
        </w:tc>
        <w:tc>
          <w:tcPr>
            <w:tcW w:w="1073"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19.44</w:t>
            </w:r>
          </w:p>
        </w:tc>
      </w:tr>
      <w:tr w:rsidR="001E25FA" w:rsidRPr="0038459B" w:rsidTr="0085216A">
        <w:tc>
          <w:tcPr>
            <w:tcW w:w="1701" w:type="dxa"/>
            <w:tcBorders>
              <w:top w:val="nil"/>
              <w:left w:val="nil"/>
              <w:bottom w:val="nil"/>
              <w:right w:val="nil"/>
            </w:tcBorders>
          </w:tcPr>
          <w:p w:rsidR="001E25FA" w:rsidRPr="001E25FA" w:rsidRDefault="001E25FA" w:rsidP="0085216A">
            <w:pPr>
              <w:spacing w:line="480" w:lineRule="auto"/>
              <w:rPr>
                <w:b w:val="0"/>
                <w:lang w:eastAsia="en-US"/>
              </w:rPr>
            </w:pPr>
          </w:p>
        </w:tc>
        <w:tc>
          <w:tcPr>
            <w:tcW w:w="297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30-years old and older</w:t>
            </w:r>
          </w:p>
        </w:tc>
        <w:tc>
          <w:tcPr>
            <w:tcW w:w="1276"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45</w:t>
            </w:r>
          </w:p>
        </w:tc>
        <w:tc>
          <w:tcPr>
            <w:tcW w:w="1134"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41.67</w:t>
            </w:r>
          </w:p>
        </w:tc>
        <w:tc>
          <w:tcPr>
            <w:tcW w:w="850"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7</w:t>
            </w:r>
          </w:p>
        </w:tc>
        <w:tc>
          <w:tcPr>
            <w:tcW w:w="1073"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6.48</w:t>
            </w:r>
          </w:p>
        </w:tc>
      </w:tr>
      <w:tr w:rsidR="001E25FA" w:rsidRPr="0038459B" w:rsidTr="0085216A">
        <w:tc>
          <w:tcPr>
            <w:tcW w:w="1701"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Course studied </w:t>
            </w:r>
          </w:p>
        </w:tc>
        <w:tc>
          <w:tcPr>
            <w:tcW w:w="297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Psychology</w:t>
            </w:r>
          </w:p>
        </w:tc>
        <w:tc>
          <w:tcPr>
            <w:tcW w:w="1276"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33</w:t>
            </w:r>
          </w:p>
        </w:tc>
        <w:tc>
          <w:tcPr>
            <w:tcW w:w="1134"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84.61</w:t>
            </w:r>
          </w:p>
        </w:tc>
        <w:tc>
          <w:tcPr>
            <w:tcW w:w="850"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6</w:t>
            </w:r>
          </w:p>
        </w:tc>
        <w:tc>
          <w:tcPr>
            <w:tcW w:w="1073"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15.38</w:t>
            </w:r>
          </w:p>
        </w:tc>
      </w:tr>
      <w:tr w:rsidR="001E25FA" w:rsidRPr="0038459B" w:rsidTr="0085216A">
        <w:tc>
          <w:tcPr>
            <w:tcW w:w="1701" w:type="dxa"/>
            <w:tcBorders>
              <w:top w:val="nil"/>
              <w:left w:val="nil"/>
              <w:bottom w:val="nil"/>
              <w:right w:val="nil"/>
            </w:tcBorders>
          </w:tcPr>
          <w:p w:rsidR="001E25FA" w:rsidRPr="001E25FA" w:rsidRDefault="001E25FA" w:rsidP="0085216A">
            <w:pPr>
              <w:spacing w:line="480" w:lineRule="auto"/>
              <w:rPr>
                <w:b w:val="0"/>
                <w:lang w:eastAsia="en-US"/>
              </w:rPr>
            </w:pPr>
          </w:p>
        </w:tc>
        <w:tc>
          <w:tcPr>
            <w:tcW w:w="297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Social studies</w:t>
            </w:r>
          </w:p>
        </w:tc>
        <w:tc>
          <w:tcPr>
            <w:tcW w:w="1276"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38</w:t>
            </w:r>
          </w:p>
        </w:tc>
        <w:tc>
          <w:tcPr>
            <w:tcW w:w="1134"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86.36</w:t>
            </w:r>
          </w:p>
        </w:tc>
        <w:tc>
          <w:tcPr>
            <w:tcW w:w="850"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6</w:t>
            </w:r>
          </w:p>
        </w:tc>
        <w:tc>
          <w:tcPr>
            <w:tcW w:w="1073"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13.63</w:t>
            </w:r>
          </w:p>
        </w:tc>
      </w:tr>
      <w:tr w:rsidR="001E25FA" w:rsidRPr="0038459B" w:rsidTr="0085216A">
        <w:tc>
          <w:tcPr>
            <w:tcW w:w="1701" w:type="dxa"/>
            <w:tcBorders>
              <w:top w:val="nil"/>
              <w:left w:val="nil"/>
              <w:bottom w:val="single" w:sz="4" w:space="0" w:color="auto"/>
              <w:right w:val="nil"/>
            </w:tcBorders>
          </w:tcPr>
          <w:p w:rsidR="001E25FA" w:rsidRPr="001E25FA" w:rsidRDefault="001E25FA" w:rsidP="0085216A">
            <w:pPr>
              <w:spacing w:line="480" w:lineRule="auto"/>
              <w:rPr>
                <w:b w:val="0"/>
                <w:lang w:eastAsia="en-US"/>
              </w:rPr>
            </w:pPr>
          </w:p>
        </w:tc>
        <w:tc>
          <w:tcPr>
            <w:tcW w:w="2977"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English</w:t>
            </w:r>
          </w:p>
        </w:tc>
        <w:tc>
          <w:tcPr>
            <w:tcW w:w="1276"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10</w:t>
            </w:r>
          </w:p>
        </w:tc>
        <w:tc>
          <w:tcPr>
            <w:tcW w:w="1134"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40.00</w:t>
            </w:r>
          </w:p>
        </w:tc>
        <w:tc>
          <w:tcPr>
            <w:tcW w:w="850"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15</w:t>
            </w:r>
          </w:p>
        </w:tc>
        <w:tc>
          <w:tcPr>
            <w:tcW w:w="1073"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60.00</w:t>
            </w:r>
          </w:p>
        </w:tc>
      </w:tr>
    </w:tbl>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Design</w:t>
      </w:r>
    </w:p>
    <w:p w:rsidR="001E25FA" w:rsidRPr="0038459B" w:rsidRDefault="001E25FA" w:rsidP="001E25FA">
      <w:pPr>
        <w:spacing w:line="480" w:lineRule="auto"/>
      </w:pPr>
      <w:r w:rsidRPr="0038459B">
        <w:tab/>
        <w:t xml:space="preserve">This study investigated the relationship between MA and MP, by conducting a quantitative experimental study of independent-subject design.  The study tested two dependent variables: MA and MP, which were determined by the responses to adapted questions from the BMA-3 and AMAS (Hopko </w:t>
      </w:r>
      <w:r w:rsidRPr="0038459B">
        <w:rPr>
          <w:i/>
        </w:rPr>
        <w:t>et al.</w:t>
      </w:r>
      <w:r w:rsidRPr="0038459B">
        <w:t>, 2003; Steiner &amp; Ashcraft, 2012). The study comprised of four independent variables WM-capacity, ATM, teaching experiences, and age.  The four independent variables comprised of two groups that were classified by the responses to the instruments and demographical information. WM-capacity was manipulated into high or low groups based on the scores achieved on the backward digit-span test.   Teaching experiences and ATM were obtained from the participants’ answers to a shortened and adapted version of the Math Attitude Scales (Fennema &amp; Sherman, 1976). Groups were formed based on the sum-totals reported and were classified as having a positive or negative ATM, and good or bad teaching experiences.  Two age-groups were formed: traditional-aged (18-29 years old) or non-traditional-aged students (30 years old and older). The data was gathered from demographical information sheet.</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Two Multiple-regression were performed utilising correlations to test whether the independent variables predict the dependent variables.  The four independent variables were expected to be significant, although two were significant predictors for MA: WM-capacity and ATM.  The significant predictor variables for MP were WM-capacity and teaching experiences.  Further analysis was conducted for significant differences, by performing two independent subject design 2 x 2 analysis of variance (ANOVA) on both criterion variables: MA and MP.  Two independent </w:t>
      </w:r>
      <w:r w:rsidRPr="0038459B">
        <w:rPr>
          <w:i/>
        </w:rPr>
        <w:t>t</w:t>
      </w:r>
      <w:r w:rsidRPr="0038459B">
        <w:t xml:space="preserve">-tests were performed on the age-groups to determine </w:t>
      </w:r>
      <w:r w:rsidRPr="0038459B">
        <w:lastRenderedPageBreak/>
        <w:t>whether significance differences were evident on both criterion variables.  A</w:t>
      </w:r>
      <w:r w:rsidRPr="0038459B">
        <w:rPr>
          <w:i/>
        </w:rPr>
        <w:t xml:space="preserve"> </w:t>
      </w:r>
      <w:r w:rsidRPr="0038459B">
        <w:t xml:space="preserve">Pearson’s </w:t>
      </w:r>
      <w:r w:rsidRPr="0038459B">
        <w:rPr>
          <w:i/>
        </w:rPr>
        <w:t xml:space="preserve">r </w:t>
      </w:r>
      <w:r w:rsidRPr="0038459B">
        <w:t xml:space="preserve">correlation coefficient was performed to measure the degree of relationship between the MP and MA, followed by independent </w:t>
      </w:r>
      <w:r w:rsidRPr="0038459B">
        <w:rPr>
          <w:i/>
        </w:rPr>
        <w:t>t</w:t>
      </w:r>
      <w:r w:rsidRPr="0038459B">
        <w:t>-test to look for significant differences in MP for the high and low maths-anxious groups.  The statistical analysis was performed using IBM SPSS 24 software.</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Instruments and materials</w:t>
      </w:r>
    </w:p>
    <w:p w:rsidR="001E25FA" w:rsidRPr="0038459B" w:rsidRDefault="001E25FA" w:rsidP="001E25FA">
      <w:pPr>
        <w:spacing w:line="480" w:lineRule="auto"/>
      </w:pPr>
      <w:r w:rsidRPr="0038459B">
        <w:tab/>
        <w:t>The research employed several instruments to gather data and test the hypotheses.  An information sheet, informed consent form and demographic information form were utilised prior to the experiment, and a debrief form was provided post-testing (see Appendix ). Groups were formed by the scores of the following tasks: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Maths anxiety and attitudes towards maths scale</w:t>
      </w:r>
    </w:p>
    <w:p w:rsidR="001E25FA" w:rsidRPr="0038459B" w:rsidRDefault="001E25FA" w:rsidP="001E25FA">
      <w:pPr>
        <w:spacing w:line="480" w:lineRule="auto"/>
      </w:pPr>
      <w:r w:rsidRPr="0038459B">
        <w:tab/>
        <w:t xml:space="preserve">A 21-item questionnaire was utilised to survey the participants ATM and teaching experiences, and measure MA.  The first nine questions were adapted from the AMAS (Hopko </w:t>
      </w:r>
      <w:r w:rsidRPr="0038459B">
        <w:rPr>
          <w:i/>
        </w:rPr>
        <w:t>et al.</w:t>
      </w:r>
      <w:r w:rsidRPr="0038459B">
        <w:t xml:space="preserve">, 2003), the adaptation removed American terminology from the questions, to restrict ambiguity.  The AMAS (Hopko </w:t>
      </w:r>
      <w:r w:rsidRPr="0038459B">
        <w:rPr>
          <w:i/>
        </w:rPr>
        <w:t>et al.,</w:t>
      </w:r>
      <w:r w:rsidRPr="0038459B">
        <w:t xml:space="preserve"> 2003), is a nine-item five-point Likert-scale, individuals rate anxiety experienced (1 = </w:t>
      </w:r>
      <w:r w:rsidRPr="0038459B">
        <w:rPr>
          <w:i/>
        </w:rPr>
        <w:t>least anxious</w:t>
      </w:r>
      <w:r w:rsidRPr="0038459B">
        <w:t xml:space="preserve">, 5 = </w:t>
      </w:r>
      <w:r w:rsidRPr="0038459B">
        <w:rPr>
          <w:i/>
        </w:rPr>
        <w:t>most anxious</w:t>
      </w:r>
      <w:r w:rsidRPr="0038459B">
        <w:t>) on various maths-related situations.  Example of questions; question four, (‘</w:t>
      </w:r>
      <w:r w:rsidRPr="0038459B">
        <w:rPr>
          <w:i/>
        </w:rPr>
        <w:t>taking a maths test</w:t>
      </w:r>
      <w:r w:rsidRPr="0038459B">
        <w:t>’) and question eight, (</w:t>
      </w:r>
      <w:r w:rsidRPr="0038459B">
        <w:rPr>
          <w:i/>
        </w:rPr>
        <w:t>’being given a test on maths without knowing in advance</w:t>
      </w:r>
      <w:r w:rsidRPr="0038459B">
        <w:t xml:space="preserve">.’) Total scores range from nine to 45, with higher scores relating to greater levels of maths anxiety.  Hopko </w:t>
      </w:r>
      <w:r w:rsidRPr="0038459B">
        <w:rPr>
          <w:i/>
        </w:rPr>
        <w:t>et al.</w:t>
      </w:r>
      <w:r w:rsidRPr="0038459B">
        <w:t xml:space="preserve"> (2003) reported, a mixed gender score (</w:t>
      </w:r>
      <w:r w:rsidRPr="0038459B">
        <w:rPr>
          <w:i/>
        </w:rPr>
        <w:t xml:space="preserve">M = </w:t>
      </w:r>
      <w:r w:rsidRPr="0038459B">
        <w:t xml:space="preserve">21.10, </w:t>
      </w:r>
      <w:r w:rsidRPr="0038459B">
        <w:rPr>
          <w:i/>
        </w:rPr>
        <w:t xml:space="preserve">SD = </w:t>
      </w:r>
      <w:r w:rsidRPr="0038459B">
        <w:t xml:space="preserve">8.5, </w:t>
      </w:r>
      <w:r w:rsidRPr="0038459B">
        <w:rPr>
          <w:i/>
        </w:rPr>
        <w:t xml:space="preserve">N </w:t>
      </w:r>
      <w:r w:rsidRPr="0038459B">
        <w:t xml:space="preserve">= 1,239).  For statistical analysis, two groups were formed; low and high; sum-totals exceeding 21 were classified as retaining high MA, and sum-totals below 22, as low MA.  The AMAS (Hopko </w:t>
      </w:r>
      <w:r w:rsidRPr="0038459B">
        <w:rPr>
          <w:i/>
        </w:rPr>
        <w:t>et al.,</w:t>
      </w:r>
      <w:r w:rsidRPr="0038459B">
        <w:t xml:space="preserve"> 2003), was </w:t>
      </w:r>
      <w:r w:rsidRPr="0038459B">
        <w:lastRenderedPageBreak/>
        <w:t>employed by this study, as it is less time consuming with good re-testability and reliability (</w:t>
      </w:r>
      <w:r w:rsidRPr="0038459B">
        <w:rPr>
          <w:i/>
        </w:rPr>
        <w:t>r = .</w:t>
      </w:r>
      <w:r w:rsidRPr="0038459B">
        <w:t>85) and strong convergent validity of (</w:t>
      </w:r>
      <w:r w:rsidRPr="0038459B">
        <w:rPr>
          <w:i/>
        </w:rPr>
        <w:t xml:space="preserve">r </w:t>
      </w:r>
      <w:r w:rsidRPr="0038459B">
        <w:t xml:space="preserve">= .85). </w:t>
      </w:r>
    </w:p>
    <w:p w:rsidR="001E25FA" w:rsidRPr="0038459B" w:rsidRDefault="001E25FA" w:rsidP="001E25FA">
      <w:pPr>
        <w:spacing w:line="480" w:lineRule="auto"/>
      </w:pPr>
    </w:p>
    <w:p w:rsidR="001E25FA" w:rsidRPr="0038459B" w:rsidRDefault="001E25FA" w:rsidP="001E25FA">
      <w:pPr>
        <w:spacing w:line="480" w:lineRule="auto"/>
      </w:pPr>
      <w:r w:rsidRPr="0038459B">
        <w:tab/>
        <w:t>Attitudes towards maths questions were adapted from the Mathematics Attitude Scales (Fennema &amp; Sherman, 1976).  The adaptation utilises terms more appropriate to a British sample. Questions 10-15 measure the individual’s: enjoyment of maths, the value of maths, motivation, and self-confidence in maths.  Participants’ rated their ATM (1 agree to 5 disagree) on six questions, for example question 10 (I really like maths.).  Questions 16-21 of the survey relate to respondents’ maths teaching experiences, for example, question 19, (My maths teachers were interested in my progress in maths.).  Three questions were reversed scored for the attitude and teaching experience scale.  For statistical analysis, scores on both scales range from six to 30, and sum-total scores exceeding 18 were classified as retaining negative ATM or bad teaching experiences and sum-totals below 19 having a positive ATM or good teaching experiences.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Measure of MP</w:t>
      </w:r>
    </w:p>
    <w:p w:rsidR="001E25FA" w:rsidRPr="0038459B" w:rsidRDefault="001E25FA" w:rsidP="001E25FA">
      <w:pPr>
        <w:spacing w:line="480" w:lineRule="auto"/>
      </w:pPr>
      <w:r w:rsidRPr="0038459B">
        <w:tab/>
        <w:t>MP was assessed by paper and pencil test; all participants completed an adapted version of the BMA-3 (Steiner &amp; Ashcraft, 2012).  The adapted version replaced one algebraic question.  The test questions progressively increase in difficulty; one mark is awarded for each correct answer, question 9 contained two questions, the total possible score is 10. Example of questions (42 - 21 = and 3 ½ + 2 ½ =).  The test was time constrained to three-minutes.  A pilot test was conducted, the group composed of 20 university undergraduates, all completed the test within three-minutes and achieved a sum-total score of (</w:t>
      </w:r>
      <w:r w:rsidRPr="0038459B">
        <w:rPr>
          <w:i/>
        </w:rPr>
        <w:t xml:space="preserve">M </w:t>
      </w:r>
      <w:r w:rsidRPr="0038459B">
        <w:t xml:space="preserve">= 6.95).  This instrument was selected, as the test was devised for MA research, and sourced from the article (Steiner &amp; Ashcraft, 2012). </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Instrument for measuring WM capacity</w:t>
      </w:r>
    </w:p>
    <w:p w:rsidR="001E25FA" w:rsidRPr="0038459B" w:rsidRDefault="001E25FA" w:rsidP="001E25FA">
      <w:pPr>
        <w:spacing w:line="480" w:lineRule="auto"/>
      </w:pPr>
      <w:r w:rsidRPr="0038459B">
        <w:tab/>
        <w:t>The participants’ WM-capacity was measured by employing the backward digit-span-test, adapted from the digit memory test (Turner &amp; Ridsdale, 2004).  The test was presented by a Microsoft® PowerPoint slide-show utilising audio files, to eliminate potential presentation bias.  The eight-item numeric series of numbers, commenced with a two-digit sequence and increases are by one digit per pass, verbalised at a rate of one-digit per second.  The participants had five seconds to write the digits on the answer sheet in reverse order before the next sequence.  The first incorrect response rated the previous correct response as the WM score.  A pilot study was conducted, and the results suggested (</w:t>
      </w:r>
      <w:r w:rsidRPr="0038459B">
        <w:rPr>
          <w:i/>
        </w:rPr>
        <w:t xml:space="preserve">M </w:t>
      </w:r>
      <w:r w:rsidRPr="0038459B">
        <w:t>= 5.5) digits were recalled.  Scores less than six classified the participant exhibiting low WM-capacity and scores greater than five were classified as exhibiting WM-capacity.</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Materials</w:t>
      </w:r>
    </w:p>
    <w:p w:rsidR="001E25FA" w:rsidRPr="0038459B" w:rsidRDefault="001E25FA" w:rsidP="001E25FA">
      <w:pPr>
        <w:spacing w:line="480" w:lineRule="auto"/>
      </w:pPr>
      <w:r w:rsidRPr="0038459B">
        <w:tab/>
        <w:t>The study employed; a Fujistu LIFEBOOK laptop operating Microsoft® Office 365 and IBM SPSS version 24 software. During the experiments, a stopwatch was utilised, and pens were made available for the participants.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Ethical considerations</w:t>
      </w:r>
      <w:r w:rsidRPr="0038459B">
        <w:rPr>
          <w:i/>
        </w:rPr>
        <w:tab/>
      </w:r>
    </w:p>
    <w:p w:rsidR="001E25FA" w:rsidRPr="0038459B" w:rsidRDefault="001E25FA" w:rsidP="001E25FA">
      <w:pPr>
        <w:spacing w:line="480" w:lineRule="auto"/>
      </w:pPr>
      <w:r w:rsidRPr="0038459B">
        <w:tab/>
        <w:t xml:space="preserve">No research was conducted prior to receiving the university’s ethics board consent. All participants were informed of the aims of the research and of their rights to withdrawal and provided countersigned informed consent.  After the experiments, all participants received feedback and were provided with a debrief stipulating contact details for further information, or professional support if required.  Anonymity was assured, and all data gathering material was assigned a numerical code for each participant.  All methods </w:t>
      </w:r>
      <w:r w:rsidRPr="0038459B">
        <w:lastRenderedPageBreak/>
        <w:t>conformed to the British Psychological Society (BPS) and the university’s guidelines.  All data was turned-over the university’s custodian in appliance with data protection legislation.</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Procedure</w:t>
      </w:r>
    </w:p>
    <w:p w:rsidR="001E25FA" w:rsidRPr="0038459B" w:rsidRDefault="001E25FA" w:rsidP="001E25FA">
      <w:pPr>
        <w:spacing w:line="480" w:lineRule="auto"/>
      </w:pPr>
      <w:r w:rsidRPr="0038459B">
        <w:tab/>
        <w:t>A small pilot study was conducted to test the feasible and time constraints of the BMA-3 (Steiner &amp; Ashcraft, 2012) maths test, and the backward digit span test.  After, receiving ethical approval, university lecturers were emailed to request access during their lectures to recruit participants.  The lecturer was requested not to inform the class of the impending recruitment process, to satisfy the opportunity sampling method.  The email set-out the aims, the rationale of the study, and if required copies of the data gathering instruments, and the approximate duration of the experiment.  The participants were recruited at the lecture by the researcher.  Several lecture rooms provided a quiet venue to conduct the experiments.</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class were introduced to the researcher, and the researcher provided an informed consent form and information sheet to each potential participant.  The information sheet explained the participants’ rights of anonymity, confidentiality, and withdrawal.  The participants were informed the tests are not utilised to compare individuals or intelligence but observe the differences among the whole sample.  The participants were requested to resist comparing experiences or difficulties experienced.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participants were asked if they had any questions and were asked to sign the informed consent form.  Those that participated were requested to complete the demographic information section and the 21-item questionnaire.  The experimenter allowed one-minute between the start of the next task, backward digit span test presented by a PowerPoint.  Two </w:t>
      </w:r>
      <w:r w:rsidRPr="0038459B">
        <w:lastRenderedPageBreak/>
        <w:t xml:space="preserve">examples were presented, the responders recorded their answers on an answer sheet provided.  All tasks included in the experimental session were performed by paper and pencil.  The groups were requested not to confer and remain seated, and not to divulge their personal feelings and experiences, as not to influence others.  After the sample had completed these tasks, the participants were asked if they had any questions.  The sample received feedback from the researcher, and their rights were re-iterated.  The participants were informed to retain the information and debrief form for later usage, for example withdrawing, ask questions, requiring an update, and contact details to seek professional help for emotional distress.  All data gathering information was collected, and the participants were thanked for their cooperation.  All data gathering forms were secured at the researcher’s home safe, and all electronic data was saved on a password protected memory stick, which will be handed over to the university after submission, in accordance with data protection law. </w:t>
      </w:r>
    </w:p>
    <w:p w:rsidR="001E25FA" w:rsidRPr="0038459B" w:rsidRDefault="001E25FA" w:rsidP="001E25FA">
      <w:pPr>
        <w:spacing w:line="480" w:lineRule="auto"/>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Default="001E25FA" w:rsidP="001E25FA">
      <w:pPr>
        <w:spacing w:line="480" w:lineRule="auto"/>
        <w:rPr>
          <w:u w:val="single"/>
        </w:rPr>
      </w:pPr>
    </w:p>
    <w:p w:rsidR="001E25FA" w:rsidRPr="0038459B" w:rsidRDefault="001E25FA" w:rsidP="001E25FA">
      <w:pPr>
        <w:spacing w:line="480" w:lineRule="auto"/>
        <w:rPr>
          <w:u w:val="single"/>
        </w:rPr>
      </w:pPr>
    </w:p>
    <w:p w:rsidR="001E25FA" w:rsidRPr="0038459B" w:rsidRDefault="001E25FA" w:rsidP="001E25FA">
      <w:pPr>
        <w:spacing w:line="480" w:lineRule="auto"/>
        <w:rPr>
          <w:sz w:val="28"/>
          <w:szCs w:val="28"/>
          <w:u w:val="single"/>
        </w:rPr>
      </w:pPr>
      <w:r w:rsidRPr="0038459B">
        <w:rPr>
          <w:sz w:val="28"/>
          <w:szCs w:val="28"/>
          <w:u w:val="single"/>
        </w:rPr>
        <w:lastRenderedPageBreak/>
        <w:t>Chapter four: The results</w:t>
      </w:r>
    </w:p>
    <w:p w:rsidR="001E25FA" w:rsidRPr="0038459B" w:rsidRDefault="001E25FA" w:rsidP="001E25FA">
      <w:pPr>
        <w:spacing w:line="480" w:lineRule="auto"/>
      </w:pPr>
      <w:r w:rsidRPr="0038459B">
        <w:tab/>
        <w:t xml:space="preserve">This section of the report presents the results of the study.  Prior to conducting statistical analysis, the data generated by the dependent variables: MA and MP were screened for outliers, using the explore function in SPSS (see Appendix K for all SPSS output). Table 2 displays the mean scores and standard deviations for the participants MP score and reported level of MA. </w:t>
      </w:r>
    </w:p>
    <w:p w:rsidR="001E25FA" w:rsidRPr="0038459B" w:rsidRDefault="001E25FA" w:rsidP="001E25FA">
      <w:pPr>
        <w:spacing w:line="480" w:lineRule="auto"/>
      </w:pPr>
    </w:p>
    <w:p w:rsidR="001E25FA" w:rsidRPr="0038459B" w:rsidRDefault="001E25FA" w:rsidP="001E25FA">
      <w:pPr>
        <w:spacing w:line="480" w:lineRule="auto"/>
      </w:pPr>
      <w:r w:rsidRPr="0038459B">
        <w:t>Table 2</w:t>
      </w:r>
    </w:p>
    <w:p w:rsidR="001E25FA" w:rsidRPr="0038459B" w:rsidRDefault="001E25FA" w:rsidP="001E25FA">
      <w:pPr>
        <w:spacing w:line="480" w:lineRule="auto"/>
      </w:pPr>
      <w:r w:rsidRPr="0038459B">
        <w:rPr>
          <w:i/>
        </w:rPr>
        <w:t>The descriptive statistics of the dependent variables means and standard deviations</w:t>
      </w:r>
    </w:p>
    <w:tbl>
      <w:tblPr>
        <w:tblStyle w:val="TableGrid"/>
        <w:tblpPr w:leftFromText="180" w:rightFromText="180" w:vertAnchor="text" w:horzAnchor="margin" w:tblpY="127"/>
        <w:tblW w:w="0" w:type="auto"/>
        <w:tblLook w:val="04A0" w:firstRow="1" w:lastRow="0" w:firstColumn="1" w:lastColumn="0" w:noHBand="0" w:noVBand="1"/>
      </w:tblPr>
      <w:tblGrid>
        <w:gridCol w:w="4249"/>
        <w:gridCol w:w="2125"/>
        <w:gridCol w:w="2125"/>
      </w:tblGrid>
      <w:tr w:rsidR="001E25FA" w:rsidRPr="0038459B" w:rsidTr="0085216A">
        <w:trPr>
          <w:trHeight w:val="529"/>
        </w:trPr>
        <w:tc>
          <w:tcPr>
            <w:tcW w:w="4249" w:type="dxa"/>
            <w:tcBorders>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Dependent variables</w:t>
            </w:r>
          </w:p>
        </w:tc>
        <w:tc>
          <w:tcPr>
            <w:tcW w:w="2125"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M</w:t>
            </w:r>
          </w:p>
        </w:tc>
        <w:tc>
          <w:tcPr>
            <w:tcW w:w="2125"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SD</w:t>
            </w:r>
          </w:p>
        </w:tc>
      </w:tr>
      <w:tr w:rsidR="001E25FA" w:rsidRPr="0038459B" w:rsidTr="0085216A">
        <w:trPr>
          <w:trHeight w:val="529"/>
        </w:trPr>
        <w:tc>
          <w:tcPr>
            <w:tcW w:w="4249" w:type="dxa"/>
            <w:tcBorders>
              <w:left w:val="nil"/>
              <w:bottom w:val="nil"/>
              <w:right w:val="nil"/>
            </w:tcBorders>
          </w:tcPr>
          <w:p w:rsidR="001E25FA" w:rsidRPr="001E25FA" w:rsidRDefault="001E25FA" w:rsidP="0085216A">
            <w:pPr>
              <w:spacing w:line="480" w:lineRule="auto"/>
              <w:rPr>
                <w:b w:val="0"/>
                <w:lang w:eastAsia="en-US"/>
              </w:rPr>
            </w:pPr>
            <w:r w:rsidRPr="001E25FA">
              <w:rPr>
                <w:b w:val="0"/>
                <w:lang w:eastAsia="en-US"/>
              </w:rPr>
              <w:t>Maths performance</w:t>
            </w:r>
          </w:p>
        </w:tc>
        <w:tc>
          <w:tcPr>
            <w:tcW w:w="2125" w:type="dxa"/>
            <w:tcBorders>
              <w:left w:val="nil"/>
              <w:bottom w:val="nil"/>
              <w:right w:val="nil"/>
            </w:tcBorders>
          </w:tcPr>
          <w:p w:rsidR="001E25FA" w:rsidRPr="001E25FA" w:rsidRDefault="001E25FA" w:rsidP="0085216A">
            <w:pPr>
              <w:spacing w:line="480" w:lineRule="auto"/>
              <w:rPr>
                <w:b w:val="0"/>
                <w:lang w:eastAsia="en-US"/>
              </w:rPr>
            </w:pPr>
            <w:r w:rsidRPr="001E25FA">
              <w:rPr>
                <w:b w:val="0"/>
                <w:lang w:eastAsia="en-US"/>
              </w:rPr>
              <w:t>6.33</w:t>
            </w:r>
          </w:p>
        </w:tc>
        <w:tc>
          <w:tcPr>
            <w:tcW w:w="2125" w:type="dxa"/>
            <w:tcBorders>
              <w:left w:val="nil"/>
              <w:bottom w:val="nil"/>
              <w:right w:val="nil"/>
            </w:tcBorders>
          </w:tcPr>
          <w:p w:rsidR="001E25FA" w:rsidRPr="001E25FA" w:rsidRDefault="001E25FA" w:rsidP="0085216A">
            <w:pPr>
              <w:spacing w:line="480" w:lineRule="auto"/>
              <w:rPr>
                <w:b w:val="0"/>
                <w:lang w:eastAsia="en-US"/>
              </w:rPr>
            </w:pPr>
            <w:r w:rsidRPr="001E25FA">
              <w:rPr>
                <w:b w:val="0"/>
                <w:lang w:eastAsia="en-US"/>
              </w:rPr>
              <w:t>1.76</w:t>
            </w:r>
          </w:p>
        </w:tc>
      </w:tr>
      <w:tr w:rsidR="001E25FA" w:rsidRPr="0038459B" w:rsidTr="0085216A">
        <w:trPr>
          <w:trHeight w:val="529"/>
        </w:trPr>
        <w:tc>
          <w:tcPr>
            <w:tcW w:w="4249"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Maths anxiety</w:t>
            </w:r>
          </w:p>
        </w:tc>
        <w:tc>
          <w:tcPr>
            <w:tcW w:w="2125"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26.02</w:t>
            </w:r>
          </w:p>
        </w:tc>
        <w:tc>
          <w:tcPr>
            <w:tcW w:w="2125"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8.37</w:t>
            </w:r>
          </w:p>
        </w:tc>
      </w:tr>
    </w:tbl>
    <w:p w:rsidR="001E25FA" w:rsidRPr="0038459B" w:rsidRDefault="001E25FA" w:rsidP="001E25FA">
      <w:pPr>
        <w:spacing w:line="480" w:lineRule="auto"/>
      </w:pPr>
    </w:p>
    <w:p w:rsidR="001E25FA" w:rsidRPr="0038459B" w:rsidRDefault="001E25FA" w:rsidP="001E25FA">
      <w:pPr>
        <w:spacing w:line="480" w:lineRule="auto"/>
      </w:pPr>
      <w:r w:rsidRPr="0038459B">
        <w:t>Table 2 shows the participants mean score (</w:t>
      </w:r>
      <w:r w:rsidRPr="0038459B">
        <w:rPr>
          <w:i/>
        </w:rPr>
        <w:t xml:space="preserve">M </w:t>
      </w:r>
      <w:r w:rsidRPr="0038459B">
        <w:t>= 6.33) for MP, in a task with a maximum achievable score of 10.  The participants reported a mean score (</w:t>
      </w:r>
      <w:r w:rsidRPr="0038459B">
        <w:rPr>
          <w:i/>
        </w:rPr>
        <w:t xml:space="preserve">M </w:t>
      </w:r>
      <w:r w:rsidRPr="0038459B">
        <w:t xml:space="preserve">= 26.02) for MA, from a MA scale in which scores range from nine to 45.  Scores below 22 will be classified as low MA and scores above 21 will be classified as reporting a high level of MA for further statistical analysis.    </w:t>
      </w:r>
    </w:p>
    <w:p w:rsidR="001E25FA" w:rsidRPr="0038459B" w:rsidRDefault="001E25FA" w:rsidP="001E25FA">
      <w:pPr>
        <w:spacing w:line="480" w:lineRule="auto"/>
      </w:pPr>
    </w:p>
    <w:p w:rsidR="001E25FA" w:rsidRPr="0038459B" w:rsidRDefault="001E25FA" w:rsidP="001E25FA">
      <w:pPr>
        <w:spacing w:line="480" w:lineRule="auto"/>
      </w:pPr>
      <w:r w:rsidRPr="0038459B">
        <w:tab/>
        <w:t>The study included four independent variables: ATM, teaching experiences, WM-capacity, and age.  To determine which independent variable predicts the dependent variables.  Two multiple regressions were performed using the enter model to determine the best predictor variables.  The predictor variables were coded forming two groups, as described in the method section.  Table 3 displays the coefficients of the predictor variables for the criterion variable MA.</w:t>
      </w:r>
    </w:p>
    <w:p w:rsidR="001E25FA" w:rsidRPr="0038459B" w:rsidRDefault="001E25FA" w:rsidP="001E25FA">
      <w:pPr>
        <w:spacing w:line="480" w:lineRule="auto"/>
      </w:pPr>
    </w:p>
    <w:p w:rsidR="001E25FA" w:rsidRPr="0038459B" w:rsidRDefault="001E25FA" w:rsidP="001E25FA">
      <w:pPr>
        <w:spacing w:line="480" w:lineRule="auto"/>
      </w:pPr>
      <w:r w:rsidRPr="0038459B">
        <w:t>Table 3</w:t>
      </w:r>
    </w:p>
    <w:p w:rsidR="001E25FA" w:rsidRPr="0038459B" w:rsidRDefault="001E25FA" w:rsidP="001E25FA">
      <w:pPr>
        <w:spacing w:line="480" w:lineRule="auto"/>
        <w:rPr>
          <w:i/>
        </w:rPr>
      </w:pPr>
      <w:r w:rsidRPr="0038459B">
        <w:rPr>
          <w:i/>
        </w:rPr>
        <w:t>The coefficients of the four predictor variables for maths anxiety</w:t>
      </w:r>
    </w:p>
    <w:tbl>
      <w:tblPr>
        <w:tblStyle w:val="TableGrid"/>
        <w:tblW w:w="0" w:type="auto"/>
        <w:tblLook w:val="04A0" w:firstRow="1" w:lastRow="0" w:firstColumn="1" w:lastColumn="0" w:noHBand="0" w:noVBand="1"/>
      </w:tblPr>
      <w:tblGrid>
        <w:gridCol w:w="3261"/>
        <w:gridCol w:w="1417"/>
        <w:gridCol w:w="1559"/>
        <w:gridCol w:w="1418"/>
        <w:gridCol w:w="1355"/>
      </w:tblGrid>
      <w:tr w:rsidR="001E25FA" w:rsidRPr="0038459B" w:rsidTr="0085216A">
        <w:tc>
          <w:tcPr>
            <w:tcW w:w="3261"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 xml:space="preserve">   Potential Predictor Variables</w:t>
            </w:r>
          </w:p>
        </w:tc>
        <w:tc>
          <w:tcPr>
            <w:tcW w:w="1417"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B</w:t>
            </w:r>
          </w:p>
        </w:tc>
        <w:tc>
          <w:tcPr>
            <w:tcW w:w="1559"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SE B</w:t>
            </w:r>
          </w:p>
        </w:tc>
        <w:tc>
          <w:tcPr>
            <w:tcW w:w="1418"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ß</w:t>
            </w:r>
          </w:p>
        </w:tc>
        <w:tc>
          <w:tcPr>
            <w:tcW w:w="1355"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p</w:t>
            </w:r>
          </w:p>
        </w:tc>
      </w:tr>
      <w:tr w:rsidR="001E25FA" w:rsidRPr="0038459B" w:rsidTr="0085216A">
        <w:tc>
          <w:tcPr>
            <w:tcW w:w="3261"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Attitude Towards Maths</w:t>
            </w:r>
          </w:p>
        </w:tc>
        <w:tc>
          <w:tcPr>
            <w:tcW w:w="1417"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2.300</w:t>
            </w:r>
          </w:p>
        </w:tc>
        <w:tc>
          <w:tcPr>
            <w:tcW w:w="1559"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.716</w:t>
            </w:r>
          </w:p>
        </w:tc>
        <w:tc>
          <w:tcPr>
            <w:tcW w:w="1418"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.275</w:t>
            </w:r>
          </w:p>
        </w:tc>
        <w:tc>
          <w:tcPr>
            <w:tcW w:w="1355"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.002</w:t>
            </w:r>
          </w:p>
        </w:tc>
      </w:tr>
      <w:tr w:rsidR="001E25FA" w:rsidRPr="0038459B" w:rsidTr="0085216A">
        <w:tc>
          <w:tcPr>
            <w:tcW w:w="3261"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WM-capacity</w:t>
            </w:r>
          </w:p>
        </w:tc>
        <w:tc>
          <w:tcPr>
            <w:tcW w:w="141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-.685</w:t>
            </w:r>
          </w:p>
        </w:tc>
        <w:tc>
          <w:tcPr>
            <w:tcW w:w="1559"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.160</w:t>
            </w:r>
          </w:p>
        </w:tc>
        <w:tc>
          <w:tcPr>
            <w:tcW w:w="1418"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-.366</w:t>
            </w:r>
          </w:p>
        </w:tc>
        <w:tc>
          <w:tcPr>
            <w:tcW w:w="1355"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.000</w:t>
            </w:r>
          </w:p>
        </w:tc>
      </w:tr>
      <w:tr w:rsidR="001E25FA" w:rsidRPr="0038459B" w:rsidTr="0085216A">
        <w:tc>
          <w:tcPr>
            <w:tcW w:w="3261"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Teaching Experiences</w:t>
            </w:r>
          </w:p>
        </w:tc>
        <w:tc>
          <w:tcPr>
            <w:tcW w:w="141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1.404</w:t>
            </w:r>
          </w:p>
        </w:tc>
        <w:tc>
          <w:tcPr>
            <w:tcW w:w="1559"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.716</w:t>
            </w:r>
          </w:p>
        </w:tc>
        <w:tc>
          <w:tcPr>
            <w:tcW w:w="1418"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.169</w:t>
            </w:r>
          </w:p>
        </w:tc>
        <w:tc>
          <w:tcPr>
            <w:tcW w:w="1355"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.052</w:t>
            </w:r>
          </w:p>
        </w:tc>
      </w:tr>
      <w:tr w:rsidR="001E25FA" w:rsidRPr="0038459B" w:rsidTr="0085216A">
        <w:tc>
          <w:tcPr>
            <w:tcW w:w="3261"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 xml:space="preserve">   Age</w:t>
            </w:r>
          </w:p>
        </w:tc>
        <w:tc>
          <w:tcPr>
            <w:tcW w:w="1417"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 xml:space="preserve">  .257</w:t>
            </w:r>
          </w:p>
        </w:tc>
        <w:tc>
          <w:tcPr>
            <w:tcW w:w="1559"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.711</w:t>
            </w:r>
          </w:p>
        </w:tc>
        <w:tc>
          <w:tcPr>
            <w:tcW w:w="1418"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 xml:space="preserve"> .031</w:t>
            </w:r>
          </w:p>
        </w:tc>
        <w:tc>
          <w:tcPr>
            <w:tcW w:w="1355"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.718</w:t>
            </w:r>
          </w:p>
        </w:tc>
      </w:tr>
    </w:tbl>
    <w:p w:rsidR="001E25FA" w:rsidRPr="0038459B" w:rsidRDefault="001E25FA" w:rsidP="001E25FA">
      <w:pPr>
        <w:spacing w:line="480" w:lineRule="auto"/>
      </w:pPr>
    </w:p>
    <w:p w:rsidR="001E25FA" w:rsidRPr="0038459B" w:rsidRDefault="001E25FA" w:rsidP="001E25FA">
      <w:pPr>
        <w:spacing w:line="480" w:lineRule="auto"/>
      </w:pPr>
      <w:r w:rsidRPr="0038459B">
        <w:t>The beta values in Table 3 indicate that ATM</w:t>
      </w:r>
      <w:r w:rsidRPr="0038459B">
        <w:rPr>
          <w:i/>
        </w:rPr>
        <w:t xml:space="preserve"> </w:t>
      </w:r>
      <w:r w:rsidRPr="0038459B">
        <w:t>(</w:t>
      </w:r>
      <w:r w:rsidRPr="0038459B">
        <w:rPr>
          <w:i/>
        </w:rPr>
        <w:t xml:space="preserve">ß </w:t>
      </w:r>
      <w:r w:rsidRPr="0038459B">
        <w:t>= .275), and WM-capacity (</w:t>
      </w:r>
      <w:r w:rsidRPr="0038459B">
        <w:rPr>
          <w:i/>
        </w:rPr>
        <w:t xml:space="preserve">ß </w:t>
      </w:r>
      <w:r w:rsidRPr="0038459B">
        <w:t>= -.366) are the strongest predictors of MA in this model.  In comparison to age (</w:t>
      </w:r>
      <w:r w:rsidRPr="0038459B">
        <w:rPr>
          <w:i/>
        </w:rPr>
        <w:t>ß = .</w:t>
      </w:r>
      <w:r w:rsidRPr="0038459B">
        <w:t>031) and teaching experiences (</w:t>
      </w:r>
      <w:r w:rsidRPr="0038459B">
        <w:rPr>
          <w:i/>
        </w:rPr>
        <w:t>ß = -</w:t>
      </w:r>
      <w:r w:rsidRPr="0038459B">
        <w:t xml:space="preserve"> .169) that were found to be nonsignificant predictors and were rejected for further analysis to the criterion variable.  The analysis suggests for an increase of one point on the MA scale will elicit a two-point increase on the ATM scale total score (</w:t>
      </w:r>
      <w:r w:rsidRPr="0038459B">
        <w:rPr>
          <w:i/>
        </w:rPr>
        <w:t xml:space="preserve">B </w:t>
      </w:r>
      <w:r w:rsidRPr="0038459B">
        <w:t>= 2.300) and approximately a half point decrease on the total score for WM-capacity test (</w:t>
      </w:r>
      <w:r w:rsidRPr="0038459B">
        <w:rPr>
          <w:i/>
        </w:rPr>
        <w:t>B = -</w:t>
      </w:r>
      <w:r w:rsidRPr="0038459B">
        <w:t>.685).  The multiple regression illustrated that ATM and the WM-capacity explain a significant variance in MA (</w:t>
      </w:r>
      <w:r w:rsidRPr="0038459B">
        <w:rPr>
          <w:i/>
        </w:rPr>
        <w:t xml:space="preserve">F </w:t>
      </w:r>
      <w:r w:rsidRPr="0038459B">
        <w:t xml:space="preserve">(4,103) = 8.650, </w:t>
      </w:r>
      <w:r w:rsidRPr="0038459B">
        <w:rPr>
          <w:i/>
        </w:rPr>
        <w:t xml:space="preserve">p </w:t>
      </w:r>
      <w:r w:rsidRPr="0038459B">
        <w:t>&lt; .05).  Moreover, the model explains 22% of the variance of MA (</w:t>
      </w:r>
      <w:r w:rsidRPr="0038459B">
        <w:rPr>
          <w:i/>
        </w:rPr>
        <w:t>Adjusted R</w:t>
      </w:r>
      <w:r w:rsidRPr="0038459B">
        <w:rPr>
          <w:i/>
          <w:vertAlign w:val="superscript"/>
        </w:rPr>
        <w:t xml:space="preserve">2 </w:t>
      </w:r>
      <w:r w:rsidRPr="0038459B">
        <w:t xml:space="preserve">= .222), which is a small effect size (Cohen, 1988).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same statistical process was conducted on MP, the second criterion variable of the study, to find the best predictor variables from the four independent variables: ATM, WM-capacity, teaching experiences, and age.  The coefficients of the predictor variables for the criterion variable MA are presented in Table 4. </w:t>
      </w:r>
    </w:p>
    <w:p w:rsidR="001E25FA" w:rsidRPr="0038459B" w:rsidRDefault="001E25FA" w:rsidP="001E25FA">
      <w:pPr>
        <w:spacing w:line="480" w:lineRule="auto"/>
      </w:pPr>
    </w:p>
    <w:p w:rsidR="001E25FA" w:rsidRPr="0038459B" w:rsidRDefault="001E25FA" w:rsidP="001E25FA">
      <w:pPr>
        <w:spacing w:line="480" w:lineRule="auto"/>
      </w:pPr>
      <w:r w:rsidRPr="0038459B">
        <w:t>Table 4</w:t>
      </w:r>
    </w:p>
    <w:p w:rsidR="001E25FA" w:rsidRPr="0038459B" w:rsidRDefault="001E25FA" w:rsidP="001E25FA">
      <w:pPr>
        <w:spacing w:line="480" w:lineRule="auto"/>
        <w:rPr>
          <w:i/>
        </w:rPr>
      </w:pPr>
      <w:r w:rsidRPr="0038459B">
        <w:rPr>
          <w:i/>
        </w:rPr>
        <w:lastRenderedPageBreak/>
        <w:t xml:space="preserve">The coefficients of the four predictor variables for maths performance </w:t>
      </w:r>
    </w:p>
    <w:tbl>
      <w:tblPr>
        <w:tblStyle w:val="TableGrid"/>
        <w:tblW w:w="0" w:type="auto"/>
        <w:tblLook w:val="04A0" w:firstRow="1" w:lastRow="0" w:firstColumn="1" w:lastColumn="0" w:noHBand="0" w:noVBand="1"/>
      </w:tblPr>
      <w:tblGrid>
        <w:gridCol w:w="3261"/>
        <w:gridCol w:w="1417"/>
        <w:gridCol w:w="1559"/>
        <w:gridCol w:w="1418"/>
        <w:gridCol w:w="1276"/>
      </w:tblGrid>
      <w:tr w:rsidR="001E25FA" w:rsidRPr="0038459B" w:rsidTr="0085216A">
        <w:tc>
          <w:tcPr>
            <w:tcW w:w="3261"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 xml:space="preserve">   Potential Predictor Variables</w:t>
            </w:r>
          </w:p>
        </w:tc>
        <w:tc>
          <w:tcPr>
            <w:tcW w:w="1417"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B</w:t>
            </w:r>
          </w:p>
        </w:tc>
        <w:tc>
          <w:tcPr>
            <w:tcW w:w="1559"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SE B</w:t>
            </w:r>
          </w:p>
        </w:tc>
        <w:tc>
          <w:tcPr>
            <w:tcW w:w="1418"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ß</w:t>
            </w:r>
          </w:p>
        </w:tc>
        <w:tc>
          <w:tcPr>
            <w:tcW w:w="1276" w:type="dxa"/>
            <w:tcBorders>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p</w:t>
            </w:r>
          </w:p>
        </w:tc>
      </w:tr>
      <w:tr w:rsidR="001E25FA" w:rsidRPr="0038459B" w:rsidTr="0085216A">
        <w:tc>
          <w:tcPr>
            <w:tcW w:w="3261"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Attitude towards maths</w:t>
            </w:r>
          </w:p>
        </w:tc>
        <w:tc>
          <w:tcPr>
            <w:tcW w:w="1417"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.049</w:t>
            </w:r>
          </w:p>
        </w:tc>
        <w:tc>
          <w:tcPr>
            <w:tcW w:w="1559"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.147</w:t>
            </w:r>
          </w:p>
        </w:tc>
        <w:tc>
          <w:tcPr>
            <w:tcW w:w="1418"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.028</w:t>
            </w:r>
          </w:p>
        </w:tc>
        <w:tc>
          <w:tcPr>
            <w:tcW w:w="1276"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.546</w:t>
            </w:r>
          </w:p>
        </w:tc>
      </w:tr>
      <w:tr w:rsidR="001E25FA" w:rsidRPr="0038459B" w:rsidTr="0085216A">
        <w:tc>
          <w:tcPr>
            <w:tcW w:w="3261"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WM-capacity</w:t>
            </w:r>
          </w:p>
        </w:tc>
        <w:tc>
          <w:tcPr>
            <w:tcW w:w="141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.185</w:t>
            </w:r>
          </w:p>
        </w:tc>
        <w:tc>
          <w:tcPr>
            <w:tcW w:w="1559"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.033</w:t>
            </w:r>
          </w:p>
        </w:tc>
        <w:tc>
          <w:tcPr>
            <w:tcW w:w="1418"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.469</w:t>
            </w:r>
          </w:p>
        </w:tc>
        <w:tc>
          <w:tcPr>
            <w:tcW w:w="1276"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.000</w:t>
            </w:r>
          </w:p>
        </w:tc>
      </w:tr>
      <w:tr w:rsidR="001E25FA" w:rsidRPr="0038459B" w:rsidTr="0085216A">
        <w:tc>
          <w:tcPr>
            <w:tcW w:w="3261"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 xml:space="preserve">   Teaching experiences</w:t>
            </w:r>
          </w:p>
        </w:tc>
        <w:tc>
          <w:tcPr>
            <w:tcW w:w="1417"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-.421</w:t>
            </w:r>
          </w:p>
        </w:tc>
        <w:tc>
          <w:tcPr>
            <w:tcW w:w="1559"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.147</w:t>
            </w:r>
          </w:p>
        </w:tc>
        <w:tc>
          <w:tcPr>
            <w:tcW w:w="1418"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-.240</w:t>
            </w:r>
          </w:p>
        </w:tc>
        <w:tc>
          <w:tcPr>
            <w:tcW w:w="1276" w:type="dxa"/>
            <w:tcBorders>
              <w:top w:val="nil"/>
              <w:left w:val="nil"/>
              <w:bottom w:val="nil"/>
              <w:right w:val="nil"/>
            </w:tcBorders>
          </w:tcPr>
          <w:p w:rsidR="001E25FA" w:rsidRPr="001E25FA" w:rsidRDefault="001E25FA" w:rsidP="0085216A">
            <w:pPr>
              <w:spacing w:line="480" w:lineRule="auto"/>
              <w:rPr>
                <w:b w:val="0"/>
                <w:lang w:eastAsia="en-US"/>
              </w:rPr>
            </w:pPr>
            <w:r w:rsidRPr="001E25FA">
              <w:rPr>
                <w:b w:val="0"/>
                <w:lang w:eastAsia="en-US"/>
              </w:rPr>
              <w:t>.005</w:t>
            </w:r>
          </w:p>
        </w:tc>
      </w:tr>
      <w:tr w:rsidR="001E25FA" w:rsidRPr="0038459B" w:rsidTr="0085216A">
        <w:tc>
          <w:tcPr>
            <w:tcW w:w="3261"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 xml:space="preserve">   Age</w:t>
            </w:r>
          </w:p>
        </w:tc>
        <w:tc>
          <w:tcPr>
            <w:tcW w:w="1417"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 xml:space="preserve"> .089</w:t>
            </w:r>
          </w:p>
        </w:tc>
        <w:tc>
          <w:tcPr>
            <w:tcW w:w="1559"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.146</w:t>
            </w:r>
          </w:p>
        </w:tc>
        <w:tc>
          <w:tcPr>
            <w:tcW w:w="1418"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 xml:space="preserve"> .051</w:t>
            </w:r>
          </w:p>
        </w:tc>
        <w:tc>
          <w:tcPr>
            <w:tcW w:w="1276" w:type="dxa"/>
            <w:tcBorders>
              <w:top w:val="nil"/>
              <w:left w:val="nil"/>
              <w:right w:val="nil"/>
            </w:tcBorders>
          </w:tcPr>
          <w:p w:rsidR="001E25FA" w:rsidRPr="001E25FA" w:rsidRDefault="001E25FA" w:rsidP="0085216A">
            <w:pPr>
              <w:spacing w:line="480" w:lineRule="auto"/>
              <w:rPr>
                <w:b w:val="0"/>
                <w:lang w:eastAsia="en-US"/>
              </w:rPr>
            </w:pPr>
            <w:r w:rsidRPr="001E25FA">
              <w:rPr>
                <w:b w:val="0"/>
                <w:lang w:eastAsia="en-US"/>
              </w:rPr>
              <w:t>.741</w:t>
            </w:r>
          </w:p>
        </w:tc>
      </w:tr>
    </w:tbl>
    <w:p w:rsidR="001E25FA" w:rsidRPr="0038459B" w:rsidRDefault="001E25FA" w:rsidP="001E25FA">
      <w:pPr>
        <w:spacing w:line="480" w:lineRule="auto"/>
      </w:pPr>
    </w:p>
    <w:p w:rsidR="001E25FA" w:rsidRPr="0038459B" w:rsidRDefault="001E25FA" w:rsidP="001E25FA">
      <w:pPr>
        <w:spacing w:line="480" w:lineRule="auto"/>
      </w:pPr>
      <w:r w:rsidRPr="0038459B">
        <w:t>The beta values in Table 4 show WM-capacity</w:t>
      </w:r>
      <w:r w:rsidRPr="0038459B">
        <w:rPr>
          <w:i/>
        </w:rPr>
        <w:t xml:space="preserve"> </w:t>
      </w:r>
      <w:r w:rsidRPr="0038459B">
        <w:t>(</w:t>
      </w:r>
      <w:r w:rsidRPr="0038459B">
        <w:rPr>
          <w:i/>
        </w:rPr>
        <w:t xml:space="preserve">ß </w:t>
      </w:r>
      <w:r w:rsidRPr="0038459B">
        <w:t>= .469), and MA teaching experiences (</w:t>
      </w:r>
      <w:r w:rsidRPr="0038459B">
        <w:rPr>
          <w:i/>
        </w:rPr>
        <w:t xml:space="preserve">ß </w:t>
      </w:r>
      <w:r w:rsidRPr="0038459B">
        <w:t>= -.240) are the strongest predictors variables for MP.  As age (</w:t>
      </w:r>
      <w:r w:rsidRPr="0038459B">
        <w:rPr>
          <w:i/>
        </w:rPr>
        <w:t xml:space="preserve">ß </w:t>
      </w:r>
      <w:r w:rsidRPr="0038459B">
        <w:t>= -.051) and ATM (</w:t>
      </w:r>
      <w:r w:rsidRPr="0038459B">
        <w:rPr>
          <w:i/>
        </w:rPr>
        <w:t xml:space="preserve">ß </w:t>
      </w:r>
      <w:r w:rsidRPr="0038459B">
        <w:t>= .028) were found to be nonsignificant and will be rejected as predictor variables from further analysis to the criterion variable.  The statistical analysis suggests, if a participant’s MP total score was to increase of one point, it will improve the total score on the WM-capacity task (</w:t>
      </w:r>
      <w:r w:rsidRPr="0038459B">
        <w:rPr>
          <w:i/>
        </w:rPr>
        <w:t xml:space="preserve">B </w:t>
      </w:r>
      <w:r w:rsidRPr="0038459B">
        <w:t>= .185) and decrease the total score for teaching experiences in the direction of good experiences (</w:t>
      </w:r>
      <w:r w:rsidRPr="0038459B">
        <w:rPr>
          <w:i/>
        </w:rPr>
        <w:t>B = -</w:t>
      </w:r>
      <w:r w:rsidRPr="0038459B">
        <w:t>.421).  The multiple regression illustrated that WM-capacity and teaching experiences explain significant variance in MP (</w:t>
      </w:r>
      <w:r w:rsidRPr="0038459B">
        <w:rPr>
          <w:i/>
        </w:rPr>
        <w:t xml:space="preserve">F </w:t>
      </w:r>
      <w:r w:rsidRPr="0038459B">
        <w:t xml:space="preserve">(4,103) = 10.320, </w:t>
      </w:r>
      <w:r w:rsidRPr="0038459B">
        <w:rPr>
          <w:i/>
        </w:rPr>
        <w:t xml:space="preserve">p </w:t>
      </w:r>
      <w:r w:rsidRPr="0038459B">
        <w:t>&lt; .05).  The model explains 25% of the variance of MP (</w:t>
      </w:r>
      <w:r w:rsidRPr="0038459B">
        <w:rPr>
          <w:i/>
        </w:rPr>
        <w:t>Adjusted R</w:t>
      </w:r>
      <w:r w:rsidRPr="0038459B">
        <w:rPr>
          <w:i/>
          <w:vertAlign w:val="superscript"/>
        </w:rPr>
        <w:t xml:space="preserve">2 </w:t>
      </w:r>
      <w:r w:rsidRPr="0038459B">
        <w:t>= .258), which is a small effect size (Cohen, 1988).</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Two significant predictor variables were identified by the multiple regression for MA: WM-capacity and ATM, and further statistical analysis was performed to look for significant differences in MA.  To determine whether retaining different levels of WM-capacity and ATM may impact the level MA reported, and as the analysis included one dependent variable scores by two independent groups, a two-way independent ANOVA was selected to provide inferential statistics.  The two-way 2(levels of WM-capacity: low and high) x 2(levels of ATM: positive and negative) independent measures ANOVA was conducted on the </w:t>
      </w:r>
      <w:r w:rsidRPr="0038459B">
        <w:lastRenderedPageBreak/>
        <w:t>participants MA scores.  Table 5 shows the means and standard deviations for the main and interaction effects for ATM and WM-capacity.</w:t>
      </w:r>
    </w:p>
    <w:p w:rsidR="001E25FA" w:rsidRPr="0038459B" w:rsidRDefault="001E25FA" w:rsidP="001E25FA">
      <w:pPr>
        <w:spacing w:line="480" w:lineRule="auto"/>
      </w:pPr>
    </w:p>
    <w:p w:rsidR="001E25FA" w:rsidRPr="0038459B" w:rsidRDefault="001E25FA" w:rsidP="001E25FA">
      <w:pPr>
        <w:spacing w:line="480" w:lineRule="auto"/>
      </w:pPr>
      <w:r w:rsidRPr="0038459B">
        <w:t>Table 5</w:t>
      </w:r>
    </w:p>
    <w:p w:rsidR="001E25FA" w:rsidRPr="0038459B" w:rsidRDefault="001E25FA" w:rsidP="001E25FA">
      <w:pPr>
        <w:spacing w:line="480" w:lineRule="auto"/>
        <w:rPr>
          <w:i/>
        </w:rPr>
      </w:pPr>
      <w:r w:rsidRPr="0038459B">
        <w:rPr>
          <w:i/>
        </w:rPr>
        <w:t>The</w:t>
      </w:r>
      <w:r w:rsidRPr="0038459B">
        <w:t xml:space="preserve"> </w:t>
      </w:r>
      <w:r w:rsidRPr="0038459B">
        <w:rPr>
          <w:i/>
        </w:rPr>
        <w:t>mean differences and standard deviations for the main and interaction effects on MA by WM-capacity, and attitude towards maths</w:t>
      </w:r>
    </w:p>
    <w:tbl>
      <w:tblPr>
        <w:tblStyle w:val="TableGrid"/>
        <w:tblW w:w="87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4"/>
        <w:gridCol w:w="2835"/>
        <w:gridCol w:w="2551"/>
        <w:gridCol w:w="1701"/>
        <w:gridCol w:w="1134"/>
        <w:gridCol w:w="283"/>
      </w:tblGrid>
      <w:tr w:rsidR="001E25FA" w:rsidRPr="0038459B" w:rsidTr="0085216A">
        <w:tc>
          <w:tcPr>
            <w:tcW w:w="284" w:type="dxa"/>
            <w:tcBorders>
              <w:top w:val="single" w:sz="4" w:space="0" w:color="auto"/>
              <w:bottom w:val="single" w:sz="4" w:space="0" w:color="auto"/>
            </w:tcBorders>
          </w:tcPr>
          <w:p w:rsidR="001E25FA" w:rsidRPr="001E25FA" w:rsidRDefault="001E25FA" w:rsidP="0085216A">
            <w:pPr>
              <w:spacing w:line="480" w:lineRule="auto"/>
              <w:rPr>
                <w:b w:val="0"/>
                <w:lang w:eastAsia="en-US"/>
              </w:rPr>
            </w:pPr>
          </w:p>
        </w:tc>
        <w:tc>
          <w:tcPr>
            <w:tcW w:w="2835" w:type="dxa"/>
            <w:tcBorders>
              <w:top w:val="single" w:sz="4" w:space="0" w:color="auto"/>
              <w:bottom w:val="single" w:sz="4" w:space="0" w:color="auto"/>
            </w:tcBorders>
            <w:vAlign w:val="center"/>
          </w:tcPr>
          <w:p w:rsidR="001E25FA" w:rsidRPr="001E25FA" w:rsidRDefault="001E25FA" w:rsidP="0085216A">
            <w:pPr>
              <w:spacing w:line="480" w:lineRule="auto"/>
              <w:rPr>
                <w:b w:val="0"/>
                <w:i/>
                <w:lang w:eastAsia="en-US"/>
              </w:rPr>
            </w:pPr>
            <w:r w:rsidRPr="001E25FA">
              <w:rPr>
                <w:b w:val="0"/>
                <w:lang w:eastAsia="en-US"/>
              </w:rPr>
              <w:t>WM-capacity</w:t>
            </w:r>
          </w:p>
        </w:tc>
        <w:tc>
          <w:tcPr>
            <w:tcW w:w="2551" w:type="dxa"/>
            <w:tcBorders>
              <w:top w:val="single" w:sz="4" w:space="0" w:color="auto"/>
              <w:left w:val="nil"/>
              <w:bottom w:val="single" w:sz="4" w:space="0" w:color="auto"/>
            </w:tcBorders>
          </w:tcPr>
          <w:p w:rsidR="001E25FA" w:rsidRPr="001E25FA" w:rsidRDefault="001E25FA" w:rsidP="0085216A">
            <w:pPr>
              <w:spacing w:line="480" w:lineRule="auto"/>
              <w:rPr>
                <w:b w:val="0"/>
                <w:lang w:eastAsia="en-US"/>
              </w:rPr>
            </w:pPr>
            <w:r w:rsidRPr="001E25FA">
              <w:rPr>
                <w:b w:val="0"/>
                <w:lang w:eastAsia="en-US"/>
              </w:rPr>
              <w:t>Attitude towards maths</w:t>
            </w:r>
          </w:p>
        </w:tc>
        <w:tc>
          <w:tcPr>
            <w:tcW w:w="1701" w:type="dxa"/>
            <w:tcBorders>
              <w:top w:val="single" w:sz="4" w:space="0" w:color="auto"/>
              <w:left w:val="nil"/>
              <w:bottom w:val="single" w:sz="4" w:space="0" w:color="auto"/>
            </w:tcBorders>
            <w:vAlign w:val="center"/>
          </w:tcPr>
          <w:p w:rsidR="001E25FA" w:rsidRPr="001E25FA" w:rsidRDefault="001E25FA" w:rsidP="0085216A">
            <w:pPr>
              <w:spacing w:line="480" w:lineRule="auto"/>
              <w:rPr>
                <w:b w:val="0"/>
                <w:i/>
                <w:lang w:eastAsia="en-US"/>
              </w:rPr>
            </w:pPr>
            <w:r w:rsidRPr="001E25FA">
              <w:rPr>
                <w:b w:val="0"/>
                <w:i/>
                <w:lang w:eastAsia="en-US"/>
              </w:rPr>
              <w:t>M</w:t>
            </w:r>
          </w:p>
        </w:tc>
        <w:tc>
          <w:tcPr>
            <w:tcW w:w="1134" w:type="dxa"/>
            <w:tcBorders>
              <w:top w:val="single" w:sz="4" w:space="0" w:color="auto"/>
              <w:bottom w:val="single" w:sz="4" w:space="0" w:color="auto"/>
            </w:tcBorders>
            <w:vAlign w:val="center"/>
          </w:tcPr>
          <w:p w:rsidR="001E25FA" w:rsidRPr="001E25FA" w:rsidRDefault="001E25FA" w:rsidP="0085216A">
            <w:pPr>
              <w:spacing w:line="480" w:lineRule="auto"/>
              <w:rPr>
                <w:b w:val="0"/>
                <w:i/>
                <w:lang w:eastAsia="en-US"/>
              </w:rPr>
            </w:pPr>
            <w:r w:rsidRPr="001E25FA">
              <w:rPr>
                <w:b w:val="0"/>
                <w:i/>
                <w:lang w:eastAsia="en-US"/>
              </w:rPr>
              <w:t>SD</w:t>
            </w:r>
          </w:p>
        </w:tc>
        <w:tc>
          <w:tcPr>
            <w:tcW w:w="283" w:type="dxa"/>
            <w:tcBorders>
              <w:top w:val="single" w:sz="4" w:space="0" w:color="auto"/>
              <w:bottom w:val="single" w:sz="4" w:space="0" w:color="auto"/>
            </w:tcBorders>
          </w:tcPr>
          <w:p w:rsidR="001E25FA" w:rsidRPr="001E25FA" w:rsidRDefault="001E25FA" w:rsidP="0085216A">
            <w:pPr>
              <w:spacing w:line="480" w:lineRule="auto"/>
              <w:rPr>
                <w:b w:val="0"/>
                <w:i/>
                <w:lang w:eastAsia="en-US"/>
              </w:rPr>
            </w:pPr>
          </w:p>
        </w:tc>
      </w:tr>
      <w:tr w:rsidR="001E25FA" w:rsidRPr="0038459B" w:rsidTr="0085216A">
        <w:tc>
          <w:tcPr>
            <w:tcW w:w="284" w:type="dxa"/>
            <w:tcBorders>
              <w:top w:val="single" w:sz="4" w:space="0" w:color="auto"/>
            </w:tcBorders>
          </w:tcPr>
          <w:p w:rsidR="001E25FA" w:rsidRPr="001E25FA" w:rsidRDefault="001E25FA" w:rsidP="0085216A">
            <w:pPr>
              <w:spacing w:line="480" w:lineRule="auto"/>
              <w:rPr>
                <w:b w:val="0"/>
                <w:lang w:eastAsia="en-US"/>
              </w:rPr>
            </w:pPr>
          </w:p>
        </w:tc>
        <w:tc>
          <w:tcPr>
            <w:tcW w:w="2835" w:type="dxa"/>
            <w:tcBorders>
              <w:top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Low WM-capacity</w:t>
            </w:r>
          </w:p>
        </w:tc>
        <w:tc>
          <w:tcPr>
            <w:tcW w:w="2551" w:type="dxa"/>
            <w:tcBorders>
              <w:top w:val="single" w:sz="4" w:space="0" w:color="auto"/>
            </w:tcBorders>
          </w:tcPr>
          <w:p w:rsidR="001E25FA" w:rsidRPr="001E25FA" w:rsidRDefault="001E25FA" w:rsidP="0085216A">
            <w:pPr>
              <w:spacing w:line="480" w:lineRule="auto"/>
              <w:rPr>
                <w:b w:val="0"/>
                <w:lang w:eastAsia="en-US"/>
              </w:rPr>
            </w:pPr>
            <w:r w:rsidRPr="001E25FA">
              <w:rPr>
                <w:b w:val="0"/>
                <w:lang w:eastAsia="en-US"/>
              </w:rPr>
              <w:t>Positive</w:t>
            </w:r>
          </w:p>
        </w:tc>
        <w:tc>
          <w:tcPr>
            <w:tcW w:w="1701" w:type="dxa"/>
            <w:tcBorders>
              <w:top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26.27</w:t>
            </w:r>
          </w:p>
        </w:tc>
        <w:tc>
          <w:tcPr>
            <w:tcW w:w="1134" w:type="dxa"/>
            <w:tcBorders>
              <w:top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6.92</w:t>
            </w:r>
          </w:p>
        </w:tc>
        <w:tc>
          <w:tcPr>
            <w:tcW w:w="283" w:type="dxa"/>
            <w:tcBorders>
              <w:top w:val="single" w:sz="4" w:space="0" w:color="auto"/>
            </w:tcBorders>
          </w:tcPr>
          <w:p w:rsidR="001E25FA" w:rsidRPr="001E25FA" w:rsidRDefault="001E25FA" w:rsidP="0085216A">
            <w:pPr>
              <w:spacing w:line="480" w:lineRule="auto"/>
              <w:rPr>
                <w:b w:val="0"/>
                <w:lang w:eastAsia="en-US"/>
              </w:rPr>
            </w:pPr>
          </w:p>
        </w:tc>
      </w:tr>
      <w:tr w:rsidR="001E25FA" w:rsidRPr="0038459B" w:rsidTr="0085216A">
        <w:tc>
          <w:tcPr>
            <w:tcW w:w="284" w:type="dxa"/>
          </w:tcPr>
          <w:p w:rsidR="001E25FA" w:rsidRPr="001E25FA" w:rsidRDefault="001E25FA" w:rsidP="0085216A">
            <w:pPr>
              <w:spacing w:line="480" w:lineRule="auto"/>
              <w:rPr>
                <w:b w:val="0"/>
                <w:lang w:eastAsia="en-US"/>
              </w:rPr>
            </w:pPr>
          </w:p>
        </w:tc>
        <w:tc>
          <w:tcPr>
            <w:tcW w:w="2835" w:type="dxa"/>
            <w:vAlign w:val="center"/>
          </w:tcPr>
          <w:p w:rsidR="001E25FA" w:rsidRPr="001E25FA" w:rsidRDefault="001E25FA" w:rsidP="0085216A">
            <w:pPr>
              <w:spacing w:line="480" w:lineRule="auto"/>
              <w:rPr>
                <w:b w:val="0"/>
                <w:lang w:eastAsia="en-US"/>
              </w:rPr>
            </w:pPr>
          </w:p>
        </w:tc>
        <w:tc>
          <w:tcPr>
            <w:tcW w:w="2551" w:type="dxa"/>
          </w:tcPr>
          <w:p w:rsidR="001E25FA" w:rsidRPr="001E25FA" w:rsidRDefault="001E25FA" w:rsidP="0085216A">
            <w:pPr>
              <w:spacing w:line="480" w:lineRule="auto"/>
              <w:rPr>
                <w:b w:val="0"/>
                <w:lang w:eastAsia="en-US"/>
              </w:rPr>
            </w:pPr>
            <w:r w:rsidRPr="001E25FA">
              <w:rPr>
                <w:b w:val="0"/>
                <w:lang w:eastAsia="en-US"/>
              </w:rPr>
              <w:t>Negative</w:t>
            </w:r>
          </w:p>
        </w:tc>
        <w:tc>
          <w:tcPr>
            <w:tcW w:w="1701" w:type="dxa"/>
            <w:vAlign w:val="center"/>
          </w:tcPr>
          <w:p w:rsidR="001E25FA" w:rsidRPr="001E25FA" w:rsidRDefault="001E25FA" w:rsidP="0085216A">
            <w:pPr>
              <w:spacing w:line="480" w:lineRule="auto"/>
              <w:rPr>
                <w:b w:val="0"/>
                <w:lang w:eastAsia="en-US"/>
              </w:rPr>
            </w:pPr>
            <w:r w:rsidRPr="001E25FA">
              <w:rPr>
                <w:b w:val="0"/>
                <w:lang w:eastAsia="en-US"/>
              </w:rPr>
              <w:t>30.76</w:t>
            </w:r>
          </w:p>
        </w:tc>
        <w:tc>
          <w:tcPr>
            <w:tcW w:w="1134" w:type="dxa"/>
            <w:vAlign w:val="center"/>
          </w:tcPr>
          <w:p w:rsidR="001E25FA" w:rsidRPr="001E25FA" w:rsidRDefault="001E25FA" w:rsidP="0085216A">
            <w:pPr>
              <w:spacing w:line="480" w:lineRule="auto"/>
              <w:rPr>
                <w:b w:val="0"/>
                <w:lang w:eastAsia="en-US"/>
              </w:rPr>
            </w:pPr>
            <w:r w:rsidRPr="001E25FA">
              <w:rPr>
                <w:b w:val="0"/>
                <w:lang w:eastAsia="en-US"/>
              </w:rPr>
              <w:t>8.91</w:t>
            </w:r>
          </w:p>
        </w:tc>
        <w:tc>
          <w:tcPr>
            <w:tcW w:w="283" w:type="dxa"/>
          </w:tcPr>
          <w:p w:rsidR="001E25FA" w:rsidRPr="001E25FA" w:rsidRDefault="001E25FA" w:rsidP="0085216A">
            <w:pPr>
              <w:spacing w:line="480" w:lineRule="auto"/>
              <w:rPr>
                <w:b w:val="0"/>
                <w:lang w:eastAsia="en-US"/>
              </w:rPr>
            </w:pPr>
          </w:p>
        </w:tc>
      </w:tr>
      <w:tr w:rsidR="001E25FA" w:rsidRPr="0038459B" w:rsidTr="0085216A">
        <w:tc>
          <w:tcPr>
            <w:tcW w:w="284" w:type="dxa"/>
          </w:tcPr>
          <w:p w:rsidR="001E25FA" w:rsidRPr="001E25FA" w:rsidRDefault="001E25FA" w:rsidP="0085216A">
            <w:pPr>
              <w:spacing w:line="480" w:lineRule="auto"/>
              <w:rPr>
                <w:b w:val="0"/>
                <w:lang w:eastAsia="en-US"/>
              </w:rPr>
            </w:pPr>
          </w:p>
        </w:tc>
        <w:tc>
          <w:tcPr>
            <w:tcW w:w="2835" w:type="dxa"/>
            <w:vAlign w:val="center"/>
          </w:tcPr>
          <w:p w:rsidR="001E25FA" w:rsidRPr="001E25FA" w:rsidRDefault="001E25FA" w:rsidP="0085216A">
            <w:pPr>
              <w:spacing w:line="480" w:lineRule="auto"/>
              <w:rPr>
                <w:b w:val="0"/>
                <w:lang w:eastAsia="en-US"/>
              </w:rPr>
            </w:pPr>
            <w:r w:rsidRPr="001E25FA">
              <w:rPr>
                <w:b w:val="0"/>
                <w:lang w:eastAsia="en-US"/>
              </w:rPr>
              <w:t>High WM-capacity</w:t>
            </w:r>
          </w:p>
        </w:tc>
        <w:tc>
          <w:tcPr>
            <w:tcW w:w="2551" w:type="dxa"/>
          </w:tcPr>
          <w:p w:rsidR="001E25FA" w:rsidRPr="001E25FA" w:rsidRDefault="001E25FA" w:rsidP="0085216A">
            <w:pPr>
              <w:spacing w:line="480" w:lineRule="auto"/>
              <w:rPr>
                <w:b w:val="0"/>
                <w:lang w:eastAsia="en-US"/>
              </w:rPr>
            </w:pPr>
            <w:r w:rsidRPr="001E25FA">
              <w:rPr>
                <w:b w:val="0"/>
                <w:lang w:eastAsia="en-US"/>
              </w:rPr>
              <w:t>Positive</w:t>
            </w:r>
          </w:p>
        </w:tc>
        <w:tc>
          <w:tcPr>
            <w:tcW w:w="1701" w:type="dxa"/>
            <w:vAlign w:val="center"/>
          </w:tcPr>
          <w:p w:rsidR="001E25FA" w:rsidRPr="001E25FA" w:rsidRDefault="001E25FA" w:rsidP="0085216A">
            <w:pPr>
              <w:spacing w:line="480" w:lineRule="auto"/>
              <w:rPr>
                <w:b w:val="0"/>
                <w:lang w:eastAsia="en-US"/>
              </w:rPr>
            </w:pPr>
            <w:r w:rsidRPr="001E25FA">
              <w:rPr>
                <w:b w:val="0"/>
                <w:lang w:eastAsia="en-US"/>
              </w:rPr>
              <w:t>19.48</w:t>
            </w:r>
          </w:p>
        </w:tc>
        <w:tc>
          <w:tcPr>
            <w:tcW w:w="1134" w:type="dxa"/>
            <w:vAlign w:val="center"/>
          </w:tcPr>
          <w:p w:rsidR="001E25FA" w:rsidRPr="001E25FA" w:rsidRDefault="001E25FA" w:rsidP="0085216A">
            <w:pPr>
              <w:spacing w:line="480" w:lineRule="auto"/>
              <w:rPr>
                <w:b w:val="0"/>
                <w:lang w:eastAsia="en-US"/>
              </w:rPr>
            </w:pPr>
            <w:r w:rsidRPr="001E25FA">
              <w:rPr>
                <w:b w:val="0"/>
                <w:lang w:eastAsia="en-US"/>
              </w:rPr>
              <w:t>6.31</w:t>
            </w:r>
          </w:p>
        </w:tc>
        <w:tc>
          <w:tcPr>
            <w:tcW w:w="283" w:type="dxa"/>
          </w:tcPr>
          <w:p w:rsidR="001E25FA" w:rsidRPr="001E25FA" w:rsidRDefault="001E25FA" w:rsidP="0085216A">
            <w:pPr>
              <w:spacing w:line="480" w:lineRule="auto"/>
              <w:rPr>
                <w:b w:val="0"/>
                <w:lang w:eastAsia="en-US"/>
              </w:rPr>
            </w:pPr>
          </w:p>
        </w:tc>
      </w:tr>
      <w:tr w:rsidR="001E25FA" w:rsidRPr="0038459B" w:rsidTr="0085216A">
        <w:tc>
          <w:tcPr>
            <w:tcW w:w="284" w:type="dxa"/>
            <w:tcBorders>
              <w:bottom w:val="single" w:sz="4" w:space="0" w:color="auto"/>
            </w:tcBorders>
          </w:tcPr>
          <w:p w:rsidR="001E25FA" w:rsidRPr="001E25FA" w:rsidRDefault="001E25FA" w:rsidP="0085216A">
            <w:pPr>
              <w:spacing w:line="480" w:lineRule="auto"/>
              <w:rPr>
                <w:b w:val="0"/>
                <w:lang w:eastAsia="en-US"/>
              </w:rPr>
            </w:pPr>
          </w:p>
        </w:tc>
        <w:tc>
          <w:tcPr>
            <w:tcW w:w="2835" w:type="dxa"/>
            <w:tcBorders>
              <w:bottom w:val="single" w:sz="4" w:space="0" w:color="auto"/>
            </w:tcBorders>
            <w:vAlign w:val="center"/>
          </w:tcPr>
          <w:p w:rsidR="001E25FA" w:rsidRPr="001E25FA" w:rsidRDefault="001E25FA" w:rsidP="0085216A">
            <w:pPr>
              <w:spacing w:line="480" w:lineRule="auto"/>
              <w:rPr>
                <w:b w:val="0"/>
                <w:lang w:eastAsia="en-US"/>
              </w:rPr>
            </w:pPr>
          </w:p>
        </w:tc>
        <w:tc>
          <w:tcPr>
            <w:tcW w:w="2551" w:type="dxa"/>
            <w:tcBorders>
              <w:bottom w:val="single" w:sz="4" w:space="0" w:color="auto"/>
            </w:tcBorders>
          </w:tcPr>
          <w:p w:rsidR="001E25FA" w:rsidRPr="001E25FA" w:rsidRDefault="001E25FA" w:rsidP="0085216A">
            <w:pPr>
              <w:spacing w:line="480" w:lineRule="auto"/>
              <w:rPr>
                <w:b w:val="0"/>
                <w:lang w:eastAsia="en-US"/>
              </w:rPr>
            </w:pPr>
            <w:r w:rsidRPr="001E25FA">
              <w:rPr>
                <w:b w:val="0"/>
                <w:lang w:eastAsia="en-US"/>
              </w:rPr>
              <w:t>Negative</w:t>
            </w:r>
          </w:p>
        </w:tc>
        <w:tc>
          <w:tcPr>
            <w:tcW w:w="1701" w:type="dxa"/>
            <w:tcBorders>
              <w:bottom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24.96</w:t>
            </w:r>
          </w:p>
        </w:tc>
        <w:tc>
          <w:tcPr>
            <w:tcW w:w="1134" w:type="dxa"/>
            <w:tcBorders>
              <w:bottom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6.89</w:t>
            </w:r>
          </w:p>
        </w:tc>
        <w:tc>
          <w:tcPr>
            <w:tcW w:w="283" w:type="dxa"/>
            <w:tcBorders>
              <w:bottom w:val="single" w:sz="4" w:space="0" w:color="auto"/>
            </w:tcBorders>
          </w:tcPr>
          <w:p w:rsidR="001E25FA" w:rsidRPr="001E25FA" w:rsidRDefault="001E25FA" w:rsidP="0085216A">
            <w:pPr>
              <w:spacing w:line="480" w:lineRule="auto"/>
              <w:rPr>
                <w:b w:val="0"/>
                <w:lang w:eastAsia="en-US"/>
              </w:rPr>
            </w:pPr>
          </w:p>
        </w:tc>
      </w:tr>
    </w:tbl>
    <w:p w:rsidR="001E25FA" w:rsidRPr="0038459B" w:rsidRDefault="001E25FA" w:rsidP="001E25FA">
      <w:pPr>
        <w:spacing w:line="480" w:lineRule="auto"/>
      </w:pPr>
    </w:p>
    <w:p w:rsidR="001E25FA" w:rsidRPr="0038459B" w:rsidRDefault="001E25FA" w:rsidP="001E25FA">
      <w:pPr>
        <w:spacing w:line="480" w:lineRule="auto"/>
      </w:pPr>
      <w:r w:rsidRPr="0038459B">
        <w:t>The results in Table 5 of the 2 x 2 ANOVA show the level WM-capacity contributes to MA, although the effect is mediated by the participants level of ATM.  As those that exhibited a low WM-capacity and reported a negative ATM reported higher MA mean score (</w:t>
      </w:r>
      <w:r w:rsidRPr="0038459B">
        <w:rPr>
          <w:i/>
        </w:rPr>
        <w:t xml:space="preserve">M </w:t>
      </w:r>
      <w:r w:rsidRPr="0038459B">
        <w:t xml:space="preserve">= 30.76, </w:t>
      </w:r>
      <w:r w:rsidRPr="0038459B">
        <w:rPr>
          <w:i/>
        </w:rPr>
        <w:t>SD</w:t>
      </w:r>
      <w:r w:rsidRPr="0038459B">
        <w:t xml:space="preserve"> = 8.91) than the positive ATM group (</w:t>
      </w:r>
      <w:r w:rsidRPr="0038459B">
        <w:rPr>
          <w:i/>
        </w:rPr>
        <w:t>M</w:t>
      </w:r>
      <w:r w:rsidRPr="0038459B">
        <w:t xml:space="preserve"> =</w:t>
      </w:r>
      <w:r w:rsidRPr="0038459B">
        <w:rPr>
          <w:i/>
        </w:rPr>
        <w:t xml:space="preserve"> </w:t>
      </w:r>
      <w:r w:rsidRPr="0038459B">
        <w:t xml:space="preserve">26.27, </w:t>
      </w:r>
      <w:r w:rsidRPr="0038459B">
        <w:rPr>
          <w:i/>
        </w:rPr>
        <w:t>SD</w:t>
      </w:r>
      <w:r w:rsidRPr="0038459B">
        <w:t xml:space="preserve"> = 6.92).  The participants displaying higher WM-capacity MA mean score was lower for those reporting a negative ATM (</w:t>
      </w:r>
      <w:r w:rsidRPr="0038459B">
        <w:rPr>
          <w:i/>
        </w:rPr>
        <w:t>M</w:t>
      </w:r>
      <w:r w:rsidRPr="0038459B">
        <w:t xml:space="preserve"> = 24.96, </w:t>
      </w:r>
      <w:r w:rsidRPr="0038459B">
        <w:rPr>
          <w:i/>
        </w:rPr>
        <w:t>SD</w:t>
      </w:r>
      <w:r w:rsidRPr="0038459B">
        <w:t xml:space="preserve"> = 6.89), and lowest for the group that retained a positive ATM (</w:t>
      </w:r>
      <w:r w:rsidRPr="0038459B">
        <w:rPr>
          <w:i/>
        </w:rPr>
        <w:t xml:space="preserve">M </w:t>
      </w:r>
      <w:r w:rsidRPr="0038459B">
        <w:t>= 19.48,</w:t>
      </w:r>
      <w:r w:rsidRPr="0038459B">
        <w:rPr>
          <w:i/>
        </w:rPr>
        <w:t xml:space="preserve"> SD</w:t>
      </w:r>
      <w:r w:rsidRPr="0038459B">
        <w:t xml:space="preserve"> = 6.31).  The two-way ANOVA found a significant main effect for MA and WM-capacity (</w:t>
      </w:r>
      <w:r w:rsidRPr="0038459B">
        <w:rPr>
          <w:i/>
        </w:rPr>
        <w:t>F</w:t>
      </w:r>
      <w:r w:rsidRPr="0038459B">
        <w:t xml:space="preserve">(3, 104) = 18.60, </w:t>
      </w:r>
      <w:r w:rsidRPr="0038459B">
        <w:rPr>
          <w:i/>
        </w:rPr>
        <w:t>p&lt;</w:t>
      </w:r>
      <w:r w:rsidRPr="0038459B">
        <w:t xml:space="preserve">.05) inferring the low WM-capacity group reported higher levels of MA.  An independent </w:t>
      </w:r>
      <w:r w:rsidRPr="0038459B">
        <w:rPr>
          <w:i/>
        </w:rPr>
        <w:t>t</w:t>
      </w:r>
      <w:r w:rsidRPr="0038459B">
        <w:t>-test found a significant difference (</w:t>
      </w:r>
      <w:r w:rsidRPr="0038459B">
        <w:rPr>
          <w:i/>
        </w:rPr>
        <w:t>t</w:t>
      </w:r>
      <w:r w:rsidRPr="0038459B">
        <w:t xml:space="preserve">(106) = 4.08, </w:t>
      </w:r>
      <w:r w:rsidRPr="0038459B">
        <w:rPr>
          <w:i/>
        </w:rPr>
        <w:t xml:space="preserve">p </w:t>
      </w:r>
      <w:r w:rsidRPr="0038459B">
        <w:t>&lt; .05) with the low WM-capacity group mean MA score was greater than the high WM-capacity group (</w:t>
      </w:r>
      <w:r w:rsidRPr="0038459B">
        <w:rPr>
          <w:i/>
        </w:rPr>
        <w:t xml:space="preserve">M </w:t>
      </w:r>
      <w:r w:rsidRPr="0038459B">
        <w:t xml:space="preserve">= 28.66, </w:t>
      </w:r>
      <w:r w:rsidRPr="0038459B">
        <w:rPr>
          <w:i/>
        </w:rPr>
        <w:t xml:space="preserve">SD </w:t>
      </w:r>
      <w:r w:rsidRPr="0038459B">
        <w:t xml:space="preserve">8.29 and </w:t>
      </w:r>
      <w:r w:rsidRPr="0038459B">
        <w:rPr>
          <w:i/>
        </w:rPr>
        <w:t xml:space="preserve">M </w:t>
      </w:r>
      <w:r w:rsidRPr="0038459B">
        <w:t xml:space="preserve">= 22.46, </w:t>
      </w:r>
      <w:r w:rsidRPr="0038459B">
        <w:rPr>
          <w:i/>
        </w:rPr>
        <w:t xml:space="preserve">SD </w:t>
      </w:r>
      <w:r w:rsidRPr="0038459B">
        <w:t>= 7.12, respectively). A significant main effect was found for ATM and MA (</w:t>
      </w:r>
      <w:r w:rsidRPr="0038459B">
        <w:rPr>
          <w:i/>
        </w:rPr>
        <w:t>F</w:t>
      </w:r>
      <w:r w:rsidRPr="0038459B">
        <w:t xml:space="preserve">(3, 104) = 11.64, </w:t>
      </w:r>
      <w:r w:rsidRPr="0038459B">
        <w:rPr>
          <w:i/>
        </w:rPr>
        <w:t>p&lt;</w:t>
      </w:r>
      <w:r w:rsidRPr="0038459B">
        <w:t xml:space="preserve">.05), with an independent </w:t>
      </w:r>
      <w:r w:rsidRPr="0038459B">
        <w:rPr>
          <w:i/>
        </w:rPr>
        <w:t>t</w:t>
      </w:r>
      <w:r w:rsidRPr="0038459B">
        <w:t xml:space="preserve">-test finding a significant difference between those that reported a negative ATM reporting a higher MA mean score </w:t>
      </w:r>
      <w:r w:rsidRPr="0038459B">
        <w:lastRenderedPageBreak/>
        <w:t>than the positive ATM group (</w:t>
      </w:r>
      <w:r w:rsidRPr="0038459B">
        <w:rPr>
          <w:i/>
        </w:rPr>
        <w:t xml:space="preserve">M </w:t>
      </w:r>
      <w:r w:rsidRPr="0038459B">
        <w:t xml:space="preserve">= 28.26, </w:t>
      </w:r>
      <w:r w:rsidRPr="0038459B">
        <w:rPr>
          <w:i/>
        </w:rPr>
        <w:t xml:space="preserve">SD </w:t>
      </w:r>
      <w:r w:rsidRPr="0038459B">
        <w:t xml:space="preserve">8.54 and </w:t>
      </w:r>
      <w:r w:rsidRPr="0038459B">
        <w:rPr>
          <w:i/>
        </w:rPr>
        <w:t xml:space="preserve">M </w:t>
      </w:r>
      <w:r w:rsidRPr="0038459B">
        <w:t xml:space="preserve">= 23.42, </w:t>
      </w:r>
      <w:r w:rsidRPr="0038459B">
        <w:rPr>
          <w:i/>
        </w:rPr>
        <w:t xml:space="preserve">SD </w:t>
      </w:r>
      <w:r w:rsidRPr="0038459B">
        <w:t>= 7.42, respectively).  However, the two-way interaction effect for ATM and WM-capacity was nonsignificant (</w:t>
      </w:r>
      <w:r w:rsidRPr="0038459B">
        <w:rPr>
          <w:i/>
        </w:rPr>
        <w:t>F</w:t>
      </w:r>
      <w:r w:rsidRPr="0038459B">
        <w:t xml:space="preserve">(3, 104) =  0.12, </w:t>
      </w:r>
      <w:r w:rsidRPr="0038459B">
        <w:rPr>
          <w:i/>
        </w:rPr>
        <w:t>p&gt;</w:t>
      </w:r>
      <w:r w:rsidRPr="0038459B">
        <w:t xml:space="preserve">.05).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An additional two-way independent measures ANOVA was conducted on MP, a 2(WM-capacity: </w:t>
      </w:r>
      <w:r w:rsidRPr="0038459B">
        <w:rPr>
          <w:i/>
        </w:rPr>
        <w:t>low</w:t>
      </w:r>
      <w:r w:rsidRPr="0038459B">
        <w:t xml:space="preserve"> </w:t>
      </w:r>
      <w:r w:rsidRPr="0038459B">
        <w:rPr>
          <w:i/>
        </w:rPr>
        <w:t>and high</w:t>
      </w:r>
      <w:r w:rsidRPr="0038459B">
        <w:t xml:space="preserve">) x 2(teaching experiences: </w:t>
      </w:r>
      <w:r w:rsidRPr="0038459B">
        <w:rPr>
          <w:i/>
        </w:rPr>
        <w:t>good and bad</w:t>
      </w:r>
      <w:r w:rsidRPr="0038459B">
        <w:t>).  To look for significant differences in MP, and whether retaining different levels of WM-capacity and teaching experiences impaired MP.  The means and standard deviations for the main effects and the interaction effects of the IVs are illustrated in Table 6.</w:t>
      </w:r>
    </w:p>
    <w:p w:rsidR="001E25FA" w:rsidRPr="0038459B" w:rsidRDefault="001E25FA" w:rsidP="001E25FA">
      <w:pPr>
        <w:spacing w:line="480" w:lineRule="auto"/>
      </w:pPr>
    </w:p>
    <w:p w:rsidR="001E25FA" w:rsidRPr="0038459B" w:rsidRDefault="001E25FA" w:rsidP="001E25FA">
      <w:pPr>
        <w:spacing w:line="480" w:lineRule="auto"/>
      </w:pPr>
      <w:r w:rsidRPr="0038459B">
        <w:t xml:space="preserve">Table 6 </w:t>
      </w:r>
    </w:p>
    <w:p w:rsidR="001E25FA" w:rsidRPr="0038459B" w:rsidRDefault="001E25FA" w:rsidP="001E25FA">
      <w:pPr>
        <w:spacing w:line="480" w:lineRule="auto"/>
        <w:rPr>
          <w:i/>
        </w:rPr>
      </w:pPr>
      <w:r w:rsidRPr="0038459B">
        <w:rPr>
          <w:i/>
        </w:rPr>
        <w:t>The</w:t>
      </w:r>
      <w:r w:rsidRPr="0038459B">
        <w:t xml:space="preserve"> </w:t>
      </w:r>
      <w:r w:rsidRPr="0038459B">
        <w:rPr>
          <w:i/>
        </w:rPr>
        <w:t>mean differences and standard deviations for the main and interaction effects on MP by WM-capacity, and teacher experiences</w:t>
      </w:r>
    </w:p>
    <w:tbl>
      <w:tblPr>
        <w:tblStyle w:val="TableGrid"/>
        <w:tblW w:w="87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4"/>
        <w:gridCol w:w="2835"/>
        <w:gridCol w:w="2410"/>
        <w:gridCol w:w="1959"/>
        <w:gridCol w:w="1017"/>
        <w:gridCol w:w="265"/>
      </w:tblGrid>
      <w:tr w:rsidR="001E25FA" w:rsidRPr="001E25FA" w:rsidTr="0085216A">
        <w:tc>
          <w:tcPr>
            <w:tcW w:w="284" w:type="dxa"/>
            <w:tcBorders>
              <w:top w:val="single" w:sz="4" w:space="0" w:color="auto"/>
              <w:bottom w:val="single" w:sz="4" w:space="0" w:color="auto"/>
            </w:tcBorders>
          </w:tcPr>
          <w:p w:rsidR="001E25FA" w:rsidRPr="0038459B" w:rsidRDefault="001E25FA" w:rsidP="0085216A">
            <w:pPr>
              <w:spacing w:line="480" w:lineRule="auto"/>
              <w:rPr>
                <w:lang w:eastAsia="en-US"/>
              </w:rPr>
            </w:pPr>
          </w:p>
        </w:tc>
        <w:tc>
          <w:tcPr>
            <w:tcW w:w="2835" w:type="dxa"/>
            <w:tcBorders>
              <w:top w:val="single" w:sz="4" w:space="0" w:color="auto"/>
              <w:bottom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WM-capacity</w:t>
            </w:r>
          </w:p>
        </w:tc>
        <w:tc>
          <w:tcPr>
            <w:tcW w:w="2410" w:type="dxa"/>
            <w:tcBorders>
              <w:top w:val="single" w:sz="4" w:space="0" w:color="auto"/>
              <w:left w:val="nil"/>
              <w:bottom w:val="single" w:sz="4" w:space="0" w:color="auto"/>
            </w:tcBorders>
          </w:tcPr>
          <w:p w:rsidR="001E25FA" w:rsidRPr="001E25FA" w:rsidRDefault="001E25FA" w:rsidP="0085216A">
            <w:pPr>
              <w:spacing w:line="480" w:lineRule="auto"/>
              <w:rPr>
                <w:b w:val="0"/>
                <w:lang w:eastAsia="en-US"/>
              </w:rPr>
            </w:pPr>
            <w:r w:rsidRPr="001E25FA">
              <w:rPr>
                <w:b w:val="0"/>
                <w:lang w:eastAsia="en-US"/>
              </w:rPr>
              <w:t>Teaching experiences</w:t>
            </w:r>
          </w:p>
        </w:tc>
        <w:tc>
          <w:tcPr>
            <w:tcW w:w="1959" w:type="dxa"/>
            <w:tcBorders>
              <w:top w:val="single" w:sz="4" w:space="0" w:color="auto"/>
              <w:left w:val="nil"/>
              <w:bottom w:val="single" w:sz="4" w:space="0" w:color="auto"/>
            </w:tcBorders>
            <w:vAlign w:val="center"/>
          </w:tcPr>
          <w:p w:rsidR="001E25FA" w:rsidRPr="001E25FA" w:rsidRDefault="001E25FA" w:rsidP="0085216A">
            <w:pPr>
              <w:spacing w:line="480" w:lineRule="auto"/>
              <w:rPr>
                <w:b w:val="0"/>
                <w:i/>
                <w:lang w:eastAsia="en-US"/>
              </w:rPr>
            </w:pPr>
            <w:r w:rsidRPr="001E25FA">
              <w:rPr>
                <w:b w:val="0"/>
                <w:i/>
                <w:lang w:eastAsia="en-US"/>
              </w:rPr>
              <w:t xml:space="preserve">M </w:t>
            </w:r>
          </w:p>
        </w:tc>
        <w:tc>
          <w:tcPr>
            <w:tcW w:w="1017" w:type="dxa"/>
            <w:tcBorders>
              <w:top w:val="single" w:sz="4" w:space="0" w:color="auto"/>
              <w:bottom w:val="single" w:sz="4" w:space="0" w:color="auto"/>
            </w:tcBorders>
            <w:vAlign w:val="center"/>
          </w:tcPr>
          <w:p w:rsidR="001E25FA" w:rsidRPr="001E25FA" w:rsidRDefault="001E25FA" w:rsidP="0085216A">
            <w:pPr>
              <w:spacing w:line="480" w:lineRule="auto"/>
              <w:rPr>
                <w:b w:val="0"/>
                <w:i/>
                <w:lang w:eastAsia="en-US"/>
              </w:rPr>
            </w:pPr>
            <w:r w:rsidRPr="001E25FA">
              <w:rPr>
                <w:b w:val="0"/>
                <w:i/>
                <w:lang w:eastAsia="en-US"/>
              </w:rPr>
              <w:t>SD</w:t>
            </w:r>
          </w:p>
        </w:tc>
        <w:tc>
          <w:tcPr>
            <w:tcW w:w="265" w:type="dxa"/>
            <w:tcBorders>
              <w:top w:val="single" w:sz="4" w:space="0" w:color="auto"/>
              <w:bottom w:val="single" w:sz="4" w:space="0" w:color="auto"/>
            </w:tcBorders>
          </w:tcPr>
          <w:p w:rsidR="001E25FA" w:rsidRPr="001E25FA" w:rsidRDefault="001E25FA" w:rsidP="0085216A">
            <w:pPr>
              <w:spacing w:line="480" w:lineRule="auto"/>
              <w:rPr>
                <w:b w:val="0"/>
                <w:i/>
                <w:lang w:eastAsia="en-US"/>
              </w:rPr>
            </w:pPr>
          </w:p>
        </w:tc>
      </w:tr>
      <w:tr w:rsidR="001E25FA" w:rsidRPr="001E25FA" w:rsidTr="0085216A">
        <w:tc>
          <w:tcPr>
            <w:tcW w:w="284" w:type="dxa"/>
            <w:tcBorders>
              <w:top w:val="single" w:sz="4" w:space="0" w:color="auto"/>
            </w:tcBorders>
          </w:tcPr>
          <w:p w:rsidR="001E25FA" w:rsidRPr="0038459B" w:rsidRDefault="001E25FA" w:rsidP="0085216A">
            <w:pPr>
              <w:spacing w:line="480" w:lineRule="auto"/>
              <w:rPr>
                <w:lang w:eastAsia="en-US"/>
              </w:rPr>
            </w:pPr>
          </w:p>
        </w:tc>
        <w:tc>
          <w:tcPr>
            <w:tcW w:w="2835" w:type="dxa"/>
            <w:tcBorders>
              <w:top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Low WM-capacity</w:t>
            </w:r>
          </w:p>
        </w:tc>
        <w:tc>
          <w:tcPr>
            <w:tcW w:w="2410" w:type="dxa"/>
            <w:tcBorders>
              <w:top w:val="single" w:sz="4" w:space="0" w:color="auto"/>
            </w:tcBorders>
          </w:tcPr>
          <w:p w:rsidR="001E25FA" w:rsidRPr="001E25FA" w:rsidRDefault="001E25FA" w:rsidP="0085216A">
            <w:pPr>
              <w:spacing w:line="480" w:lineRule="auto"/>
              <w:rPr>
                <w:b w:val="0"/>
                <w:lang w:eastAsia="en-US"/>
              </w:rPr>
            </w:pPr>
            <w:r w:rsidRPr="001E25FA">
              <w:rPr>
                <w:b w:val="0"/>
                <w:lang w:eastAsia="en-US"/>
              </w:rPr>
              <w:t>Good experiences</w:t>
            </w:r>
          </w:p>
        </w:tc>
        <w:tc>
          <w:tcPr>
            <w:tcW w:w="1959" w:type="dxa"/>
            <w:tcBorders>
              <w:top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5.90</w:t>
            </w:r>
          </w:p>
        </w:tc>
        <w:tc>
          <w:tcPr>
            <w:tcW w:w="1017" w:type="dxa"/>
            <w:tcBorders>
              <w:top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1.72</w:t>
            </w:r>
          </w:p>
        </w:tc>
        <w:tc>
          <w:tcPr>
            <w:tcW w:w="265" w:type="dxa"/>
            <w:tcBorders>
              <w:top w:val="single" w:sz="4" w:space="0" w:color="auto"/>
            </w:tcBorders>
          </w:tcPr>
          <w:p w:rsidR="001E25FA" w:rsidRPr="001E25FA" w:rsidRDefault="001E25FA" w:rsidP="0085216A">
            <w:pPr>
              <w:spacing w:line="480" w:lineRule="auto"/>
              <w:rPr>
                <w:b w:val="0"/>
                <w:lang w:eastAsia="en-US"/>
              </w:rPr>
            </w:pPr>
          </w:p>
        </w:tc>
      </w:tr>
      <w:tr w:rsidR="001E25FA" w:rsidRPr="001E25FA" w:rsidTr="0085216A">
        <w:tc>
          <w:tcPr>
            <w:tcW w:w="284" w:type="dxa"/>
          </w:tcPr>
          <w:p w:rsidR="001E25FA" w:rsidRPr="0038459B" w:rsidRDefault="001E25FA" w:rsidP="0085216A">
            <w:pPr>
              <w:spacing w:line="480" w:lineRule="auto"/>
              <w:rPr>
                <w:lang w:eastAsia="en-US"/>
              </w:rPr>
            </w:pPr>
          </w:p>
        </w:tc>
        <w:tc>
          <w:tcPr>
            <w:tcW w:w="2835" w:type="dxa"/>
            <w:vAlign w:val="center"/>
          </w:tcPr>
          <w:p w:rsidR="001E25FA" w:rsidRPr="001E25FA" w:rsidRDefault="001E25FA" w:rsidP="0085216A">
            <w:pPr>
              <w:spacing w:line="480" w:lineRule="auto"/>
              <w:rPr>
                <w:b w:val="0"/>
                <w:lang w:eastAsia="en-US"/>
              </w:rPr>
            </w:pPr>
          </w:p>
        </w:tc>
        <w:tc>
          <w:tcPr>
            <w:tcW w:w="2410" w:type="dxa"/>
          </w:tcPr>
          <w:p w:rsidR="001E25FA" w:rsidRPr="001E25FA" w:rsidRDefault="001E25FA" w:rsidP="0085216A">
            <w:pPr>
              <w:spacing w:line="480" w:lineRule="auto"/>
              <w:rPr>
                <w:b w:val="0"/>
                <w:lang w:eastAsia="en-US"/>
              </w:rPr>
            </w:pPr>
            <w:r w:rsidRPr="001E25FA">
              <w:rPr>
                <w:b w:val="0"/>
                <w:lang w:eastAsia="en-US"/>
              </w:rPr>
              <w:t>Bad experiences</w:t>
            </w:r>
          </w:p>
        </w:tc>
        <w:tc>
          <w:tcPr>
            <w:tcW w:w="1959" w:type="dxa"/>
            <w:vAlign w:val="center"/>
          </w:tcPr>
          <w:p w:rsidR="001E25FA" w:rsidRPr="001E25FA" w:rsidRDefault="001E25FA" w:rsidP="0085216A">
            <w:pPr>
              <w:spacing w:line="480" w:lineRule="auto"/>
              <w:rPr>
                <w:b w:val="0"/>
                <w:lang w:eastAsia="en-US"/>
              </w:rPr>
            </w:pPr>
            <w:r w:rsidRPr="001E25FA">
              <w:rPr>
                <w:b w:val="0"/>
                <w:lang w:eastAsia="en-US"/>
              </w:rPr>
              <w:t>5.36</w:t>
            </w:r>
          </w:p>
        </w:tc>
        <w:tc>
          <w:tcPr>
            <w:tcW w:w="1017" w:type="dxa"/>
            <w:vAlign w:val="center"/>
          </w:tcPr>
          <w:p w:rsidR="001E25FA" w:rsidRPr="001E25FA" w:rsidRDefault="001E25FA" w:rsidP="0085216A">
            <w:pPr>
              <w:spacing w:line="480" w:lineRule="auto"/>
              <w:rPr>
                <w:b w:val="0"/>
                <w:lang w:eastAsia="en-US"/>
              </w:rPr>
            </w:pPr>
            <w:r w:rsidRPr="001E25FA">
              <w:rPr>
                <w:b w:val="0"/>
                <w:lang w:eastAsia="en-US"/>
              </w:rPr>
              <w:t>1.63</w:t>
            </w:r>
          </w:p>
        </w:tc>
        <w:tc>
          <w:tcPr>
            <w:tcW w:w="265" w:type="dxa"/>
          </w:tcPr>
          <w:p w:rsidR="001E25FA" w:rsidRPr="001E25FA" w:rsidRDefault="001E25FA" w:rsidP="0085216A">
            <w:pPr>
              <w:spacing w:line="480" w:lineRule="auto"/>
              <w:rPr>
                <w:b w:val="0"/>
                <w:lang w:eastAsia="en-US"/>
              </w:rPr>
            </w:pPr>
          </w:p>
        </w:tc>
      </w:tr>
      <w:tr w:rsidR="001E25FA" w:rsidRPr="001E25FA" w:rsidTr="0085216A">
        <w:tc>
          <w:tcPr>
            <w:tcW w:w="284" w:type="dxa"/>
          </w:tcPr>
          <w:p w:rsidR="001E25FA" w:rsidRPr="0038459B" w:rsidRDefault="001E25FA" w:rsidP="0085216A">
            <w:pPr>
              <w:spacing w:line="480" w:lineRule="auto"/>
              <w:rPr>
                <w:lang w:eastAsia="en-US"/>
              </w:rPr>
            </w:pPr>
          </w:p>
        </w:tc>
        <w:tc>
          <w:tcPr>
            <w:tcW w:w="2835" w:type="dxa"/>
            <w:vAlign w:val="center"/>
          </w:tcPr>
          <w:p w:rsidR="001E25FA" w:rsidRPr="001E25FA" w:rsidRDefault="001E25FA" w:rsidP="0085216A">
            <w:pPr>
              <w:spacing w:line="480" w:lineRule="auto"/>
              <w:rPr>
                <w:b w:val="0"/>
                <w:lang w:eastAsia="en-US"/>
              </w:rPr>
            </w:pPr>
            <w:r w:rsidRPr="001E25FA">
              <w:rPr>
                <w:b w:val="0"/>
                <w:lang w:eastAsia="en-US"/>
              </w:rPr>
              <w:t>High WM-capacity</w:t>
            </w:r>
          </w:p>
        </w:tc>
        <w:tc>
          <w:tcPr>
            <w:tcW w:w="2410" w:type="dxa"/>
          </w:tcPr>
          <w:p w:rsidR="001E25FA" w:rsidRPr="001E25FA" w:rsidRDefault="001E25FA" w:rsidP="0085216A">
            <w:pPr>
              <w:spacing w:line="480" w:lineRule="auto"/>
              <w:rPr>
                <w:b w:val="0"/>
                <w:lang w:eastAsia="en-US"/>
              </w:rPr>
            </w:pPr>
            <w:r w:rsidRPr="001E25FA">
              <w:rPr>
                <w:b w:val="0"/>
                <w:lang w:eastAsia="en-US"/>
              </w:rPr>
              <w:t>Good experiences</w:t>
            </w:r>
          </w:p>
        </w:tc>
        <w:tc>
          <w:tcPr>
            <w:tcW w:w="1959" w:type="dxa"/>
            <w:vAlign w:val="center"/>
          </w:tcPr>
          <w:p w:rsidR="001E25FA" w:rsidRPr="001E25FA" w:rsidRDefault="001E25FA" w:rsidP="0085216A">
            <w:pPr>
              <w:spacing w:line="480" w:lineRule="auto"/>
              <w:rPr>
                <w:b w:val="0"/>
                <w:lang w:eastAsia="en-US"/>
              </w:rPr>
            </w:pPr>
            <w:r w:rsidRPr="001E25FA">
              <w:rPr>
                <w:b w:val="0"/>
                <w:lang w:eastAsia="en-US"/>
              </w:rPr>
              <w:t>7.91</w:t>
            </w:r>
          </w:p>
        </w:tc>
        <w:tc>
          <w:tcPr>
            <w:tcW w:w="1017" w:type="dxa"/>
            <w:vAlign w:val="center"/>
          </w:tcPr>
          <w:p w:rsidR="001E25FA" w:rsidRPr="001E25FA" w:rsidRDefault="001E25FA" w:rsidP="0085216A">
            <w:pPr>
              <w:spacing w:line="480" w:lineRule="auto"/>
              <w:rPr>
                <w:b w:val="0"/>
                <w:lang w:eastAsia="en-US"/>
              </w:rPr>
            </w:pPr>
            <w:r w:rsidRPr="001E25FA">
              <w:rPr>
                <w:b w:val="0"/>
                <w:lang w:eastAsia="en-US"/>
              </w:rPr>
              <w:t>0.73</w:t>
            </w:r>
          </w:p>
        </w:tc>
        <w:tc>
          <w:tcPr>
            <w:tcW w:w="265" w:type="dxa"/>
          </w:tcPr>
          <w:p w:rsidR="001E25FA" w:rsidRPr="001E25FA" w:rsidRDefault="001E25FA" w:rsidP="0085216A">
            <w:pPr>
              <w:spacing w:line="480" w:lineRule="auto"/>
              <w:rPr>
                <w:b w:val="0"/>
                <w:lang w:eastAsia="en-US"/>
              </w:rPr>
            </w:pPr>
          </w:p>
        </w:tc>
      </w:tr>
      <w:tr w:rsidR="001E25FA" w:rsidRPr="001E25FA" w:rsidTr="0085216A">
        <w:tc>
          <w:tcPr>
            <w:tcW w:w="284" w:type="dxa"/>
            <w:tcBorders>
              <w:bottom w:val="single" w:sz="4" w:space="0" w:color="auto"/>
            </w:tcBorders>
          </w:tcPr>
          <w:p w:rsidR="001E25FA" w:rsidRPr="0038459B" w:rsidRDefault="001E25FA" w:rsidP="0085216A">
            <w:pPr>
              <w:spacing w:line="480" w:lineRule="auto"/>
              <w:rPr>
                <w:lang w:eastAsia="en-US"/>
              </w:rPr>
            </w:pPr>
          </w:p>
        </w:tc>
        <w:tc>
          <w:tcPr>
            <w:tcW w:w="2835" w:type="dxa"/>
            <w:tcBorders>
              <w:bottom w:val="single" w:sz="4" w:space="0" w:color="auto"/>
            </w:tcBorders>
            <w:vAlign w:val="center"/>
          </w:tcPr>
          <w:p w:rsidR="001E25FA" w:rsidRPr="001E25FA" w:rsidRDefault="001E25FA" w:rsidP="0085216A">
            <w:pPr>
              <w:spacing w:line="480" w:lineRule="auto"/>
              <w:rPr>
                <w:b w:val="0"/>
                <w:lang w:eastAsia="en-US"/>
              </w:rPr>
            </w:pPr>
          </w:p>
        </w:tc>
        <w:tc>
          <w:tcPr>
            <w:tcW w:w="2410" w:type="dxa"/>
            <w:tcBorders>
              <w:bottom w:val="single" w:sz="4" w:space="0" w:color="auto"/>
            </w:tcBorders>
          </w:tcPr>
          <w:p w:rsidR="001E25FA" w:rsidRPr="001E25FA" w:rsidRDefault="001E25FA" w:rsidP="0085216A">
            <w:pPr>
              <w:spacing w:line="480" w:lineRule="auto"/>
              <w:rPr>
                <w:b w:val="0"/>
                <w:lang w:eastAsia="en-US"/>
              </w:rPr>
            </w:pPr>
            <w:r w:rsidRPr="001E25FA">
              <w:rPr>
                <w:b w:val="0"/>
                <w:lang w:eastAsia="en-US"/>
              </w:rPr>
              <w:t>Bad experiences</w:t>
            </w:r>
          </w:p>
        </w:tc>
        <w:tc>
          <w:tcPr>
            <w:tcW w:w="1959" w:type="dxa"/>
            <w:tcBorders>
              <w:bottom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6.69</w:t>
            </w:r>
          </w:p>
        </w:tc>
        <w:tc>
          <w:tcPr>
            <w:tcW w:w="1017" w:type="dxa"/>
            <w:tcBorders>
              <w:bottom w:val="single" w:sz="4" w:space="0" w:color="auto"/>
            </w:tcBorders>
            <w:vAlign w:val="center"/>
          </w:tcPr>
          <w:p w:rsidR="001E25FA" w:rsidRPr="001E25FA" w:rsidRDefault="001E25FA" w:rsidP="0085216A">
            <w:pPr>
              <w:spacing w:line="480" w:lineRule="auto"/>
              <w:rPr>
                <w:b w:val="0"/>
                <w:lang w:eastAsia="en-US"/>
              </w:rPr>
            </w:pPr>
            <w:r w:rsidRPr="001E25FA">
              <w:rPr>
                <w:b w:val="0"/>
                <w:lang w:eastAsia="en-US"/>
              </w:rPr>
              <w:t>1.58</w:t>
            </w:r>
          </w:p>
        </w:tc>
        <w:tc>
          <w:tcPr>
            <w:tcW w:w="265" w:type="dxa"/>
            <w:tcBorders>
              <w:bottom w:val="single" w:sz="4" w:space="0" w:color="auto"/>
            </w:tcBorders>
          </w:tcPr>
          <w:p w:rsidR="001E25FA" w:rsidRPr="001E25FA" w:rsidRDefault="001E25FA" w:rsidP="0085216A">
            <w:pPr>
              <w:spacing w:line="480" w:lineRule="auto"/>
              <w:rPr>
                <w:b w:val="0"/>
                <w:lang w:eastAsia="en-US"/>
              </w:rPr>
            </w:pPr>
          </w:p>
        </w:tc>
      </w:tr>
    </w:tbl>
    <w:p w:rsidR="001E25FA" w:rsidRPr="0038459B" w:rsidRDefault="001E25FA" w:rsidP="001E25FA">
      <w:pPr>
        <w:spacing w:line="480" w:lineRule="auto"/>
      </w:pPr>
    </w:p>
    <w:p w:rsidR="001E25FA" w:rsidRPr="0038459B" w:rsidRDefault="001E25FA" w:rsidP="001E25FA">
      <w:pPr>
        <w:spacing w:line="480" w:lineRule="auto"/>
      </w:pPr>
      <w:r w:rsidRPr="0038459B">
        <w:t>The results in Table 6 of the 2 x 2 ANOVA show, the level WM-capacity contributes to MP, although the effect is likely to contrast with the participants teaching experiences.  As the participants that exhibited low levels of WM-capacity and retained bad teacher experiences (</w:t>
      </w:r>
      <w:r w:rsidRPr="0038459B">
        <w:rPr>
          <w:i/>
        </w:rPr>
        <w:t xml:space="preserve">M </w:t>
      </w:r>
      <w:r w:rsidRPr="0038459B">
        <w:t xml:space="preserve">= 5.36, </w:t>
      </w:r>
      <w:r w:rsidRPr="0038459B">
        <w:rPr>
          <w:i/>
        </w:rPr>
        <w:t xml:space="preserve">SD </w:t>
      </w:r>
      <w:r w:rsidRPr="0038459B">
        <w:t>= 1.63) achieved lower MP scores than participants that reported good teacher experiences (</w:t>
      </w:r>
      <w:r w:rsidRPr="0038459B">
        <w:rPr>
          <w:i/>
        </w:rPr>
        <w:t xml:space="preserve">M </w:t>
      </w:r>
      <w:r w:rsidRPr="0038459B">
        <w:t xml:space="preserve">= 5.90, </w:t>
      </w:r>
      <w:r w:rsidRPr="0038459B">
        <w:rPr>
          <w:i/>
        </w:rPr>
        <w:t xml:space="preserve">SD = </w:t>
      </w:r>
      <w:r w:rsidRPr="0038459B">
        <w:t>1.72).  Although, MP was greater for participants displaying high WM-capacity that reported bad teacher experiences (</w:t>
      </w:r>
      <w:r w:rsidRPr="0038459B">
        <w:rPr>
          <w:i/>
        </w:rPr>
        <w:t>M</w:t>
      </w:r>
      <w:r w:rsidRPr="0038459B">
        <w:t xml:space="preserve"> = 6.69, </w:t>
      </w:r>
      <w:r w:rsidRPr="0038459B">
        <w:rPr>
          <w:i/>
        </w:rPr>
        <w:t>SD</w:t>
      </w:r>
      <w:r w:rsidRPr="0038459B">
        <w:t xml:space="preserve"> = 1.58), which was </w:t>
      </w:r>
      <w:r w:rsidRPr="0038459B">
        <w:lastRenderedPageBreak/>
        <w:t>greater for the group that reported good teacher experiences group (</w:t>
      </w:r>
      <w:r w:rsidRPr="0038459B">
        <w:rPr>
          <w:i/>
        </w:rPr>
        <w:t xml:space="preserve">M </w:t>
      </w:r>
      <w:r w:rsidRPr="0038459B">
        <w:t>= 7.91,</w:t>
      </w:r>
      <w:r w:rsidRPr="0038459B">
        <w:rPr>
          <w:i/>
        </w:rPr>
        <w:t xml:space="preserve"> SD</w:t>
      </w:r>
      <w:r w:rsidRPr="0038459B">
        <w:t xml:space="preserve"> = 0.73).  There was a significant main effect for WM-capacity and MP (</w:t>
      </w:r>
      <w:r w:rsidRPr="0038459B">
        <w:rPr>
          <w:i/>
        </w:rPr>
        <w:t>F</w:t>
      </w:r>
      <w:r w:rsidRPr="0038459B">
        <w:t xml:space="preserve">(3, 104) = 32.70, </w:t>
      </w:r>
      <w:r w:rsidRPr="0038459B">
        <w:rPr>
          <w:i/>
        </w:rPr>
        <w:t>p&lt;</w:t>
      </w:r>
      <w:r w:rsidRPr="0038459B">
        <w:t xml:space="preserve">.05) as the low WM-capacity group scored lower MP than the group that displayed high WM-capacity.  An independent </w:t>
      </w:r>
      <w:r w:rsidRPr="0038459B">
        <w:rPr>
          <w:i/>
        </w:rPr>
        <w:t>t</w:t>
      </w:r>
      <w:r w:rsidRPr="0038459B">
        <w:t>-test found a significant difference (</w:t>
      </w:r>
      <w:r w:rsidRPr="0038459B">
        <w:rPr>
          <w:i/>
        </w:rPr>
        <w:t>t</w:t>
      </w:r>
      <w:r w:rsidRPr="0038459B">
        <w:t xml:space="preserve">(106) = -5.56, </w:t>
      </w:r>
      <w:r w:rsidRPr="0038459B">
        <w:rPr>
          <w:i/>
        </w:rPr>
        <w:t xml:space="preserve">p </w:t>
      </w:r>
      <w:r w:rsidRPr="0038459B">
        <w:t>&lt; .05) as the low WM-capacity group mean MP score was less than the high WM-capacity group (</w:t>
      </w:r>
      <w:r w:rsidRPr="0038459B">
        <w:rPr>
          <w:i/>
        </w:rPr>
        <w:t xml:space="preserve">M </w:t>
      </w:r>
      <w:r w:rsidRPr="0038459B">
        <w:t xml:space="preserve">= 5.61, </w:t>
      </w:r>
      <w:r w:rsidRPr="0038459B">
        <w:rPr>
          <w:i/>
        </w:rPr>
        <w:t xml:space="preserve">SD </w:t>
      </w:r>
      <w:r w:rsidRPr="0038459B">
        <w:t xml:space="preserve">1.68 and </w:t>
      </w:r>
      <w:r w:rsidRPr="0038459B">
        <w:rPr>
          <w:i/>
        </w:rPr>
        <w:t xml:space="preserve">M </w:t>
      </w:r>
      <w:r w:rsidRPr="0038459B">
        <w:t xml:space="preserve">= 7.30, </w:t>
      </w:r>
      <w:r w:rsidRPr="0038459B">
        <w:rPr>
          <w:i/>
        </w:rPr>
        <w:t xml:space="preserve">SD </w:t>
      </w:r>
      <w:r w:rsidRPr="0038459B">
        <w:t>= 1.36, respectively).  A significant main effect was found for teaching experiences and MP (</w:t>
      </w:r>
      <w:r w:rsidRPr="0038459B">
        <w:rPr>
          <w:i/>
        </w:rPr>
        <w:t>F</w:t>
      </w:r>
      <w:r w:rsidRPr="0038459B">
        <w:t xml:space="preserve">(3, 104) = 8.93, </w:t>
      </w:r>
      <w:r w:rsidRPr="0038459B">
        <w:rPr>
          <w:i/>
        </w:rPr>
        <w:t>p&lt;</w:t>
      </w:r>
      <w:r w:rsidRPr="0038459B">
        <w:t xml:space="preserve">.05).  An independent </w:t>
      </w:r>
      <w:r w:rsidRPr="0038459B">
        <w:rPr>
          <w:i/>
        </w:rPr>
        <w:t>t</w:t>
      </w:r>
      <w:r w:rsidRPr="0038459B">
        <w:t>-test found a significant differences (</w:t>
      </w:r>
      <w:r w:rsidRPr="0038459B">
        <w:rPr>
          <w:i/>
        </w:rPr>
        <w:t>t</w:t>
      </w:r>
      <w:r w:rsidRPr="0038459B">
        <w:t xml:space="preserve">(106) = 4.08, </w:t>
      </w:r>
      <w:r w:rsidRPr="0038459B">
        <w:rPr>
          <w:i/>
        </w:rPr>
        <w:t xml:space="preserve">p </w:t>
      </w:r>
      <w:r w:rsidRPr="0038459B">
        <w:t>&lt; .05), as the good teaching experiences group mean MP score was greater than the bad teaching experiences group (</w:t>
      </w:r>
      <w:r w:rsidRPr="0038459B">
        <w:rPr>
          <w:i/>
        </w:rPr>
        <w:t xml:space="preserve">M </w:t>
      </w:r>
      <w:r w:rsidRPr="0038459B">
        <w:t xml:space="preserve">= 6.79, </w:t>
      </w:r>
      <w:r w:rsidRPr="0038459B">
        <w:rPr>
          <w:i/>
        </w:rPr>
        <w:t xml:space="preserve">SD </w:t>
      </w:r>
      <w:r w:rsidRPr="0038459B">
        <w:t xml:space="preserve">1.69 and </w:t>
      </w:r>
      <w:r w:rsidRPr="0038459B">
        <w:rPr>
          <w:i/>
        </w:rPr>
        <w:t xml:space="preserve">M </w:t>
      </w:r>
      <w:r w:rsidRPr="0038459B">
        <w:t xml:space="preserve">= 5.91, </w:t>
      </w:r>
      <w:r w:rsidRPr="0038459B">
        <w:rPr>
          <w:i/>
        </w:rPr>
        <w:t xml:space="preserve">SD </w:t>
      </w:r>
      <w:r w:rsidRPr="0038459B">
        <w:t>= 1.73, respectively).  Indicating, the participants that reported good teaching experiences are likely to achieve greater MP.  However, the two-way interaction for teaching experiences and WM-capacity was nonsignificant (</w:t>
      </w:r>
      <w:r w:rsidRPr="0038459B">
        <w:rPr>
          <w:i/>
        </w:rPr>
        <w:t>F</w:t>
      </w:r>
      <w:r w:rsidRPr="0038459B">
        <w:t xml:space="preserve">(3, 104) =  1.37, </w:t>
      </w:r>
      <w:r w:rsidRPr="0038459B">
        <w:rPr>
          <w:i/>
        </w:rPr>
        <w:t>p&gt;</w:t>
      </w:r>
      <w:r w:rsidRPr="0038459B">
        <w:t xml:space="preserve">.05). </w:t>
      </w:r>
    </w:p>
    <w:p w:rsidR="001E25FA" w:rsidRPr="0038459B" w:rsidRDefault="001E25FA" w:rsidP="001E25FA">
      <w:pPr>
        <w:spacing w:line="480" w:lineRule="auto"/>
      </w:pPr>
      <w:r w:rsidRPr="0038459B">
        <w:t xml:space="preserve"> </w:t>
      </w:r>
    </w:p>
    <w:p w:rsidR="001E25FA" w:rsidRPr="0038459B" w:rsidRDefault="001E25FA" w:rsidP="001E25FA">
      <w:pPr>
        <w:spacing w:line="480" w:lineRule="auto"/>
      </w:pPr>
      <w:r w:rsidRPr="0038459B">
        <w:tab/>
        <w:t xml:space="preserve">The age differences of the participants MA and MP was a variable of this study and despite the multiple regressions suggesting age was a non-significant predictor variable for criterion variables.  Two independent </w:t>
      </w:r>
      <w:r w:rsidRPr="0038459B">
        <w:rPr>
          <w:i/>
        </w:rPr>
        <w:t>t</w:t>
      </w:r>
      <w:r w:rsidRPr="0038459B">
        <w:t>-tests were conducted, to look for significant differences between the two age-groups.  As the participants exhibited different: ATM, teaching methods, and WM-capacity; might age be a significant contributing factor of MA and MP.  Table 7 shows the means and standard deviations for MP and MA and age.</w:t>
      </w:r>
    </w:p>
    <w:p w:rsidR="001E25FA" w:rsidRPr="0038459B" w:rsidRDefault="001E25FA" w:rsidP="001E25FA">
      <w:pPr>
        <w:spacing w:line="480" w:lineRule="auto"/>
      </w:pPr>
    </w:p>
    <w:p w:rsidR="001E25FA" w:rsidRPr="0038459B" w:rsidRDefault="001E25FA" w:rsidP="001E25FA">
      <w:pPr>
        <w:spacing w:line="480" w:lineRule="auto"/>
      </w:pPr>
      <w:r w:rsidRPr="0038459B">
        <w:t>Table 7</w:t>
      </w:r>
    </w:p>
    <w:p w:rsidR="001E25FA" w:rsidRPr="0038459B" w:rsidRDefault="001E25FA" w:rsidP="001E25FA">
      <w:pPr>
        <w:spacing w:line="480" w:lineRule="auto"/>
        <w:rPr>
          <w:i/>
        </w:rPr>
      </w:pPr>
      <w:r w:rsidRPr="0038459B">
        <w:rPr>
          <w:i/>
        </w:rPr>
        <w:t xml:space="preserve">The mean scores and standard deviations of the dependent variables by age </w:t>
      </w:r>
    </w:p>
    <w:tbl>
      <w:tblPr>
        <w:tblStyle w:val="TableGrid"/>
        <w:tblW w:w="0" w:type="auto"/>
        <w:tblLook w:val="04A0" w:firstRow="1" w:lastRow="0" w:firstColumn="1" w:lastColumn="0" w:noHBand="0" w:noVBand="1"/>
      </w:tblPr>
      <w:tblGrid>
        <w:gridCol w:w="3002"/>
        <w:gridCol w:w="1502"/>
        <w:gridCol w:w="1502"/>
        <w:gridCol w:w="1502"/>
        <w:gridCol w:w="1502"/>
      </w:tblGrid>
      <w:tr w:rsidR="001E25FA" w:rsidRPr="0038459B" w:rsidTr="0085216A">
        <w:tc>
          <w:tcPr>
            <w:tcW w:w="3002"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Groups</w:t>
            </w:r>
          </w:p>
        </w:tc>
        <w:tc>
          <w:tcPr>
            <w:tcW w:w="3004" w:type="dxa"/>
            <w:gridSpan w:val="2"/>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Maths performance</w:t>
            </w:r>
          </w:p>
        </w:tc>
        <w:tc>
          <w:tcPr>
            <w:tcW w:w="3004" w:type="dxa"/>
            <w:gridSpan w:val="2"/>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Maths anxiety</w:t>
            </w:r>
          </w:p>
        </w:tc>
      </w:tr>
      <w:tr w:rsidR="001E25FA" w:rsidRPr="0038459B" w:rsidTr="0085216A">
        <w:tc>
          <w:tcPr>
            <w:tcW w:w="3002" w:type="dxa"/>
            <w:tcBorders>
              <w:top w:val="nil"/>
              <w:left w:val="nil"/>
              <w:bottom w:val="single" w:sz="4" w:space="0" w:color="auto"/>
              <w:right w:val="nil"/>
            </w:tcBorders>
          </w:tcPr>
          <w:p w:rsidR="001E25FA" w:rsidRPr="001E25FA" w:rsidRDefault="001E25FA" w:rsidP="0085216A">
            <w:pPr>
              <w:spacing w:line="480" w:lineRule="auto"/>
              <w:rPr>
                <w:b w:val="0"/>
                <w:lang w:eastAsia="en-US"/>
              </w:rPr>
            </w:pPr>
          </w:p>
        </w:tc>
        <w:tc>
          <w:tcPr>
            <w:tcW w:w="1502" w:type="dxa"/>
            <w:tcBorders>
              <w:top w:val="nil"/>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M</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SD</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M</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i/>
                <w:lang w:eastAsia="en-US"/>
              </w:rPr>
            </w:pPr>
            <w:r w:rsidRPr="001E25FA">
              <w:rPr>
                <w:b w:val="0"/>
                <w:i/>
                <w:lang w:eastAsia="en-US"/>
              </w:rPr>
              <w:t>SD</w:t>
            </w:r>
          </w:p>
        </w:tc>
      </w:tr>
      <w:tr w:rsidR="001E25FA" w:rsidRPr="0038459B" w:rsidTr="0085216A">
        <w:tc>
          <w:tcPr>
            <w:tcW w:w="3002"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18-29 years old</w:t>
            </w:r>
          </w:p>
        </w:tc>
        <w:tc>
          <w:tcPr>
            <w:tcW w:w="1502"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6.27</w:t>
            </w:r>
          </w:p>
        </w:tc>
        <w:tc>
          <w:tcPr>
            <w:tcW w:w="1502"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1.53</w:t>
            </w:r>
          </w:p>
        </w:tc>
        <w:tc>
          <w:tcPr>
            <w:tcW w:w="1502"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25.70</w:t>
            </w:r>
          </w:p>
        </w:tc>
        <w:tc>
          <w:tcPr>
            <w:tcW w:w="1502" w:type="dxa"/>
            <w:tcBorders>
              <w:top w:val="single" w:sz="4" w:space="0" w:color="auto"/>
              <w:left w:val="nil"/>
              <w:bottom w:val="nil"/>
              <w:right w:val="nil"/>
            </w:tcBorders>
          </w:tcPr>
          <w:p w:rsidR="001E25FA" w:rsidRPr="001E25FA" w:rsidRDefault="001E25FA" w:rsidP="0085216A">
            <w:pPr>
              <w:spacing w:line="480" w:lineRule="auto"/>
              <w:rPr>
                <w:b w:val="0"/>
                <w:lang w:eastAsia="en-US"/>
              </w:rPr>
            </w:pPr>
            <w:r w:rsidRPr="001E25FA">
              <w:rPr>
                <w:b w:val="0"/>
                <w:lang w:eastAsia="en-US"/>
              </w:rPr>
              <w:t>8.06</w:t>
            </w:r>
          </w:p>
        </w:tc>
      </w:tr>
      <w:tr w:rsidR="001E25FA" w:rsidRPr="0038459B" w:rsidTr="0085216A">
        <w:tc>
          <w:tcPr>
            <w:tcW w:w="3002"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lastRenderedPageBreak/>
              <w:t>30 years old &amp; older</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6.40</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1.99</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26.36</w:t>
            </w:r>
          </w:p>
        </w:tc>
        <w:tc>
          <w:tcPr>
            <w:tcW w:w="1502" w:type="dxa"/>
            <w:tcBorders>
              <w:top w:val="nil"/>
              <w:left w:val="nil"/>
              <w:bottom w:val="single" w:sz="4" w:space="0" w:color="auto"/>
              <w:right w:val="nil"/>
            </w:tcBorders>
          </w:tcPr>
          <w:p w:rsidR="001E25FA" w:rsidRPr="001E25FA" w:rsidRDefault="001E25FA" w:rsidP="0085216A">
            <w:pPr>
              <w:spacing w:line="480" w:lineRule="auto"/>
              <w:rPr>
                <w:b w:val="0"/>
                <w:lang w:eastAsia="en-US"/>
              </w:rPr>
            </w:pPr>
            <w:r w:rsidRPr="001E25FA">
              <w:rPr>
                <w:b w:val="0"/>
                <w:lang w:eastAsia="en-US"/>
              </w:rPr>
              <w:t>8.75</w:t>
            </w:r>
          </w:p>
        </w:tc>
      </w:tr>
    </w:tbl>
    <w:p w:rsidR="001E25FA" w:rsidRPr="0038459B" w:rsidRDefault="001E25FA" w:rsidP="001E25FA">
      <w:pPr>
        <w:spacing w:line="480" w:lineRule="auto"/>
      </w:pPr>
    </w:p>
    <w:p w:rsidR="001E25FA" w:rsidRPr="0038459B" w:rsidRDefault="001E25FA" w:rsidP="001E25FA">
      <w:pPr>
        <w:spacing w:line="480" w:lineRule="auto"/>
      </w:pPr>
      <w:r w:rsidRPr="0038459B">
        <w:t>The means score for MA in the traditional-aged students (</w:t>
      </w:r>
      <w:r w:rsidRPr="0038459B">
        <w:rPr>
          <w:i/>
        </w:rPr>
        <w:t xml:space="preserve">M </w:t>
      </w:r>
      <w:r w:rsidRPr="0038459B">
        <w:t xml:space="preserve">= 25.70, </w:t>
      </w:r>
      <w:r w:rsidRPr="0038459B">
        <w:rPr>
          <w:i/>
        </w:rPr>
        <w:t xml:space="preserve">SD </w:t>
      </w:r>
      <w:r w:rsidRPr="0038459B">
        <w:t>= 8.06) was slightly lower than found in the non-traditional-aged students (</w:t>
      </w:r>
      <w:r w:rsidRPr="0038459B">
        <w:rPr>
          <w:i/>
        </w:rPr>
        <w:t xml:space="preserve">M </w:t>
      </w:r>
      <w:r w:rsidRPr="0038459B">
        <w:t xml:space="preserve">= 26.36, </w:t>
      </w:r>
      <w:r w:rsidRPr="0038459B">
        <w:rPr>
          <w:i/>
        </w:rPr>
        <w:t xml:space="preserve">SD </w:t>
      </w:r>
      <w:r w:rsidRPr="0038459B">
        <w:t>= 8.75), although no significant differences were found (</w:t>
      </w:r>
      <w:r w:rsidRPr="0038459B">
        <w:rPr>
          <w:i/>
        </w:rPr>
        <w:t>t</w:t>
      </w:r>
      <w:r w:rsidRPr="0038459B">
        <w:t xml:space="preserve">(106) = -.414, </w:t>
      </w:r>
      <w:r w:rsidRPr="0038459B">
        <w:rPr>
          <w:i/>
        </w:rPr>
        <w:t>p&gt;.</w:t>
      </w:r>
      <w:r w:rsidRPr="0038459B">
        <w:t>05).  The means scores for non-traditional-aged students MP was slightly higher (</w:t>
      </w:r>
      <w:r w:rsidRPr="0038459B">
        <w:rPr>
          <w:i/>
        </w:rPr>
        <w:t xml:space="preserve">M </w:t>
      </w:r>
      <w:r w:rsidRPr="0038459B">
        <w:t xml:space="preserve">= 6.40, </w:t>
      </w:r>
      <w:r w:rsidRPr="0038459B">
        <w:rPr>
          <w:i/>
        </w:rPr>
        <w:t xml:space="preserve">SD </w:t>
      </w:r>
      <w:r w:rsidRPr="0038459B">
        <w:t>= 1.99) than the traditional-aged students (</w:t>
      </w:r>
      <w:r w:rsidRPr="0038459B">
        <w:rPr>
          <w:i/>
        </w:rPr>
        <w:t xml:space="preserve">M </w:t>
      </w:r>
      <w:r w:rsidRPr="0038459B">
        <w:t xml:space="preserve">= 6.27, </w:t>
      </w:r>
      <w:r w:rsidRPr="0038459B">
        <w:rPr>
          <w:i/>
        </w:rPr>
        <w:t xml:space="preserve">SD </w:t>
      </w:r>
      <w:r w:rsidRPr="0038459B">
        <w:t>= 1.53), resulting in a nonsignificant difference (</w:t>
      </w:r>
      <w:r w:rsidRPr="0038459B">
        <w:rPr>
          <w:i/>
        </w:rPr>
        <w:t>t</w:t>
      </w:r>
      <w:r w:rsidRPr="0038459B">
        <w:t xml:space="preserve">(106) = -.399, </w:t>
      </w:r>
      <w:r w:rsidRPr="0038459B">
        <w:rPr>
          <w:i/>
        </w:rPr>
        <w:t>p&gt;.</w:t>
      </w:r>
      <w:r w:rsidRPr="0038459B">
        <w:t xml:space="preserve">05).  The analysis confirms age was not a contributing factor to MA and MP within the sample and model. </w:t>
      </w:r>
    </w:p>
    <w:p w:rsidR="001E25FA" w:rsidRPr="0038459B" w:rsidRDefault="001E25FA" w:rsidP="001E25FA">
      <w:pPr>
        <w:spacing w:line="480" w:lineRule="auto"/>
      </w:pPr>
      <w:r w:rsidRPr="0038459B">
        <w:tab/>
      </w:r>
    </w:p>
    <w:p w:rsidR="001E25FA" w:rsidRPr="0038459B" w:rsidRDefault="001E25FA" w:rsidP="001E25FA">
      <w:pPr>
        <w:spacing w:line="480" w:lineRule="auto"/>
      </w:pPr>
      <w:r w:rsidRPr="0038459B">
        <w:tab/>
        <w:t xml:space="preserve">The previous statistical analysis considered the criterion variables separately, although the aim of the study was to measure the relationship between MP and MA.  A Pearson’s </w:t>
      </w:r>
      <w:r w:rsidRPr="0038459B">
        <w:rPr>
          <w:i/>
        </w:rPr>
        <w:t xml:space="preserve">r </w:t>
      </w:r>
      <w:r w:rsidRPr="0038459B">
        <w:t>data analysis was conducted, which revealed a moderate inverse effect size (</w:t>
      </w:r>
      <w:r w:rsidRPr="0038459B">
        <w:rPr>
          <w:i/>
        </w:rPr>
        <w:t>r</w:t>
      </w:r>
      <w:r w:rsidRPr="0038459B">
        <w:t xml:space="preserve"> = -.46) (Cohen, 1988).  This relationship was further analysed by conducting an independent </w:t>
      </w:r>
      <w:r w:rsidRPr="0038459B">
        <w:rPr>
          <w:i/>
        </w:rPr>
        <w:t>t</w:t>
      </w:r>
      <w:r w:rsidRPr="0038459B">
        <w:t>-test, the MP scores were analysed by two groups, high and low maths-anxious and the MA scores were coded as scores below 22 as low MA and above 21 as high MA.  The results were significant (</w:t>
      </w:r>
      <w:r w:rsidRPr="0038459B">
        <w:rPr>
          <w:i/>
        </w:rPr>
        <w:t>t</w:t>
      </w:r>
      <w:r w:rsidRPr="0038459B">
        <w:t xml:space="preserve">(106) = 5.75, </w:t>
      </w:r>
      <w:r w:rsidRPr="0038459B">
        <w:rPr>
          <w:i/>
        </w:rPr>
        <w:t>p&lt;</w:t>
      </w:r>
      <w:r w:rsidRPr="0038459B">
        <w:t>05), with the low maths-anxious group achieving a greater mean score for MP (</w:t>
      </w:r>
      <w:r w:rsidRPr="0038459B">
        <w:rPr>
          <w:i/>
        </w:rPr>
        <w:t xml:space="preserve">M </w:t>
      </w:r>
      <w:r w:rsidRPr="0038459B">
        <w:t xml:space="preserve">= 7.33, </w:t>
      </w:r>
      <w:r w:rsidRPr="0038459B">
        <w:rPr>
          <w:i/>
        </w:rPr>
        <w:t xml:space="preserve">SD </w:t>
      </w:r>
      <w:r w:rsidRPr="0038459B">
        <w:t>= 1.43) than the high maths-anxious group (</w:t>
      </w:r>
      <w:r w:rsidRPr="0038459B">
        <w:rPr>
          <w:i/>
        </w:rPr>
        <w:t xml:space="preserve">M </w:t>
      </w:r>
      <w:r w:rsidRPr="0038459B">
        <w:t xml:space="preserve">= 5.60, </w:t>
      </w:r>
      <w:r w:rsidRPr="0038459B">
        <w:rPr>
          <w:i/>
        </w:rPr>
        <w:t xml:space="preserve">SD </w:t>
      </w:r>
      <w:r w:rsidRPr="0038459B">
        <w:t xml:space="preserve">= 1.62).  </w:t>
      </w:r>
    </w:p>
    <w:p w:rsidR="001E25FA" w:rsidRDefault="001E25FA" w:rsidP="001E25FA">
      <w:pPr>
        <w:spacing w:line="480" w:lineRule="auto"/>
        <w:rPr>
          <w:sz w:val="28"/>
          <w:szCs w:val="28"/>
          <w:u w:val="single"/>
        </w:rPr>
      </w:pPr>
    </w:p>
    <w:p w:rsidR="001E25FA" w:rsidRDefault="001E25FA" w:rsidP="001E25FA">
      <w:pPr>
        <w:spacing w:line="480" w:lineRule="auto"/>
        <w:rPr>
          <w:sz w:val="28"/>
          <w:szCs w:val="28"/>
          <w:u w:val="single"/>
        </w:rPr>
      </w:pPr>
    </w:p>
    <w:p w:rsidR="001E25FA" w:rsidRDefault="001E25FA" w:rsidP="001E25FA">
      <w:pPr>
        <w:spacing w:line="480" w:lineRule="auto"/>
        <w:rPr>
          <w:sz w:val="28"/>
          <w:szCs w:val="28"/>
          <w:u w:val="single"/>
        </w:rPr>
      </w:pPr>
    </w:p>
    <w:p w:rsidR="001E25FA" w:rsidRDefault="001E25FA" w:rsidP="001E25FA">
      <w:pPr>
        <w:spacing w:line="480" w:lineRule="auto"/>
        <w:rPr>
          <w:sz w:val="28"/>
          <w:szCs w:val="28"/>
          <w:u w:val="single"/>
        </w:rPr>
      </w:pPr>
    </w:p>
    <w:p w:rsidR="001E25FA" w:rsidRDefault="001E25FA" w:rsidP="001E25FA">
      <w:pPr>
        <w:spacing w:line="480" w:lineRule="auto"/>
        <w:rPr>
          <w:sz w:val="28"/>
          <w:szCs w:val="28"/>
          <w:u w:val="single"/>
        </w:rPr>
      </w:pPr>
    </w:p>
    <w:p w:rsidR="001E25FA" w:rsidRPr="0029113F" w:rsidRDefault="001E25FA" w:rsidP="001E25FA">
      <w:pPr>
        <w:spacing w:line="480" w:lineRule="auto"/>
        <w:rPr>
          <w:sz w:val="28"/>
          <w:szCs w:val="28"/>
          <w:u w:val="single"/>
        </w:rPr>
      </w:pPr>
      <w:r w:rsidRPr="0029113F">
        <w:rPr>
          <w:sz w:val="28"/>
          <w:szCs w:val="28"/>
          <w:u w:val="single"/>
        </w:rPr>
        <w:lastRenderedPageBreak/>
        <w:t>Chapter five: Discussion</w:t>
      </w:r>
    </w:p>
    <w:p w:rsidR="001E25FA" w:rsidRPr="0038459B" w:rsidRDefault="001E25FA" w:rsidP="001E25FA">
      <w:pPr>
        <w:spacing w:line="480" w:lineRule="auto"/>
      </w:pPr>
      <w:r w:rsidRPr="0038459B">
        <w:tab/>
        <w:t xml:space="preserve">The aim of this study was to consider the relationship between MA and MP, and whether an individual’s ATM, earlier teaching experiences, the level of WM-capacity, and age of the undergraduate student affected MA and MP.  Primarily, this study conducted two multiple regressions to determine the strongest predictor variables for both criterion variables.  The findings showed WM-capacity and teaching experiences were the strongest predictor variables for MP within this model and based on the significance of the predictor variables the hypothesis was predicted.  The results of further statistical analysis showed the interaction effect of teaching experiences and WM-capacity were nonsignificant predictors of MP, which is unsupportive of the first hypothesis of this study.  Despite, the findings of previous research conducted on children and adults reporting poor teaching experiences negatively impacted MP (Ashcraft &amp; Krause, 2007; Beilock </w:t>
      </w:r>
      <w:r w:rsidRPr="0038459B">
        <w:rPr>
          <w:i/>
        </w:rPr>
        <w:t>et al.</w:t>
      </w:r>
      <w:r w:rsidRPr="0038459B">
        <w:t xml:space="preserve">, 2010; Bekdemir, 2010; Jackson &amp; Leffingwell, 1999).  Likewise, research has found individuals may experience difficulties that are mediated by different levels of WM-capacity: in basic numerical skills, double-digit computations, and in complex procedure-based problems (Ashcraft &amp; Faust, 1994, </w:t>
      </w:r>
      <w:r w:rsidRPr="0038459B">
        <w:rPr>
          <w:i/>
        </w:rPr>
        <w:t>cited by</w:t>
      </w:r>
      <w:r w:rsidRPr="0038459B">
        <w:t xml:space="preserve"> Ashcraft &amp; Kirk, 2001, p. 224; Ashcraft &amp; Krause, 2007; Faust</w:t>
      </w:r>
      <w:r w:rsidRPr="0038459B">
        <w:rPr>
          <w:i/>
        </w:rPr>
        <w:t xml:space="preserve"> et al.</w:t>
      </w:r>
      <w:r w:rsidRPr="0038459B">
        <w:t xml:space="preserve">, 1996; Maloney </w:t>
      </w:r>
      <w:r w:rsidRPr="0038459B">
        <w:rPr>
          <w:i/>
        </w:rPr>
        <w:t>et al.</w:t>
      </w:r>
      <w:r w:rsidRPr="0038459B">
        <w:t>, 2010; Maloney &amp; Beilock, 2012).  The nonsignificant interaction effect found in this study may represent WM-capacity differences in the participants, and how the impairment may relate to different types of maths tasks.</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MP test employed in this study mostly comprised of double-digit problems, potentially lacking the complexity to impair the WM for some of the participants (Ashcraft &amp; Krause, 2007).  However, there is uncertainty whether the complexity is attributable to the low or high WM-capacity groups.  Researchers have suggested, individuals that retain higher WM-capacity outperform the individuals that hold lower levels of WM-capacity when </w:t>
      </w:r>
      <w:r w:rsidRPr="0038459B">
        <w:lastRenderedPageBreak/>
        <w:t xml:space="preserve">solving basic and applied maths, which is likely to be facilitated by additional WM resources (Ashcraft &amp; Kirk, 2001; Miller &amp; Bichsel, 2004).  Whereas, later research reported the individuals that retain higher WM-capacity and experience MA are overly reliant on the WM to process solutions, which is likely to facilitate greater volume of errors than those with low WM-capacity (Ching, 2017; Maloney </w:t>
      </w:r>
      <w:r w:rsidRPr="0038459B">
        <w:rPr>
          <w:i/>
        </w:rPr>
        <w:t>et al.</w:t>
      </w:r>
      <w:r w:rsidRPr="0038459B">
        <w:t xml:space="preserve">, 2010; Maloney </w:t>
      </w:r>
      <w:r w:rsidRPr="0038459B">
        <w:rPr>
          <w:i/>
        </w:rPr>
        <w:t>et al.</w:t>
      </w:r>
      <w:r w:rsidRPr="0038459B">
        <w:t xml:space="preserve">, 2011; Ramirez </w:t>
      </w:r>
      <w:r w:rsidRPr="0038459B">
        <w:rPr>
          <w:i/>
        </w:rPr>
        <w:t>et al.</w:t>
      </w:r>
      <w:r w:rsidRPr="0038459B">
        <w:t xml:space="preserve">, 2016).  Therefore, empirical research implies the participants that retain higher WM-capacity are likely to outperform their counterparts in maths tasks.  Although, the participants with higher WM-capacity are prone to make more errors in basic numerical processing, due to the over-reliance on WM to solve problems.  Therefore, previous research may explain the nonsignificant interaction effect findings of the current study, purporting those with a high level of WM-capacity are likely to achieve higher MP scores.  Although, the high WM-capacity may also elicit a greater error rate.  Potentially the inclusion of a test that replicates Maloney </w:t>
      </w:r>
      <w:r w:rsidRPr="0038459B">
        <w:rPr>
          <w:i/>
        </w:rPr>
        <w:t>et al.</w:t>
      </w:r>
      <w:r w:rsidRPr="0038459B">
        <w:t xml:space="preserve"> (2010) may have identified the participants that encounter difficulties in basic numerical competency than the test employed.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Additionally, the MP test utilised in this study was timed-constrained, and the time restriction was likely to induce anxiety in some participants.  Research suggested individuals that retain a high level of WM outperform those with low WM-capacity in an unpressurised maths evaluation test; although under a pressurised condition the results were comparable on tasks incumbent on WM resources (Beilock &amp; Carr, 2005; Ramirez </w:t>
      </w:r>
      <w:r w:rsidRPr="0038459B">
        <w:rPr>
          <w:i/>
        </w:rPr>
        <w:t>et al.</w:t>
      </w:r>
      <w:r w:rsidRPr="0038459B">
        <w:t xml:space="preserve">, 2016).  Suggesting individuals that retain a high level of WM-capacity and are reliant on WM to process the maths task are susceptible to impaired MP as a function of anxiety.  This may have limited the MP of the high WM-capacity participants in this study.  Therefore, the nonsignificant interaction effect found in this study may represent the several factors relating to the individual differences in WM.  As the complexity of tasks may impede some participants that </w:t>
      </w:r>
      <w:r w:rsidRPr="0038459B">
        <w:lastRenderedPageBreak/>
        <w:t>displayed high WM-capacity, dependent on the task at hand, which may be further impeded under a timed-constrained test.  The findings of this study suggest WM-capacity and previous teaching experiences are likely to contribute towards inferior MP; although other factors and individual differences are also likely to contribute to inferior MP.</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second multiple regression found ATM and WM-capacity were the strongest predictors of MA, and the hypothesis two reflected the significant findings.  However, the results of a two-way ANOVA found the interaction effect for ATM and WM-capacity were nonsignificant predictors of MA, which did not support hypothesis two of this study.  The main effects were significant for ATM and MA, and for WM-capacity and MA.  The findings of the interaction of the two predictor variables was unexpected, as the prediction was based on empirical research that found MA disrupts WM and a negative ATM is associated with MA, potentially an antecedent of MA (Ashcraft &amp; Kirk, 2001; Hembree, 1990; Ma &amp; Kishor, 1997; Soni &amp; Kumari, 2017).  An antecedent of MA appears to be a plausible explanation for a negative ATM.  As an individual free from affects MA may develop negative ATM from the behaviours observed in teachers and by parents in their formative years (Gunderson </w:t>
      </w:r>
      <w:r w:rsidRPr="0038459B">
        <w:rPr>
          <w:i/>
        </w:rPr>
        <w:t>et al.</w:t>
      </w:r>
      <w:r w:rsidRPr="0038459B">
        <w:t>,</w:t>
      </w:r>
      <w:r w:rsidRPr="0038459B">
        <w:rPr>
          <w:i/>
        </w:rPr>
        <w:t xml:space="preserve"> </w:t>
      </w:r>
      <w:r w:rsidRPr="0038459B">
        <w:t xml:space="preserve">2010; Maloney </w:t>
      </w:r>
      <w:r w:rsidRPr="0038459B">
        <w:rPr>
          <w:i/>
        </w:rPr>
        <w:t>et al.</w:t>
      </w:r>
      <w:r w:rsidRPr="0038459B">
        <w:t xml:space="preserve">, 2015; Soni &amp; Kumari, 2017).  Therefore, it is conceivable for participants to develop a negative ATM from childhood experiences, without developing MA.  The nonsignificant two-way interaction effect found in this study may represent several participants reported a negative ATM, without reporting high levels of MA.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debilitating impact of MA is experienced when solving a maths problem, by co-opting WM and is related regularly found to impair the individual’s MP (Ashcraft &amp; Kirk, 2001; Maloney </w:t>
      </w:r>
      <w:r w:rsidRPr="0038459B">
        <w:rPr>
          <w:i/>
        </w:rPr>
        <w:t>et al.</w:t>
      </w:r>
      <w:r w:rsidRPr="0038459B">
        <w:t xml:space="preserve">, 2010; Young </w:t>
      </w:r>
      <w:r w:rsidRPr="0038459B">
        <w:rPr>
          <w:i/>
        </w:rPr>
        <w:t>et al.</w:t>
      </w:r>
      <w:r w:rsidRPr="0038459B">
        <w:t xml:space="preserve">, 2012).  Whereas, a negative ATM is associated with a dislike of maths and found to demotivate the individual from engaging in maths </w:t>
      </w:r>
      <w:r w:rsidRPr="0038459B">
        <w:lastRenderedPageBreak/>
        <w:t xml:space="preserve">learning, which may depress MP by lacking confidence and exposure to succeed (Ashcraft &amp; Kirk, 2001; Ma &amp; Kishor, 1997).  Ashcraft &amp; Kirk (2001) argued ATM including MA impairs MP by the lack of engagement, and MA interrupts WM with a direct consequence when carrying-out a maths task.  Therefore, the ruminations associated with MA that impede maths computation by co-opting WM resources is likely to differ from the emotional reactivity facilitated by a negative ATM.  This potential relationship may explain the nonsignificant two-way interaction found in this study, as MA may interact with WM-capacity and negative ATM differently.  The impact on WM-capacity is likely to differ, as research has provided evidence to the impairment elicited by MA, although research conducted ATM is related to MA; not WM-capacity (Ashcraft &amp; Kirk, 2001; Young </w:t>
      </w:r>
      <w:r w:rsidRPr="0038459B">
        <w:rPr>
          <w:i/>
        </w:rPr>
        <w:t>et al.</w:t>
      </w:r>
      <w:r w:rsidRPr="0038459B">
        <w:t xml:space="preserve">, 2012).  However, a bidirectional pathway is also likely, as suggested by the reciprocal theory (Carey </w:t>
      </w:r>
      <w:r w:rsidRPr="0038459B">
        <w:rPr>
          <w:i/>
        </w:rPr>
        <w:t>et al.</w:t>
      </w:r>
      <w:r w:rsidRPr="0038459B">
        <w:t xml:space="preserve">, 2016).  A negative ATM may develop prior to MA (Ma &amp; Kishor, 1997; Soni &amp; Kumari, 2017), or develop as a consequence of MA (Ashcraft &amp; Kirk, 2001), and potentially for some of the participants in this study interact to impair WM-capacity.  Therefore, the nonsignificant interaction effect may represent participants may experience MA and a negative ATM, in isolation or in unison, and the interaction with WM is likely to differ.  Potentially, a qualitative approach may have assisted the research, to determine the underlying themes in the relationship between ATM and MA.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Another potential cause for the nonsignificant interaction effect found, is related to the questionnaire employed.  The questionnaire utilised to gather data relating to the participants ATM, comprised of six questions that were adapted from the Mathematics Attitude Scales (Fennema &amp; Sherman, 1976).  The original scale comprised of 60 questions to determine an individual’s ATM, 12 questions in five categories relating to attitudes towards maths relating to: success, male domain, confidence, usefulness, and motivation </w:t>
      </w:r>
      <w:r w:rsidRPr="0038459B">
        <w:lastRenderedPageBreak/>
        <w:t>(Fennema &amp; Sherman, 1976).  Potentially the limited number of questions employed in this study was insufficient to capture a true reflection of the participants ATM and impacted the significance of the findings.  Notwithstanding, the findings of this study, suggest the level ATM may contribute to MA, although the effect on the individual’s performance is likely to be mediated by level of WM-capacity.</w:t>
      </w:r>
    </w:p>
    <w:p w:rsidR="001E25FA" w:rsidRPr="0038459B" w:rsidRDefault="001E25FA" w:rsidP="001E25FA">
      <w:pPr>
        <w:spacing w:line="480" w:lineRule="auto"/>
      </w:pPr>
      <w:r w:rsidRPr="0038459B">
        <w:t xml:space="preserve"> </w:t>
      </w:r>
    </w:p>
    <w:p w:rsidR="001E25FA" w:rsidRPr="0038459B" w:rsidRDefault="001E25FA" w:rsidP="001E25FA">
      <w:pPr>
        <w:spacing w:line="480" w:lineRule="auto"/>
      </w:pPr>
      <w:r w:rsidRPr="0038459B">
        <w:tab/>
        <w:t xml:space="preserve">Another aim of the research was to explore whether MP and MA differed by the age of the undergraduate, as previous research is infrequent and inconclusive.  The traditional-aged and non-traditional-aged student in this study achieved a mean score five points greater than the undergraduate students achieved on the first implementation of the scale.  No generalisation is intended between these studies, as various unmeasurable differences are likely, and the original study lacks detail as to what courses the participants studied or age differentials between the participants.  The statistical analysis in this study found no significant age differences in MP and MA which supports the third and fourth hypotheses of this research.  Although, the non-traditional-aged participants MP mean score was marginally greater than the traditional-aged students, and the traditional-aged group reported marginally less MA.  Therefore, the findings suggest among undergraduates studying non-maths related courses, age may not determine an individual’s level of MA and MP.  As both MA and mathematical proficiency are potentially already formed and maintained during their maths development.  Albeit, unlike children’s studies, research conducted on adults potentially highlight the consequences of MA, by promoting maths-avoidance at university which may limit future vocational opportunities (Ashcraft &amp; Kirk, 2001; Beilock &amp; Maloney, 2015; Hembree, 1990; Wigfield &amp; Meece, 1988).  The nonsignificant differences found for MA between the two age-groups may represent maths-avoidance within this sample that are enrolled in non-maths related courses.  As previous correlational studies found a small </w:t>
      </w:r>
      <w:r w:rsidRPr="0038459B">
        <w:lastRenderedPageBreak/>
        <w:t xml:space="preserve">significant relationship between age and MA that predominantly recruited participants from maths related courses, and similar levels of MA were reported in traditional-aged participants across various courses studied (Betz, 1978; Hamza &amp; Ahmed, 2013; Jameson &amp; Fusco, 2014).  Although, these studies employed different age classifications to this current study.  Jameson &amp; Fusco (2014) assessed the participants level of MA by utilising the same scale utilised by this study, although age was classified into two levels (18-24 years old, and over 24 years old) which differed to this study’s age classification.  The variance in age classification and courses studied may represent the differential in the findings between the studies.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However, the lack of significant age differences found for MA and MP in this study, potentially indicates the deleterious impact of MA is persistent, as the traditional-age group reported similar mean scores to the non-traditional-aged group in both MA and MP.  While this may infer a generalisation and lack the support of empirical research, it implies any potential measures recently utilised by educators to improve MP or alleviate MA are possibly ineffective, and this argument is supported by the findings of PISA (OCED, 2009, 2012, 2013, 2015), which show MP is declining and MA is increasing.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adverse relationship between MA and MP has frequently been considered and was an aim of this current study.  The statistical analysis found a moderate relationship between MA and MP which supports the fifth hypothesis of this study and supports the findings of Hembree (1990).  The correlation found suggests the level of MA impaired the participants MP and accounted for almost half of the variance.  However, the effect size was greater than reported by Hembree (1990), although the meta-analytical review comprised of a greater volume of participants.  The moderate effect size found implies the impact was </w:t>
      </w:r>
      <w:r w:rsidRPr="0038459B">
        <w:lastRenderedPageBreak/>
        <w:t xml:space="preserve">greater on the high maths-anxious group, which was the sixth hypothesis of this study.  This was supported, as the results found significant differences in MP between the low and high maths-anxious groups and supports the findings of previous studies (Ashcraft &amp; Kirk, 2001; Ashcraft &amp; Krause, 2007; Devine </w:t>
      </w:r>
      <w:r w:rsidRPr="0038459B">
        <w:rPr>
          <w:i/>
        </w:rPr>
        <w:t>et al.</w:t>
      </w:r>
      <w:r w:rsidRPr="0038459B">
        <w:t xml:space="preserve">, 2012; Hembree, 1990, Ma, 1999; Miller &amp; Bischel, 2004; Wigfield &amp; Meece, 1988).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In general, the results of this study suggest, the level of MA is potentially consistent and is associated with a negative ATM.  While encountering bad teaching experiences are likely to impair MP.  Both MA and MP are associated with the level of WM-capacity held, and there is a moderate relationship between MP and MA.  Suggesting, the level of MA impairs MP and is mediated by WM-capacity that is also attributable to past teaching experiences and observed behaviours relating to maths that potentially nurtured a negative ATM.  The findings found the individuals that reported higher levels of MA performed more poorly on the MP test.  Therefore, how a child is educated may determine future exposure, which may restrict higher educational and vocational opportunities. </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Implications</w:t>
      </w:r>
    </w:p>
    <w:p w:rsidR="001E25FA" w:rsidRPr="0038459B" w:rsidRDefault="001E25FA" w:rsidP="001E25FA">
      <w:pPr>
        <w:spacing w:line="480" w:lineRule="auto"/>
      </w:pPr>
      <w:r w:rsidRPr="0038459B">
        <w:tab/>
        <w:t xml:space="preserve">The results show the level of MA and the deleterious impairment MP is consistent and persistent among two age-groups of university undergraduates that chose to enrol on non-maths related courses.  Therefore, the level of MA found in this current study has implications for the educational system in this country.  Preservice primary school teachers that are required to teach children maths, should be screened for their level of MA (Bekdemir, 2010).  As a secondary school qualification in maths may not determine the presence MA or demonstrate their future teaching style and behaviour involving maths in the future.  Potentially such individuals may model what they experienced when the preservice </w:t>
      </w:r>
      <w:r w:rsidRPr="0038459B">
        <w:lastRenderedPageBreak/>
        <w:t xml:space="preserve">teachers were educated (Bekdemir, 2010). The prospective future primary school teachers should be taught methods to reduce their level of MA and strategies to reduce the transference of MA and negative ATM to the children they will teach (Bekdemir, 2010).  In-service teachers may also require strategies to reduce personal MA and instruction how to reduce MA transference and demote negative ATM to the children they educate.  As research has shown preservice teachers of yesteryear reported the highest levels of MA (Bekdemir, 2010; Hembree, 1990).  While this is based on research conducted outside this country, conceivably similar findings may be found in this country.  Parents also play an important role a child’s maths development, and to restrict the transference of MA and a negative ATM, educators should consider whether setting maths homework contributes to the transference of both to the child (Maloney </w:t>
      </w:r>
      <w:r w:rsidRPr="0038459B">
        <w:rPr>
          <w:i/>
        </w:rPr>
        <w:t>et al.</w:t>
      </w:r>
      <w:r w:rsidRPr="0038459B">
        <w:t xml:space="preserve">, 2015; Soni &amp; Kumari, 2017).  If schools persist to set maths homework, parents of maths-anxious children should be instructed of the maths procedures utilised to maintain consistency.  To reduce a child’s confusion elicited by incongruent teaching styles and alternative maths procedures utilised to solve the problems set.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MA is not a new concept, and research in the past three decades shows how MA is potentially perpetuated by parental and educators’ negative beliefs, ATM, and MA (Bekdemir, 2010; Gunderson </w:t>
      </w:r>
      <w:r w:rsidRPr="0038459B">
        <w:rPr>
          <w:i/>
        </w:rPr>
        <w:t xml:space="preserve">et al. </w:t>
      </w:r>
      <w:r w:rsidRPr="0038459B">
        <w:t xml:space="preserve">2012; Hembree, 1990; Ramirez </w:t>
      </w:r>
      <w:r w:rsidRPr="0038459B">
        <w:rPr>
          <w:i/>
        </w:rPr>
        <w:t>et al.</w:t>
      </w:r>
      <w:r w:rsidRPr="0038459B">
        <w:t xml:space="preserve">, 2015; Soni &amp; Kumari, 2017).  Moreover, the data supplied by PISA report MP is declining, and MA is increasing (OCED, 2009, 2012, 2013, 2015).  Therefore, if the educators do what they have done before, MA and inferior MP will persist, and individuals that retain negative ATM and MA are likely to avoid maths in higher education, restricting the potential future vocational opportunities (Ashcraft &amp; Kirk, 2001; Beilock &amp; Maloney, 2015; Hembree, 1990; Wigfield &amp; Meece, 1988).  </w:t>
      </w:r>
    </w:p>
    <w:p w:rsidR="001E25FA" w:rsidRPr="0038459B" w:rsidRDefault="001E25FA" w:rsidP="001E25FA">
      <w:pPr>
        <w:spacing w:line="480" w:lineRule="auto"/>
      </w:pPr>
      <w:r w:rsidRPr="0038459B">
        <w:tab/>
      </w:r>
    </w:p>
    <w:p w:rsidR="001E25FA" w:rsidRPr="0038459B" w:rsidRDefault="001E25FA" w:rsidP="001E25FA">
      <w:pPr>
        <w:spacing w:line="480" w:lineRule="auto"/>
        <w:rPr>
          <w:i/>
        </w:rPr>
      </w:pPr>
      <w:r w:rsidRPr="0038459B">
        <w:rPr>
          <w:i/>
        </w:rPr>
        <w:lastRenderedPageBreak/>
        <w:t>Limitations</w:t>
      </w:r>
    </w:p>
    <w:p w:rsidR="001E25FA" w:rsidRPr="0038459B" w:rsidRDefault="001E25FA" w:rsidP="001E25FA">
      <w:pPr>
        <w:spacing w:line="480" w:lineRule="auto"/>
      </w:pPr>
      <w:r w:rsidRPr="0038459B">
        <w:rPr>
          <w:i/>
        </w:rPr>
        <w:tab/>
      </w:r>
      <w:r w:rsidRPr="0038459B">
        <w:t xml:space="preserve">The researcher attempted to maintain the validity of the study throughout; however, there are limitations and possible inclusions that could be considered by future studies.  In the main, these relate to the number of participants.  The study recruited 28 male and 80 female participants, although gender was not an independent variable of this study, the intention was to recruit comparable numbers of each gender.  As previous research indicated, most studies that considered MA gender differences, reported female participants tend to self-report higher levels of MA than male participants (Devine </w:t>
      </w:r>
      <w:r w:rsidRPr="0038459B">
        <w:rPr>
          <w:i/>
        </w:rPr>
        <w:t>et al.,</w:t>
      </w:r>
      <w:r w:rsidRPr="0038459B">
        <w:t xml:space="preserve"> 2012).  This implies the male participants are more likely to underrate the level of MA, and the females potentially overrate the level of MA.  Flessati &amp; Jamieson (1991; </w:t>
      </w:r>
      <w:r w:rsidRPr="0038459B">
        <w:rPr>
          <w:i/>
        </w:rPr>
        <w:t>cited by</w:t>
      </w:r>
      <w:r w:rsidRPr="0038459B">
        <w:t xml:space="preserve">, Rubinsten, Bailik, &amp; Solar, 2012) suggested gender differences in reporting MA is partially explained by females being overly self-critical of their performance and level of anxiety.  This potential consistency suggests, the recruitment of additional male participants in this study may have nullified the potential artefact bias, as the majority of the participants in this study were female and potentially elevated the mean scores reported for MA. </w:t>
      </w:r>
    </w:p>
    <w:p w:rsidR="001E25FA" w:rsidRPr="0038459B" w:rsidRDefault="001E25FA" w:rsidP="001E25FA">
      <w:pPr>
        <w:spacing w:line="480" w:lineRule="auto"/>
      </w:pPr>
    </w:p>
    <w:p w:rsidR="001E25FA" w:rsidRPr="0038459B" w:rsidRDefault="001E25FA" w:rsidP="001E25FA">
      <w:pPr>
        <w:spacing w:line="480" w:lineRule="auto"/>
      </w:pPr>
      <w:r w:rsidRPr="0038459B">
        <w:tab/>
        <w:t xml:space="preserve">The participants of the study were gathered from several Social studies, Psychology, and English degree courses offered at three campuses.  The intention of the researcher was to recruit participants studying for a teaching degree.  Previous research has reported preservice teachers tend to self-report the highest mean score for MA, compared to undergraduates studying other subjects (Hembree, 1990).  Moreover, the wealth of research conducted that investigated teachers’ or preservice teachers’ level of MA and maths competence have been conducted outside this country.  Bekdemir (2010) reported over half of the preservice teacher participants self-reported a moderate level of MA, which was mostly influenced by negative teaching experiences as a child.  While, Gresham (2017) found the level of MA was likely to </w:t>
      </w:r>
      <w:r w:rsidRPr="0038459B">
        <w:lastRenderedPageBreak/>
        <w:t>improve slightly, after five years of teaching maths.  Therefore, the level of MA experienced by the preservice teachers may provide invaluable data of the level on MA experienced, and whether these future teachers are likely to perpetuate MA in the children they educate.  Therefore, the inability to recruit preservice teachers is a limitation of the study, despite the researcher approaching several lecturers; no interest was forthcoming.  However, the time available to recruit participants was limited by the time ethical approval was granted, and the necessity to process the results to meet the imposed deadline.  The timeframe available may not have coincided with the availability of such participants.</w:t>
      </w:r>
    </w:p>
    <w:p w:rsidR="001E25FA" w:rsidRPr="0038459B" w:rsidRDefault="001E25FA" w:rsidP="001E25FA">
      <w:pPr>
        <w:spacing w:line="480" w:lineRule="auto"/>
      </w:pPr>
    </w:p>
    <w:p w:rsidR="001E25FA" w:rsidRPr="0038459B" w:rsidRDefault="001E25FA" w:rsidP="001E25FA">
      <w:pPr>
        <w:spacing w:line="480" w:lineRule="auto"/>
      </w:pPr>
      <w:r w:rsidRPr="0038459B">
        <w:tab/>
        <w:t>The research would have benefitted from the inclusion of an additional question in the demographic information sheet.  To ascertain whether any of the participants experienced mathematical learning disability or developmental dyscalculia, as research has found such individuals display higher levels of MA and display poorer MP (Passolunghi, 2011).  A study reported the prevalence rate for mathematical learning disabilities was estimated to be between 1-6% of the population in this country (Devine</w:t>
      </w:r>
      <w:r w:rsidRPr="0038459B">
        <w:rPr>
          <w:i/>
        </w:rPr>
        <w:t xml:space="preserve"> et al.</w:t>
      </w:r>
      <w:r w:rsidRPr="0038459B">
        <w:t>, 2013).  Based on this estimate, up-to seven of the individuals participating in this study potentially experienced mathematical learning disabilities, and their inclusion may have impacted the mean scores for MA and MP, by reporting higher rates of MA and achieving lower MP scores.  The inclusion of the additional question would have allowed the researcher to exclude such participants data from the research.  Especially in a small sample comprising of 108 participants, as the potential of seven participants experiencing mathematical learning disability is a greater percentage than the significant level required in psychology research.  Therefore, the inclusion of such participants may have impacted the findings.</w:t>
      </w:r>
    </w:p>
    <w:p w:rsidR="001E25FA" w:rsidRPr="0038459B" w:rsidRDefault="001E25FA" w:rsidP="001E25FA">
      <w:pPr>
        <w:spacing w:line="480" w:lineRule="auto"/>
      </w:pPr>
    </w:p>
    <w:p w:rsidR="001E25FA" w:rsidRPr="0038459B" w:rsidRDefault="001E25FA" w:rsidP="001E25FA">
      <w:pPr>
        <w:spacing w:line="480" w:lineRule="auto"/>
      </w:pPr>
      <w:r w:rsidRPr="0038459B">
        <w:lastRenderedPageBreak/>
        <w:tab/>
        <w:t xml:space="preserve">Another potential limitation which may have impacted the findings relates to the volume of questions that were employed to assess the participants level of ATM.  The questions were obtained from the Fennema &amp; Sherman Math Attitude Scales that used 60 questions to determine ATM (Fennema &amp; Sherman 1976).  The researcher chose to utilise six adapted questions from the original scale, being mindful of the limited time available to conduct the experimental sessions.  In reflection, additional questions would have been prudent.  Likewise, the study utilised an MP test devised for MA research, although the test comprises of mostly double-digit problems.  Based on the finding of Ramirez </w:t>
      </w:r>
      <w:r w:rsidRPr="0038459B">
        <w:rPr>
          <w:i/>
        </w:rPr>
        <w:t>et al</w:t>
      </w:r>
      <w:r w:rsidRPr="0038459B">
        <w:t xml:space="preserve">. (2016) and Ching (2017) which found the high maths-anxious displayed more basic numerical deficiencies, the inclusion of such tasks in this study may have benefitted the research.  This inclusion would have created three levels of MA.  To determine whether the individuals that reported the highest levels of MA experienced more basic numerical processing deficiencies, in comparison to those that reported a low or moderate level of MA.  Also, the study may have benefitted from the inclusion of a qualitative approach, to determine how the participants level of ATM, teaching experiences and MA potentially impacted their MP.  As on numerous occasions post-experiment, many participants wished to discuss their experiences and maths development.  While this study was not based on observations, the regularity the researcher encountered, deemed the inclusion.  Future research should consider utilising a mixed method design. </w:t>
      </w:r>
    </w:p>
    <w:p w:rsidR="001E25FA" w:rsidRPr="0038459B" w:rsidRDefault="001E25FA" w:rsidP="001E25FA">
      <w:pPr>
        <w:spacing w:line="480" w:lineRule="auto"/>
      </w:pPr>
    </w:p>
    <w:p w:rsidR="001E25FA" w:rsidRPr="0038459B" w:rsidRDefault="001E25FA" w:rsidP="001E25FA">
      <w:pPr>
        <w:spacing w:line="480" w:lineRule="auto"/>
      </w:pPr>
      <w:r w:rsidRPr="0038459B">
        <w:tab/>
        <w:t>Despite the potential limitations of the study, the strength of the research is based on reliable instruments utilised to gather data and conducted in an experimental condition.  The researcher endeavoured to facilitate a similar environment for all participants, to resist anxiety or stress to extract the participants underlying abilities and experiences.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lastRenderedPageBreak/>
        <w:t>Future research</w:t>
      </w:r>
    </w:p>
    <w:p w:rsidR="001E25FA" w:rsidRPr="0038459B" w:rsidRDefault="001E25FA" w:rsidP="001E25FA">
      <w:pPr>
        <w:spacing w:line="480" w:lineRule="auto"/>
      </w:pPr>
      <w:r w:rsidRPr="0038459B">
        <w:rPr>
          <w:i/>
        </w:rPr>
        <w:tab/>
      </w:r>
      <w:r w:rsidRPr="0038459B">
        <w:t>It is recommended that future research adopt a mixed method design, as the quantitative data may display how many individuals experience MA and infer other variables that contribute or are associated with MA.  Moreover, a wrath of quantitative research relating to MA already exists.  Due to the potential of individual differences that are likely to vary in the development of MA and to determine how MA develops and impedes MP, a qualitative approach may advance our knowledge and provide a greater understanding.  The study is recommended to investigate both primary and secondary school children and be longitudinal to investigate whether MA increases with age.  Additionally, the prevalence of MA in preservice teachers in this country needs consideration, in comparison to undergraduates from various courses.  To explore whether the undergraduate’s selected courses to avoid exposure to maths at university, as a result of MA.  As research conducted in other countries show, many preservice teachers are likely to retain high levels of MA (Hembree, 1990; Bekdemir, 2010).  The findings may determine the level of support the future and present teachers may require, to restrict the transference of MA to their pupils.</w:t>
      </w:r>
    </w:p>
    <w:p w:rsidR="001E25FA" w:rsidRPr="0038459B" w:rsidRDefault="001E25FA" w:rsidP="001E25FA">
      <w:pPr>
        <w:spacing w:line="480" w:lineRule="auto"/>
      </w:pPr>
    </w:p>
    <w:p w:rsidR="001E25FA" w:rsidRPr="0038459B" w:rsidRDefault="001E25FA" w:rsidP="001E25FA">
      <w:pPr>
        <w:spacing w:line="480" w:lineRule="auto"/>
        <w:rPr>
          <w:i/>
        </w:rPr>
      </w:pPr>
      <w:r w:rsidRPr="0038459B">
        <w:rPr>
          <w:i/>
        </w:rPr>
        <w:t>Conclusion</w:t>
      </w:r>
    </w:p>
    <w:p w:rsidR="009D2476" w:rsidRPr="001E25FA" w:rsidRDefault="001E25FA" w:rsidP="001E25FA">
      <w:pPr>
        <w:spacing w:line="480" w:lineRule="auto"/>
        <w:rPr>
          <w:b/>
        </w:rPr>
      </w:pPr>
      <w:r w:rsidRPr="0038459B">
        <w:rPr>
          <w:i/>
        </w:rPr>
        <w:tab/>
      </w:r>
      <w:r w:rsidRPr="0038459B">
        <w:t xml:space="preserve">The findings show a moderate relationship between MA and MP, while this is not a strong relationship it accounted for half of the variance within this sample and design.  The results found no significant differences in MA and MP by the age of the participants.  Implying the detrimental impact of MA is likely to continue.  However, MA is not a new concept, over 60 years ago Dreger &amp; Aiken (1957) proposed the negative impact on an individual’s MP.  Ensuing research has provided a wealth of knowledge and highlighted the deleterious impact on MP.  Resulting in the high math-anxious achieving lower maths achievement and potentially avoiding or disengaging from maths, which is likely to limit </w:t>
      </w:r>
      <w:r w:rsidRPr="0038459B">
        <w:lastRenderedPageBreak/>
        <w:t xml:space="preserve">educational and vocational opportunities (Ashcraft &amp; Kirk, 2001; Hembree, 1990).  Despite, the knowledge already attained, MP continues to decline, and MA continues to rise (OCED, 2009, 2012, 2013, 2015).  All levels of the educational system need to explore the phenomena and devise strategies to restrict the development of MA and improve the children’s teaching experiences and encourage parental support that engages parents.  The future needs mathematically proficient individuals to aid society to develop methods to deal with population increase and dwindling natural resources.  </w:t>
      </w:r>
    </w:p>
    <w:sectPr w:rsidR="009D2476" w:rsidRPr="001E25FA" w:rsidSect="00CB529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FA"/>
    <w:rsid w:val="001E25FA"/>
    <w:rsid w:val="005C3CF1"/>
    <w:rsid w:val="008E50C4"/>
    <w:rsid w:val="008F6D18"/>
    <w:rsid w:val="00933146"/>
    <w:rsid w:val="00AE7D0A"/>
    <w:rsid w:val="00CB5295"/>
    <w:rsid w:val="00F40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50B28A"/>
  <w14:defaultImageDpi w14:val="32767"/>
  <w15:chartTrackingRefBased/>
  <w15:docId w15:val="{ACD4318F-8ACE-4143-A252-74C6648FA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b/>
        <w:sz w:val="36"/>
        <w:szCs w:val="36"/>
        <w:vertAlign w:val="subscript"/>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E25FA"/>
    <w:rPr>
      <w:rFonts w:ascii="Times New Roman" w:eastAsia="Times New Roman" w:hAnsi="Times New Roman" w:cs="Times New Roman"/>
      <w:b w:val="0"/>
      <w:sz w:val="24"/>
      <w:szCs w:val="24"/>
      <w:vertAlign w:val="base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E25FA"/>
    <w:rPr>
      <w:rFonts w:ascii="Times New Roman" w:eastAsia="Times New Roman" w:hAnsi="Times New Roman" w:cs="Times New Roman"/>
      <w:b w:val="0"/>
      <w:sz w:val="20"/>
      <w:szCs w:val="20"/>
      <w:vertAlign w:val="baseline"/>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44</Pages>
  <Words>11618</Words>
  <Characters>66227</Characters>
  <Application>Microsoft Office Word</Application>
  <DocSecurity>0</DocSecurity>
  <Lines>551</Lines>
  <Paragraphs>155</Paragraphs>
  <ScaleCrop>false</ScaleCrop>
  <Company/>
  <LinksUpToDate>false</LinksUpToDate>
  <CharactersWithSpaces>77690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Thomas (1502332)</dc:creator>
  <cp:keywords/>
  <dc:description/>
  <cp:lastModifiedBy>Malcolm Thomas (1502332)</cp:lastModifiedBy>
  <cp:revision>1</cp:revision>
  <dcterms:created xsi:type="dcterms:W3CDTF">2018-03-25T21:43:00Z</dcterms:created>
  <dcterms:modified xsi:type="dcterms:W3CDTF">2018-03-25T21:49:00Z</dcterms:modified>
</cp:coreProperties>
</file>