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8E511" w14:textId="732B23F5" w:rsidR="003D585E" w:rsidRPr="000B1CCF" w:rsidRDefault="43D14286" w:rsidP="000B1CCF">
      <w:pPr>
        <w:pStyle w:val="Heading1"/>
        <w:rPr>
          <w:rFonts w:ascii="Arial Black" w:hAnsi="Arial Black"/>
          <w:b/>
          <w:bCs/>
          <w:color w:val="77206D" w:themeColor="accent5" w:themeShade="BF"/>
          <w:highlight w:val="green"/>
        </w:rPr>
      </w:pPr>
      <w:bookmarkStart w:id="0" w:name="_Toc235266581"/>
      <w:r w:rsidRPr="00EC5133">
        <w:rPr>
          <w:rFonts w:ascii="Arial Black" w:hAnsi="Arial Black"/>
        </w:rPr>
        <w:t>Human Resource Challenges and Contemporary HR Practices at Marks &amp; Spencer</w:t>
      </w:r>
      <w:r w:rsidR="72463C35" w:rsidRPr="000B1CCF">
        <w:rPr>
          <w:rFonts w:ascii="Arial Black" w:hAnsi="Arial Black"/>
          <w:b/>
          <w:bCs/>
          <w:color w:val="77206D" w:themeColor="accent5" w:themeShade="BF"/>
        </w:rPr>
        <w:t xml:space="preserve"> </w:t>
      </w:r>
      <w:r w:rsidR="59CCFE0C" w:rsidRPr="70F3DDA0">
        <w:t xml:space="preserve">       </w:t>
      </w:r>
      <w:r w:rsidR="2E8CB25D" w:rsidRPr="70F3DDA0">
        <w:t xml:space="preserve"> </w:t>
      </w:r>
      <w:r w:rsidR="000B1CCF">
        <w:rPr>
          <w:noProof/>
        </w:rPr>
        <w:drawing>
          <wp:inline distT="0" distB="0" distL="0" distR="0" wp14:anchorId="283B0206" wp14:editId="7F4C177F">
            <wp:extent cx="5731510" cy="2849880"/>
            <wp:effectExtent l="0" t="0" r="2540" b="7620"/>
            <wp:docPr id="705492625" name="Picture 1" descr="Marks &amp; Spencer shuts its flagship store today after 69 years - and shoppers moan it's 'final nail in the coff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s &amp; Spencer shuts its flagship store today after 69 years - and shoppers moan it's 'final nail in the coff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849880"/>
                    </a:xfrm>
                    <a:prstGeom prst="rect">
                      <a:avLst/>
                    </a:prstGeom>
                    <a:noFill/>
                    <a:ln>
                      <a:noFill/>
                    </a:ln>
                  </pic:spPr>
                </pic:pic>
              </a:graphicData>
            </a:graphic>
          </wp:inline>
        </w:drawing>
      </w:r>
      <w:bookmarkEnd w:id="0"/>
    </w:p>
    <w:p w14:paraId="3DFE5048" w14:textId="77777777" w:rsidR="000B1CCF" w:rsidRDefault="000B1CCF" w:rsidP="1C6C9B3F">
      <w:pPr>
        <w:spacing w:line="360" w:lineRule="auto"/>
        <w:rPr>
          <w:rFonts w:ascii="Arial Nova" w:eastAsia="Arial Nova" w:hAnsi="Arial Nova" w:cs="Arial Nova"/>
          <w:b/>
          <w:bCs/>
          <w:sz w:val="40"/>
          <w:szCs w:val="40"/>
        </w:rPr>
      </w:pPr>
    </w:p>
    <w:p w14:paraId="515AF655" w14:textId="590F60B8" w:rsidR="003D585E" w:rsidRDefault="5B13775B" w:rsidP="1C6C9B3F">
      <w:pPr>
        <w:spacing w:line="360" w:lineRule="auto"/>
      </w:pPr>
      <w:r w:rsidRPr="1C6C9B3F">
        <w:rPr>
          <w:rFonts w:ascii="Arial Nova" w:eastAsia="Arial Nova" w:hAnsi="Arial Nova" w:cs="Arial Nova"/>
          <w:b/>
          <w:bCs/>
          <w:sz w:val="40"/>
          <w:szCs w:val="40"/>
        </w:rPr>
        <w:t>Student Name:</w:t>
      </w:r>
      <w:r w:rsidRPr="1C6C9B3F">
        <w:rPr>
          <w:rFonts w:ascii="Arial Nova" w:eastAsia="Arial Nova" w:hAnsi="Arial Nova" w:cs="Arial Nova"/>
          <w:sz w:val="40"/>
          <w:szCs w:val="40"/>
        </w:rPr>
        <w:t xml:space="preserve"> </w:t>
      </w:r>
      <w:r w:rsidR="6333334D" w:rsidRPr="1C6C9B3F">
        <w:rPr>
          <w:rFonts w:ascii="Arial Nova" w:eastAsia="Arial Nova" w:hAnsi="Arial Nova" w:cs="Arial Nova"/>
          <w:sz w:val="40"/>
          <w:szCs w:val="40"/>
        </w:rPr>
        <w:t>Sadia Nadeem</w:t>
      </w:r>
      <w:r w:rsidR="00000000">
        <w:br/>
      </w:r>
      <w:r w:rsidRPr="1C6C9B3F">
        <w:rPr>
          <w:rFonts w:ascii="Arial Nova" w:eastAsia="Arial Nova" w:hAnsi="Arial Nova" w:cs="Arial Nova"/>
          <w:sz w:val="40"/>
          <w:szCs w:val="40"/>
        </w:rPr>
        <w:t xml:space="preserve"> </w:t>
      </w:r>
      <w:r w:rsidRPr="1C6C9B3F">
        <w:rPr>
          <w:rFonts w:ascii="Arial Nova" w:eastAsia="Arial Nova" w:hAnsi="Arial Nova" w:cs="Arial Nova"/>
          <w:b/>
          <w:bCs/>
          <w:sz w:val="40"/>
          <w:szCs w:val="40"/>
        </w:rPr>
        <w:t>Student Number:</w:t>
      </w:r>
      <w:r w:rsidRPr="1C6C9B3F">
        <w:rPr>
          <w:rFonts w:ascii="Arial Nova" w:eastAsia="Arial Nova" w:hAnsi="Arial Nova" w:cs="Arial Nova"/>
          <w:sz w:val="40"/>
          <w:szCs w:val="40"/>
        </w:rPr>
        <w:t xml:space="preserve"> </w:t>
      </w:r>
      <w:r w:rsidR="77D6B238" w:rsidRPr="1C6C9B3F">
        <w:rPr>
          <w:rFonts w:ascii="Arial Nova" w:eastAsia="Arial Nova" w:hAnsi="Arial Nova" w:cs="Arial Nova"/>
          <w:sz w:val="40"/>
          <w:szCs w:val="40"/>
        </w:rPr>
        <w:t>2434168</w:t>
      </w:r>
      <w:r w:rsidR="00000000">
        <w:br/>
      </w:r>
      <w:r w:rsidRPr="1C6C9B3F">
        <w:rPr>
          <w:rFonts w:ascii="Arial Nova" w:eastAsia="Arial Nova" w:hAnsi="Arial Nova" w:cs="Arial Nova"/>
          <w:sz w:val="40"/>
          <w:szCs w:val="40"/>
        </w:rPr>
        <w:t xml:space="preserve"> </w:t>
      </w:r>
      <w:r w:rsidRPr="1C6C9B3F">
        <w:rPr>
          <w:rFonts w:ascii="Arial Nova" w:eastAsia="Arial Nova" w:hAnsi="Arial Nova" w:cs="Arial Nova"/>
          <w:b/>
          <w:bCs/>
          <w:sz w:val="40"/>
          <w:szCs w:val="40"/>
        </w:rPr>
        <w:t>Module:</w:t>
      </w:r>
      <w:r w:rsidRPr="1C6C9B3F">
        <w:rPr>
          <w:rFonts w:ascii="Arial Nova" w:eastAsia="Arial Nova" w:hAnsi="Arial Nova" w:cs="Arial Nova"/>
          <w:sz w:val="40"/>
          <w:szCs w:val="40"/>
        </w:rPr>
        <w:t xml:space="preserve"> </w:t>
      </w:r>
      <w:r w:rsidR="1D4DBF61" w:rsidRPr="1C6C9B3F">
        <w:rPr>
          <w:rFonts w:ascii="Arial Nova" w:eastAsia="Arial Nova" w:hAnsi="Arial Nova" w:cs="Arial Nova"/>
          <w:sz w:val="40"/>
          <w:szCs w:val="40"/>
        </w:rPr>
        <w:t xml:space="preserve">LCLM5002 </w:t>
      </w:r>
      <w:r w:rsidR="68FB63F1" w:rsidRPr="1C6C9B3F">
        <w:rPr>
          <w:color w:val="1D2125"/>
          <w:sz w:val="40"/>
          <w:szCs w:val="40"/>
        </w:rPr>
        <w:t>Developing</w:t>
      </w:r>
      <w:r w:rsidR="68FB63F1" w:rsidRPr="1C6C9B3F">
        <w:rPr>
          <w:b/>
          <w:bCs/>
          <w:color w:val="1D2125"/>
          <w:sz w:val="22"/>
          <w:szCs w:val="22"/>
        </w:rPr>
        <w:t xml:space="preserve"> </w:t>
      </w:r>
      <w:r w:rsidR="68FB63F1" w:rsidRPr="1C6C9B3F">
        <w:rPr>
          <w:color w:val="1D2125"/>
          <w:sz w:val="40"/>
          <w:szCs w:val="40"/>
        </w:rPr>
        <w:t xml:space="preserve">and Managing Individuals and Teams </w:t>
      </w:r>
      <w:r w:rsidR="68FB63F1" w:rsidRPr="1C6C9B3F">
        <w:rPr>
          <w:rFonts w:ascii="Arial Nova" w:eastAsia="Arial Nova" w:hAnsi="Arial Nova" w:cs="Arial Nova"/>
          <w:sz w:val="40"/>
          <w:szCs w:val="40"/>
        </w:rPr>
        <w:t xml:space="preserve"> </w:t>
      </w:r>
      <w:r w:rsidR="00000000">
        <w:br/>
      </w:r>
      <w:r w:rsidRPr="1C6C9B3F">
        <w:rPr>
          <w:rFonts w:ascii="Arial Nova" w:eastAsia="Arial Nova" w:hAnsi="Arial Nova" w:cs="Arial Nova"/>
          <w:sz w:val="40"/>
          <w:szCs w:val="40"/>
        </w:rPr>
        <w:t xml:space="preserve"> </w:t>
      </w:r>
      <w:r w:rsidRPr="1C6C9B3F">
        <w:rPr>
          <w:rFonts w:ascii="Arial Nova" w:eastAsia="Arial Nova" w:hAnsi="Arial Nova" w:cs="Arial Nova"/>
          <w:b/>
          <w:bCs/>
          <w:sz w:val="40"/>
          <w:szCs w:val="40"/>
        </w:rPr>
        <w:t>Lecturer:</w:t>
      </w:r>
      <w:r w:rsidRPr="1C6C9B3F">
        <w:rPr>
          <w:sz w:val="32"/>
          <w:szCs w:val="32"/>
        </w:rPr>
        <w:t xml:space="preserve"> </w:t>
      </w:r>
      <w:r w:rsidR="09D204CD" w:rsidRPr="1C6C9B3F">
        <w:rPr>
          <w:color w:val="1D2125"/>
          <w:sz w:val="40"/>
          <w:szCs w:val="40"/>
        </w:rPr>
        <w:t>Dr Samson Oladej</w:t>
      </w:r>
      <w:r w:rsidR="0636E707" w:rsidRPr="1C6C9B3F">
        <w:rPr>
          <w:color w:val="1D2125"/>
          <w:sz w:val="40"/>
          <w:szCs w:val="40"/>
        </w:rPr>
        <w:t>o</w:t>
      </w:r>
      <w:r w:rsidR="00000000">
        <w:br/>
      </w:r>
      <w:r w:rsidRPr="1C6C9B3F">
        <w:rPr>
          <w:rFonts w:ascii="Arial Nova" w:eastAsia="Arial Nova" w:hAnsi="Arial Nova" w:cs="Arial Nova"/>
          <w:sz w:val="40"/>
          <w:szCs w:val="40"/>
        </w:rPr>
        <w:t xml:space="preserve"> </w:t>
      </w:r>
      <w:r w:rsidRPr="1C6C9B3F">
        <w:rPr>
          <w:rFonts w:ascii="Arial Nova" w:eastAsia="Arial Nova" w:hAnsi="Arial Nova" w:cs="Arial Nova"/>
          <w:b/>
          <w:bCs/>
          <w:sz w:val="40"/>
          <w:szCs w:val="40"/>
        </w:rPr>
        <w:t>Assignment Title:</w:t>
      </w:r>
      <w:r w:rsidRPr="1C6C9B3F">
        <w:rPr>
          <w:rFonts w:ascii="Arial Nova" w:eastAsia="Arial Nova" w:hAnsi="Arial Nova" w:cs="Arial Nova"/>
          <w:sz w:val="40"/>
          <w:szCs w:val="40"/>
        </w:rPr>
        <w:t xml:space="preserve"> HR Challenges and Contemporary HR Practices at Marks &amp; Spencer</w:t>
      </w:r>
      <w:r w:rsidR="00000000">
        <w:br/>
      </w:r>
      <w:r w:rsidRPr="1C6C9B3F">
        <w:rPr>
          <w:rFonts w:ascii="Arial Nova" w:eastAsia="Arial Nova" w:hAnsi="Arial Nova" w:cs="Arial Nova"/>
          <w:sz w:val="40"/>
          <w:szCs w:val="40"/>
        </w:rPr>
        <w:t xml:space="preserve"> </w:t>
      </w:r>
      <w:r w:rsidRPr="1C6C9B3F">
        <w:rPr>
          <w:rFonts w:ascii="Arial Nova" w:eastAsia="Arial Nova" w:hAnsi="Arial Nova" w:cs="Arial Nova"/>
          <w:b/>
          <w:bCs/>
          <w:sz w:val="40"/>
          <w:szCs w:val="40"/>
        </w:rPr>
        <w:t>Date:</w:t>
      </w:r>
      <w:r w:rsidRPr="1C6C9B3F">
        <w:rPr>
          <w:rFonts w:ascii="Arial Nova" w:eastAsia="Arial Nova" w:hAnsi="Arial Nova" w:cs="Arial Nova"/>
          <w:sz w:val="40"/>
          <w:szCs w:val="40"/>
        </w:rPr>
        <w:t xml:space="preserve"> </w:t>
      </w:r>
      <w:r w:rsidR="2CE7EBB6" w:rsidRPr="1C6C9B3F">
        <w:rPr>
          <w:rFonts w:ascii="Arial Nova" w:eastAsia="Arial Nova" w:hAnsi="Arial Nova" w:cs="Arial Nova"/>
          <w:sz w:val="40"/>
          <w:szCs w:val="40"/>
        </w:rPr>
        <w:t>20</w:t>
      </w:r>
      <w:r w:rsidR="2CE7EBB6" w:rsidRPr="1C6C9B3F">
        <w:rPr>
          <w:rFonts w:ascii="Arial Nova" w:eastAsia="Arial Nova" w:hAnsi="Arial Nova" w:cs="Arial Nova"/>
          <w:sz w:val="40"/>
          <w:szCs w:val="40"/>
          <w:vertAlign w:val="superscript"/>
        </w:rPr>
        <w:t>th</w:t>
      </w:r>
      <w:r w:rsidR="2CE7EBB6" w:rsidRPr="1C6C9B3F">
        <w:rPr>
          <w:rFonts w:ascii="Arial Nova" w:eastAsia="Arial Nova" w:hAnsi="Arial Nova" w:cs="Arial Nova"/>
          <w:sz w:val="40"/>
          <w:szCs w:val="40"/>
        </w:rPr>
        <w:t xml:space="preserve"> July 2026</w:t>
      </w:r>
    </w:p>
    <w:p w14:paraId="08533DC8" w14:textId="38F0949E" w:rsidR="003D585E" w:rsidRDefault="390A662F" w:rsidP="000B1CCF">
      <w:pPr>
        <w:jc w:val="center"/>
        <w:rPr>
          <w:b/>
          <w:bCs/>
          <w:sz w:val="48"/>
          <w:szCs w:val="48"/>
        </w:rPr>
      </w:pPr>
      <w:r w:rsidRPr="70F3DDA0">
        <w:rPr>
          <w:b/>
          <w:bCs/>
          <w:sz w:val="48"/>
          <w:szCs w:val="48"/>
        </w:rPr>
        <w:lastRenderedPageBreak/>
        <w:t>TABLE OF CONTENTS</w:t>
      </w:r>
    </w:p>
    <w:sdt>
      <w:sdtPr>
        <w:id w:val="564515380"/>
        <w:docPartObj>
          <w:docPartGallery w:val="Table of Contents"/>
          <w:docPartUnique/>
        </w:docPartObj>
      </w:sdtPr>
      <w:sdtContent>
        <w:p w14:paraId="775E9284" w14:textId="5BAF741D" w:rsidR="00EC5133" w:rsidRDefault="00000000">
          <w:pPr>
            <w:pStyle w:val="TOC1"/>
            <w:tabs>
              <w:tab w:val="right" w:leader="dot" w:pos="9016"/>
            </w:tabs>
            <w:rPr>
              <w:noProof/>
              <w:kern w:val="2"/>
              <w:lang w:eastAsia="en-GB"/>
              <w14:ligatures w14:val="standardContextual"/>
            </w:rPr>
          </w:pPr>
          <w:r>
            <w:fldChar w:fldCharType="begin"/>
          </w:r>
          <w:r>
            <w:instrText>TOC \o "1-9" \z \u \h</w:instrText>
          </w:r>
          <w:r>
            <w:fldChar w:fldCharType="separate"/>
          </w:r>
          <w:hyperlink w:anchor="_Toc235266581" w:history="1">
            <w:r w:rsidR="00EC5133" w:rsidRPr="002A74A8">
              <w:rPr>
                <w:rStyle w:val="Hyperlink"/>
                <w:rFonts w:ascii="Arial Black" w:hAnsi="Arial Black"/>
                <w:noProof/>
              </w:rPr>
              <w:t>Human Resource Challenges and Contemporary HR Practices at Marks &amp; Spencer</w:t>
            </w:r>
            <w:r w:rsidR="00EC5133" w:rsidRPr="002A74A8">
              <w:rPr>
                <w:rStyle w:val="Hyperlink"/>
                <w:rFonts w:ascii="Arial Black" w:hAnsi="Arial Black"/>
                <w:b/>
                <w:bCs/>
                <w:noProof/>
                <w:color w:val="345964" w:themeColor="hyperlink" w:themeShade="BF"/>
              </w:rPr>
              <w:t xml:space="preserve"> </w:t>
            </w:r>
            <w:r w:rsidR="00EC5133" w:rsidRPr="002A74A8">
              <w:rPr>
                <w:rStyle w:val="Hyperlink"/>
                <w:noProof/>
              </w:rPr>
              <w:t xml:space="preserve">        </w:t>
            </w:r>
            <w:r w:rsidR="00EC5133">
              <w:rPr>
                <w:noProof/>
                <w:webHidden/>
              </w:rPr>
              <w:tab/>
            </w:r>
            <w:r w:rsidR="00EC5133">
              <w:rPr>
                <w:noProof/>
                <w:webHidden/>
              </w:rPr>
              <w:fldChar w:fldCharType="begin"/>
            </w:r>
            <w:r w:rsidR="00EC5133">
              <w:rPr>
                <w:noProof/>
                <w:webHidden/>
              </w:rPr>
              <w:instrText xml:space="preserve"> PAGEREF _Toc235266581 \h </w:instrText>
            </w:r>
            <w:r w:rsidR="00EC5133">
              <w:rPr>
                <w:noProof/>
                <w:webHidden/>
              </w:rPr>
            </w:r>
            <w:r w:rsidR="00EC5133">
              <w:rPr>
                <w:noProof/>
                <w:webHidden/>
              </w:rPr>
              <w:fldChar w:fldCharType="separate"/>
            </w:r>
            <w:r w:rsidR="00EC5133">
              <w:rPr>
                <w:noProof/>
                <w:webHidden/>
              </w:rPr>
              <w:t>1</w:t>
            </w:r>
            <w:r w:rsidR="00EC5133">
              <w:rPr>
                <w:noProof/>
                <w:webHidden/>
              </w:rPr>
              <w:fldChar w:fldCharType="end"/>
            </w:r>
          </w:hyperlink>
        </w:p>
        <w:p w14:paraId="0227BDC7" w14:textId="789008C6" w:rsidR="00EC5133" w:rsidRDefault="00EC5133">
          <w:pPr>
            <w:pStyle w:val="TOC1"/>
            <w:tabs>
              <w:tab w:val="right" w:leader="dot" w:pos="9016"/>
            </w:tabs>
            <w:rPr>
              <w:noProof/>
              <w:kern w:val="2"/>
              <w:lang w:eastAsia="en-GB"/>
              <w14:ligatures w14:val="standardContextual"/>
            </w:rPr>
          </w:pPr>
          <w:hyperlink w:anchor="_Toc235266582" w:history="1">
            <w:r w:rsidRPr="002A74A8">
              <w:rPr>
                <w:rStyle w:val="Hyperlink"/>
                <w:rFonts w:ascii="Arial" w:eastAsia="Arial Nova" w:hAnsi="Arial" w:cs="Arial"/>
                <w:b/>
                <w:bCs/>
                <w:noProof/>
              </w:rPr>
              <w:t>Executive Summary</w:t>
            </w:r>
            <w:r>
              <w:rPr>
                <w:noProof/>
                <w:webHidden/>
              </w:rPr>
              <w:tab/>
            </w:r>
            <w:r>
              <w:rPr>
                <w:noProof/>
                <w:webHidden/>
              </w:rPr>
              <w:fldChar w:fldCharType="begin"/>
            </w:r>
            <w:r>
              <w:rPr>
                <w:noProof/>
                <w:webHidden/>
              </w:rPr>
              <w:instrText xml:space="preserve"> PAGEREF _Toc235266582 \h </w:instrText>
            </w:r>
            <w:r>
              <w:rPr>
                <w:noProof/>
                <w:webHidden/>
              </w:rPr>
            </w:r>
            <w:r>
              <w:rPr>
                <w:noProof/>
                <w:webHidden/>
              </w:rPr>
              <w:fldChar w:fldCharType="separate"/>
            </w:r>
            <w:r>
              <w:rPr>
                <w:noProof/>
                <w:webHidden/>
              </w:rPr>
              <w:t>4</w:t>
            </w:r>
            <w:r>
              <w:rPr>
                <w:noProof/>
                <w:webHidden/>
              </w:rPr>
              <w:fldChar w:fldCharType="end"/>
            </w:r>
          </w:hyperlink>
        </w:p>
        <w:p w14:paraId="49A83D74" w14:textId="4745108C" w:rsidR="00EC5133" w:rsidRDefault="00EC5133">
          <w:pPr>
            <w:pStyle w:val="TOC1"/>
            <w:tabs>
              <w:tab w:val="right" w:leader="dot" w:pos="9016"/>
            </w:tabs>
            <w:rPr>
              <w:noProof/>
              <w:kern w:val="2"/>
              <w:lang w:eastAsia="en-GB"/>
              <w14:ligatures w14:val="standardContextual"/>
            </w:rPr>
          </w:pPr>
          <w:hyperlink w:anchor="_Toc235266583" w:history="1">
            <w:r w:rsidRPr="002A74A8">
              <w:rPr>
                <w:rStyle w:val="Hyperlink"/>
                <w:rFonts w:ascii="Arial Nova" w:eastAsia="Arial Nova" w:hAnsi="Arial Nova" w:cs="Arial Nova"/>
                <w:b/>
                <w:bCs/>
                <w:noProof/>
              </w:rPr>
              <w:t>1. Introduction</w:t>
            </w:r>
            <w:r>
              <w:rPr>
                <w:noProof/>
                <w:webHidden/>
              </w:rPr>
              <w:tab/>
            </w:r>
            <w:r>
              <w:rPr>
                <w:noProof/>
                <w:webHidden/>
              </w:rPr>
              <w:fldChar w:fldCharType="begin"/>
            </w:r>
            <w:r>
              <w:rPr>
                <w:noProof/>
                <w:webHidden/>
              </w:rPr>
              <w:instrText xml:space="preserve"> PAGEREF _Toc235266583 \h </w:instrText>
            </w:r>
            <w:r>
              <w:rPr>
                <w:noProof/>
                <w:webHidden/>
              </w:rPr>
            </w:r>
            <w:r>
              <w:rPr>
                <w:noProof/>
                <w:webHidden/>
              </w:rPr>
              <w:fldChar w:fldCharType="separate"/>
            </w:r>
            <w:r>
              <w:rPr>
                <w:noProof/>
                <w:webHidden/>
              </w:rPr>
              <w:t>4</w:t>
            </w:r>
            <w:r>
              <w:rPr>
                <w:noProof/>
                <w:webHidden/>
              </w:rPr>
              <w:fldChar w:fldCharType="end"/>
            </w:r>
          </w:hyperlink>
        </w:p>
        <w:p w14:paraId="564A73E4" w14:textId="5D1BA266" w:rsidR="00EC5133" w:rsidRDefault="00EC5133">
          <w:pPr>
            <w:pStyle w:val="TOC1"/>
            <w:tabs>
              <w:tab w:val="right" w:leader="dot" w:pos="9016"/>
            </w:tabs>
            <w:rPr>
              <w:noProof/>
              <w:kern w:val="2"/>
              <w:lang w:eastAsia="en-GB"/>
              <w14:ligatures w14:val="standardContextual"/>
            </w:rPr>
          </w:pPr>
          <w:hyperlink w:anchor="_Toc235266584" w:history="1">
            <w:r w:rsidRPr="002A74A8">
              <w:rPr>
                <w:rStyle w:val="Hyperlink"/>
                <w:rFonts w:ascii="Arial Black" w:hAnsi="Arial Black" w:cs="Arial"/>
                <w:b/>
                <w:bCs/>
                <w:noProof/>
              </w:rPr>
              <w:t>2. Critical Analysis of Key HR Challenges</w:t>
            </w:r>
            <w:r>
              <w:rPr>
                <w:noProof/>
                <w:webHidden/>
              </w:rPr>
              <w:tab/>
            </w:r>
            <w:r>
              <w:rPr>
                <w:noProof/>
                <w:webHidden/>
              </w:rPr>
              <w:fldChar w:fldCharType="begin"/>
            </w:r>
            <w:r>
              <w:rPr>
                <w:noProof/>
                <w:webHidden/>
              </w:rPr>
              <w:instrText xml:space="preserve"> PAGEREF _Toc235266584 \h </w:instrText>
            </w:r>
            <w:r>
              <w:rPr>
                <w:noProof/>
                <w:webHidden/>
              </w:rPr>
            </w:r>
            <w:r>
              <w:rPr>
                <w:noProof/>
                <w:webHidden/>
              </w:rPr>
              <w:fldChar w:fldCharType="separate"/>
            </w:r>
            <w:r>
              <w:rPr>
                <w:noProof/>
                <w:webHidden/>
              </w:rPr>
              <w:t>5</w:t>
            </w:r>
            <w:r>
              <w:rPr>
                <w:noProof/>
                <w:webHidden/>
              </w:rPr>
              <w:fldChar w:fldCharType="end"/>
            </w:r>
          </w:hyperlink>
        </w:p>
        <w:p w14:paraId="014CE020" w14:textId="0101CBE5" w:rsidR="00EC5133" w:rsidRDefault="00EC5133">
          <w:pPr>
            <w:pStyle w:val="TOC1"/>
            <w:tabs>
              <w:tab w:val="right" w:leader="dot" w:pos="9016"/>
            </w:tabs>
            <w:rPr>
              <w:noProof/>
              <w:kern w:val="2"/>
              <w:lang w:eastAsia="en-GB"/>
              <w14:ligatures w14:val="standardContextual"/>
            </w:rPr>
          </w:pPr>
          <w:hyperlink w:anchor="_Toc235266585" w:history="1">
            <w:r w:rsidRPr="002A74A8">
              <w:rPr>
                <w:rStyle w:val="Hyperlink"/>
                <w:rFonts w:ascii="Arial" w:hAnsi="Arial" w:cs="Arial"/>
                <w:b/>
                <w:bCs/>
                <w:noProof/>
              </w:rPr>
              <w:t>2.1 Adapting to Technological Advancements</w:t>
            </w:r>
            <w:r>
              <w:rPr>
                <w:noProof/>
                <w:webHidden/>
              </w:rPr>
              <w:tab/>
            </w:r>
            <w:r>
              <w:rPr>
                <w:noProof/>
                <w:webHidden/>
              </w:rPr>
              <w:fldChar w:fldCharType="begin"/>
            </w:r>
            <w:r>
              <w:rPr>
                <w:noProof/>
                <w:webHidden/>
              </w:rPr>
              <w:instrText xml:space="preserve"> PAGEREF _Toc235266585 \h </w:instrText>
            </w:r>
            <w:r>
              <w:rPr>
                <w:noProof/>
                <w:webHidden/>
              </w:rPr>
            </w:r>
            <w:r>
              <w:rPr>
                <w:noProof/>
                <w:webHidden/>
              </w:rPr>
              <w:fldChar w:fldCharType="separate"/>
            </w:r>
            <w:r>
              <w:rPr>
                <w:noProof/>
                <w:webHidden/>
              </w:rPr>
              <w:t>5</w:t>
            </w:r>
            <w:r>
              <w:rPr>
                <w:noProof/>
                <w:webHidden/>
              </w:rPr>
              <w:fldChar w:fldCharType="end"/>
            </w:r>
          </w:hyperlink>
        </w:p>
        <w:p w14:paraId="7D3EED7C" w14:textId="055448BE" w:rsidR="00EC5133" w:rsidRDefault="00EC5133">
          <w:pPr>
            <w:pStyle w:val="TOC1"/>
            <w:tabs>
              <w:tab w:val="right" w:leader="dot" w:pos="9016"/>
            </w:tabs>
            <w:rPr>
              <w:noProof/>
              <w:kern w:val="2"/>
              <w:lang w:eastAsia="en-GB"/>
              <w14:ligatures w14:val="standardContextual"/>
            </w:rPr>
          </w:pPr>
          <w:hyperlink w:anchor="_Toc235266586" w:history="1">
            <w:r w:rsidRPr="002A74A8">
              <w:rPr>
                <w:rStyle w:val="Hyperlink"/>
                <w:rFonts w:ascii="Arial" w:hAnsi="Arial" w:cs="Arial"/>
                <w:b/>
                <w:bCs/>
                <w:noProof/>
              </w:rPr>
              <w:t>2.2 Talent Acquisition and Retention</w:t>
            </w:r>
            <w:r>
              <w:rPr>
                <w:noProof/>
                <w:webHidden/>
              </w:rPr>
              <w:tab/>
            </w:r>
            <w:r>
              <w:rPr>
                <w:noProof/>
                <w:webHidden/>
              </w:rPr>
              <w:fldChar w:fldCharType="begin"/>
            </w:r>
            <w:r>
              <w:rPr>
                <w:noProof/>
                <w:webHidden/>
              </w:rPr>
              <w:instrText xml:space="preserve"> PAGEREF _Toc235266586 \h </w:instrText>
            </w:r>
            <w:r>
              <w:rPr>
                <w:noProof/>
                <w:webHidden/>
              </w:rPr>
            </w:r>
            <w:r>
              <w:rPr>
                <w:noProof/>
                <w:webHidden/>
              </w:rPr>
              <w:fldChar w:fldCharType="separate"/>
            </w:r>
            <w:r>
              <w:rPr>
                <w:noProof/>
                <w:webHidden/>
              </w:rPr>
              <w:t>6</w:t>
            </w:r>
            <w:r>
              <w:rPr>
                <w:noProof/>
                <w:webHidden/>
              </w:rPr>
              <w:fldChar w:fldCharType="end"/>
            </w:r>
          </w:hyperlink>
        </w:p>
        <w:p w14:paraId="7229A149" w14:textId="34E91012" w:rsidR="00EC5133" w:rsidRDefault="00EC5133">
          <w:pPr>
            <w:pStyle w:val="TOC1"/>
            <w:tabs>
              <w:tab w:val="right" w:leader="dot" w:pos="9016"/>
            </w:tabs>
            <w:rPr>
              <w:noProof/>
              <w:kern w:val="2"/>
              <w:lang w:eastAsia="en-GB"/>
              <w14:ligatures w14:val="standardContextual"/>
            </w:rPr>
          </w:pPr>
          <w:hyperlink w:anchor="_Toc235266587" w:history="1">
            <w:r w:rsidRPr="002A74A8">
              <w:rPr>
                <w:rStyle w:val="Hyperlink"/>
                <w:rFonts w:ascii="Arial" w:hAnsi="Arial" w:cs="Arial"/>
                <w:b/>
                <w:bCs/>
                <w:noProof/>
              </w:rPr>
              <w:t>2.3 Diversity, Equity and Inclusion (DEI)</w:t>
            </w:r>
            <w:r>
              <w:rPr>
                <w:noProof/>
                <w:webHidden/>
              </w:rPr>
              <w:tab/>
            </w:r>
            <w:r>
              <w:rPr>
                <w:noProof/>
                <w:webHidden/>
              </w:rPr>
              <w:fldChar w:fldCharType="begin"/>
            </w:r>
            <w:r>
              <w:rPr>
                <w:noProof/>
                <w:webHidden/>
              </w:rPr>
              <w:instrText xml:space="preserve"> PAGEREF _Toc235266587 \h </w:instrText>
            </w:r>
            <w:r>
              <w:rPr>
                <w:noProof/>
                <w:webHidden/>
              </w:rPr>
            </w:r>
            <w:r>
              <w:rPr>
                <w:noProof/>
                <w:webHidden/>
              </w:rPr>
              <w:fldChar w:fldCharType="separate"/>
            </w:r>
            <w:r>
              <w:rPr>
                <w:noProof/>
                <w:webHidden/>
              </w:rPr>
              <w:t>7</w:t>
            </w:r>
            <w:r>
              <w:rPr>
                <w:noProof/>
                <w:webHidden/>
              </w:rPr>
              <w:fldChar w:fldCharType="end"/>
            </w:r>
          </w:hyperlink>
        </w:p>
        <w:p w14:paraId="421D60D6" w14:textId="49990F72" w:rsidR="00EC5133" w:rsidRDefault="00EC5133">
          <w:pPr>
            <w:pStyle w:val="TOC1"/>
            <w:tabs>
              <w:tab w:val="right" w:leader="dot" w:pos="9016"/>
            </w:tabs>
            <w:rPr>
              <w:noProof/>
              <w:kern w:val="2"/>
              <w:lang w:eastAsia="en-GB"/>
              <w14:ligatures w14:val="standardContextual"/>
            </w:rPr>
          </w:pPr>
          <w:hyperlink w:anchor="_Toc235266588" w:history="1">
            <w:r w:rsidRPr="002A74A8">
              <w:rPr>
                <w:rStyle w:val="Hyperlink"/>
                <w:rFonts w:ascii="Arial Black" w:eastAsia="Arial Nova" w:hAnsi="Arial Black" w:cs="Arial"/>
                <w:b/>
                <w:bCs/>
                <w:noProof/>
              </w:rPr>
              <w:t>3. Evaluation of Contemporary HR Practices</w:t>
            </w:r>
            <w:r>
              <w:rPr>
                <w:noProof/>
                <w:webHidden/>
              </w:rPr>
              <w:tab/>
            </w:r>
            <w:r>
              <w:rPr>
                <w:noProof/>
                <w:webHidden/>
              </w:rPr>
              <w:fldChar w:fldCharType="begin"/>
            </w:r>
            <w:r>
              <w:rPr>
                <w:noProof/>
                <w:webHidden/>
              </w:rPr>
              <w:instrText xml:space="preserve"> PAGEREF _Toc235266588 \h </w:instrText>
            </w:r>
            <w:r>
              <w:rPr>
                <w:noProof/>
                <w:webHidden/>
              </w:rPr>
            </w:r>
            <w:r>
              <w:rPr>
                <w:noProof/>
                <w:webHidden/>
              </w:rPr>
              <w:fldChar w:fldCharType="separate"/>
            </w:r>
            <w:r>
              <w:rPr>
                <w:noProof/>
                <w:webHidden/>
              </w:rPr>
              <w:t>8</w:t>
            </w:r>
            <w:r>
              <w:rPr>
                <w:noProof/>
                <w:webHidden/>
              </w:rPr>
              <w:fldChar w:fldCharType="end"/>
            </w:r>
          </w:hyperlink>
        </w:p>
        <w:p w14:paraId="7C18BA32" w14:textId="6123241C" w:rsidR="00EC5133" w:rsidRDefault="00EC5133">
          <w:pPr>
            <w:pStyle w:val="TOC1"/>
            <w:tabs>
              <w:tab w:val="right" w:leader="dot" w:pos="9016"/>
            </w:tabs>
            <w:rPr>
              <w:noProof/>
              <w:kern w:val="2"/>
              <w:lang w:eastAsia="en-GB"/>
              <w14:ligatures w14:val="standardContextual"/>
            </w:rPr>
          </w:pPr>
          <w:hyperlink w:anchor="_Toc235266589" w:history="1">
            <w:r w:rsidRPr="002A74A8">
              <w:rPr>
                <w:rStyle w:val="Hyperlink"/>
                <w:rFonts w:ascii="Arial" w:eastAsia="Arial Nova" w:hAnsi="Arial" w:cs="Arial"/>
                <w:b/>
                <w:bCs/>
                <w:noProof/>
              </w:rPr>
              <w:t>3.1 Workforce Analytics and Digital HR Systems</w:t>
            </w:r>
            <w:r>
              <w:rPr>
                <w:noProof/>
                <w:webHidden/>
              </w:rPr>
              <w:tab/>
            </w:r>
            <w:r>
              <w:rPr>
                <w:noProof/>
                <w:webHidden/>
              </w:rPr>
              <w:fldChar w:fldCharType="begin"/>
            </w:r>
            <w:r>
              <w:rPr>
                <w:noProof/>
                <w:webHidden/>
              </w:rPr>
              <w:instrText xml:space="preserve"> PAGEREF _Toc235266589 \h </w:instrText>
            </w:r>
            <w:r>
              <w:rPr>
                <w:noProof/>
                <w:webHidden/>
              </w:rPr>
            </w:r>
            <w:r>
              <w:rPr>
                <w:noProof/>
                <w:webHidden/>
              </w:rPr>
              <w:fldChar w:fldCharType="separate"/>
            </w:r>
            <w:r>
              <w:rPr>
                <w:noProof/>
                <w:webHidden/>
              </w:rPr>
              <w:t>8</w:t>
            </w:r>
            <w:r>
              <w:rPr>
                <w:noProof/>
                <w:webHidden/>
              </w:rPr>
              <w:fldChar w:fldCharType="end"/>
            </w:r>
          </w:hyperlink>
        </w:p>
        <w:p w14:paraId="5BAC02CE" w14:textId="0E2B76FC" w:rsidR="00EC5133" w:rsidRDefault="00EC5133">
          <w:pPr>
            <w:pStyle w:val="TOC1"/>
            <w:tabs>
              <w:tab w:val="right" w:leader="dot" w:pos="9016"/>
            </w:tabs>
            <w:rPr>
              <w:noProof/>
              <w:kern w:val="2"/>
              <w:lang w:eastAsia="en-GB"/>
              <w14:ligatures w14:val="standardContextual"/>
            </w:rPr>
          </w:pPr>
          <w:hyperlink w:anchor="_Toc235266590" w:history="1">
            <w:r w:rsidRPr="002A74A8">
              <w:rPr>
                <w:rStyle w:val="Hyperlink"/>
                <w:rFonts w:ascii="Arial" w:eastAsia="Arial Nova" w:hAnsi="Arial" w:cs="Arial"/>
                <w:b/>
                <w:bCs/>
                <w:noProof/>
              </w:rPr>
              <w:t>3.2 Employer Branding and Strategic Workforce Planning</w:t>
            </w:r>
            <w:r>
              <w:rPr>
                <w:noProof/>
                <w:webHidden/>
              </w:rPr>
              <w:tab/>
            </w:r>
            <w:r>
              <w:rPr>
                <w:noProof/>
                <w:webHidden/>
              </w:rPr>
              <w:fldChar w:fldCharType="begin"/>
            </w:r>
            <w:r>
              <w:rPr>
                <w:noProof/>
                <w:webHidden/>
              </w:rPr>
              <w:instrText xml:space="preserve"> PAGEREF _Toc235266590 \h </w:instrText>
            </w:r>
            <w:r>
              <w:rPr>
                <w:noProof/>
                <w:webHidden/>
              </w:rPr>
            </w:r>
            <w:r>
              <w:rPr>
                <w:noProof/>
                <w:webHidden/>
              </w:rPr>
              <w:fldChar w:fldCharType="separate"/>
            </w:r>
            <w:r>
              <w:rPr>
                <w:noProof/>
                <w:webHidden/>
              </w:rPr>
              <w:t>8</w:t>
            </w:r>
            <w:r>
              <w:rPr>
                <w:noProof/>
                <w:webHidden/>
              </w:rPr>
              <w:fldChar w:fldCharType="end"/>
            </w:r>
          </w:hyperlink>
        </w:p>
        <w:p w14:paraId="70F46F60" w14:textId="3A111B70" w:rsidR="00EC5133" w:rsidRDefault="00EC5133">
          <w:pPr>
            <w:pStyle w:val="TOC1"/>
            <w:tabs>
              <w:tab w:val="right" w:leader="dot" w:pos="9016"/>
            </w:tabs>
            <w:rPr>
              <w:noProof/>
              <w:kern w:val="2"/>
              <w:lang w:eastAsia="en-GB"/>
              <w14:ligatures w14:val="standardContextual"/>
            </w:rPr>
          </w:pPr>
          <w:hyperlink w:anchor="_Toc235266591" w:history="1">
            <w:r w:rsidRPr="002A74A8">
              <w:rPr>
                <w:rStyle w:val="Hyperlink"/>
                <w:rFonts w:ascii="Arial" w:eastAsia="Arial Nova" w:hAnsi="Arial" w:cs="Arial"/>
                <w:b/>
                <w:bCs/>
                <w:noProof/>
              </w:rPr>
              <w:t>3.3 Employee Engagement and Retention Strategies</w:t>
            </w:r>
            <w:r>
              <w:rPr>
                <w:noProof/>
                <w:webHidden/>
              </w:rPr>
              <w:tab/>
            </w:r>
            <w:r>
              <w:rPr>
                <w:noProof/>
                <w:webHidden/>
              </w:rPr>
              <w:fldChar w:fldCharType="begin"/>
            </w:r>
            <w:r>
              <w:rPr>
                <w:noProof/>
                <w:webHidden/>
              </w:rPr>
              <w:instrText xml:space="preserve"> PAGEREF _Toc235266591 \h </w:instrText>
            </w:r>
            <w:r>
              <w:rPr>
                <w:noProof/>
                <w:webHidden/>
              </w:rPr>
            </w:r>
            <w:r>
              <w:rPr>
                <w:noProof/>
                <w:webHidden/>
              </w:rPr>
              <w:fldChar w:fldCharType="separate"/>
            </w:r>
            <w:r>
              <w:rPr>
                <w:noProof/>
                <w:webHidden/>
              </w:rPr>
              <w:t>9</w:t>
            </w:r>
            <w:r>
              <w:rPr>
                <w:noProof/>
                <w:webHidden/>
              </w:rPr>
              <w:fldChar w:fldCharType="end"/>
            </w:r>
          </w:hyperlink>
        </w:p>
        <w:p w14:paraId="6C61AE35" w14:textId="391750AA" w:rsidR="00EC5133" w:rsidRDefault="00EC5133">
          <w:pPr>
            <w:pStyle w:val="TOC1"/>
            <w:tabs>
              <w:tab w:val="right" w:leader="dot" w:pos="9016"/>
            </w:tabs>
            <w:rPr>
              <w:noProof/>
              <w:kern w:val="2"/>
              <w:lang w:eastAsia="en-GB"/>
              <w14:ligatures w14:val="standardContextual"/>
            </w:rPr>
          </w:pPr>
          <w:hyperlink w:anchor="_Toc235266592" w:history="1">
            <w:r w:rsidRPr="002A74A8">
              <w:rPr>
                <w:rStyle w:val="Hyperlink"/>
                <w:rFonts w:ascii="Arial" w:eastAsia="Arial Nova" w:hAnsi="Arial" w:cs="Arial"/>
                <w:b/>
                <w:bCs/>
                <w:noProof/>
              </w:rPr>
              <w:t>3.4 Inclusive Recruitment and Selection</w:t>
            </w:r>
            <w:r>
              <w:rPr>
                <w:noProof/>
                <w:webHidden/>
              </w:rPr>
              <w:tab/>
            </w:r>
            <w:r>
              <w:rPr>
                <w:noProof/>
                <w:webHidden/>
              </w:rPr>
              <w:fldChar w:fldCharType="begin"/>
            </w:r>
            <w:r>
              <w:rPr>
                <w:noProof/>
                <w:webHidden/>
              </w:rPr>
              <w:instrText xml:space="preserve"> PAGEREF _Toc235266592 \h </w:instrText>
            </w:r>
            <w:r>
              <w:rPr>
                <w:noProof/>
                <w:webHidden/>
              </w:rPr>
            </w:r>
            <w:r>
              <w:rPr>
                <w:noProof/>
                <w:webHidden/>
              </w:rPr>
              <w:fldChar w:fldCharType="separate"/>
            </w:r>
            <w:r>
              <w:rPr>
                <w:noProof/>
                <w:webHidden/>
              </w:rPr>
              <w:t>9</w:t>
            </w:r>
            <w:r>
              <w:rPr>
                <w:noProof/>
                <w:webHidden/>
              </w:rPr>
              <w:fldChar w:fldCharType="end"/>
            </w:r>
          </w:hyperlink>
        </w:p>
        <w:p w14:paraId="7A651CAA" w14:textId="5EB1D96E" w:rsidR="00EC5133" w:rsidRDefault="00EC5133">
          <w:pPr>
            <w:pStyle w:val="TOC1"/>
            <w:tabs>
              <w:tab w:val="right" w:leader="dot" w:pos="9016"/>
            </w:tabs>
            <w:rPr>
              <w:noProof/>
              <w:kern w:val="2"/>
              <w:lang w:eastAsia="en-GB"/>
              <w14:ligatures w14:val="standardContextual"/>
            </w:rPr>
          </w:pPr>
          <w:hyperlink w:anchor="_Toc235266593" w:history="1">
            <w:r w:rsidRPr="002A74A8">
              <w:rPr>
                <w:rStyle w:val="Hyperlink"/>
                <w:rFonts w:ascii="Arial" w:eastAsia="Arial Nova" w:hAnsi="Arial" w:cs="Arial"/>
                <w:b/>
                <w:bCs/>
                <w:noProof/>
              </w:rPr>
              <w:t>3.5 DEI Policies and Leadership Development Initiatives</w:t>
            </w:r>
            <w:r>
              <w:rPr>
                <w:noProof/>
                <w:webHidden/>
              </w:rPr>
              <w:tab/>
            </w:r>
            <w:r>
              <w:rPr>
                <w:noProof/>
                <w:webHidden/>
              </w:rPr>
              <w:fldChar w:fldCharType="begin"/>
            </w:r>
            <w:r>
              <w:rPr>
                <w:noProof/>
                <w:webHidden/>
              </w:rPr>
              <w:instrText xml:space="preserve"> PAGEREF _Toc235266593 \h </w:instrText>
            </w:r>
            <w:r>
              <w:rPr>
                <w:noProof/>
                <w:webHidden/>
              </w:rPr>
            </w:r>
            <w:r>
              <w:rPr>
                <w:noProof/>
                <w:webHidden/>
              </w:rPr>
              <w:fldChar w:fldCharType="separate"/>
            </w:r>
            <w:r>
              <w:rPr>
                <w:noProof/>
                <w:webHidden/>
              </w:rPr>
              <w:t>10</w:t>
            </w:r>
            <w:r>
              <w:rPr>
                <w:noProof/>
                <w:webHidden/>
              </w:rPr>
              <w:fldChar w:fldCharType="end"/>
            </w:r>
          </w:hyperlink>
        </w:p>
        <w:p w14:paraId="140997E0" w14:textId="5E7A7E6F" w:rsidR="00EC5133" w:rsidRDefault="00EC5133">
          <w:pPr>
            <w:pStyle w:val="TOC1"/>
            <w:tabs>
              <w:tab w:val="right" w:leader="dot" w:pos="9016"/>
            </w:tabs>
            <w:rPr>
              <w:noProof/>
              <w:kern w:val="2"/>
              <w:lang w:eastAsia="en-GB"/>
              <w14:ligatures w14:val="standardContextual"/>
            </w:rPr>
          </w:pPr>
          <w:hyperlink w:anchor="_Toc235266594" w:history="1">
            <w:r w:rsidRPr="002A74A8">
              <w:rPr>
                <w:rStyle w:val="Hyperlink"/>
                <w:rFonts w:ascii="Arial Black" w:hAnsi="Arial Black"/>
                <w:b/>
                <w:bCs/>
                <w:noProof/>
              </w:rPr>
              <w:t>4. Critical Evaluation of Managerial Implementation</w:t>
            </w:r>
            <w:r>
              <w:rPr>
                <w:noProof/>
                <w:webHidden/>
              </w:rPr>
              <w:tab/>
            </w:r>
            <w:r>
              <w:rPr>
                <w:noProof/>
                <w:webHidden/>
              </w:rPr>
              <w:fldChar w:fldCharType="begin"/>
            </w:r>
            <w:r>
              <w:rPr>
                <w:noProof/>
                <w:webHidden/>
              </w:rPr>
              <w:instrText xml:space="preserve"> PAGEREF _Toc235266594 \h </w:instrText>
            </w:r>
            <w:r>
              <w:rPr>
                <w:noProof/>
                <w:webHidden/>
              </w:rPr>
            </w:r>
            <w:r>
              <w:rPr>
                <w:noProof/>
                <w:webHidden/>
              </w:rPr>
              <w:fldChar w:fldCharType="separate"/>
            </w:r>
            <w:r>
              <w:rPr>
                <w:noProof/>
                <w:webHidden/>
              </w:rPr>
              <w:t>11</w:t>
            </w:r>
            <w:r>
              <w:rPr>
                <w:noProof/>
                <w:webHidden/>
              </w:rPr>
              <w:fldChar w:fldCharType="end"/>
            </w:r>
          </w:hyperlink>
        </w:p>
        <w:p w14:paraId="4F14386D" w14:textId="77D96F18" w:rsidR="00EC5133" w:rsidRDefault="00EC5133">
          <w:pPr>
            <w:pStyle w:val="TOC1"/>
            <w:tabs>
              <w:tab w:val="right" w:leader="dot" w:pos="9016"/>
            </w:tabs>
            <w:rPr>
              <w:noProof/>
              <w:kern w:val="2"/>
              <w:lang w:eastAsia="en-GB"/>
              <w14:ligatures w14:val="standardContextual"/>
            </w:rPr>
          </w:pPr>
          <w:hyperlink w:anchor="_Toc235266595" w:history="1">
            <w:r w:rsidRPr="002A74A8">
              <w:rPr>
                <w:rStyle w:val="Hyperlink"/>
                <w:rFonts w:ascii="Arial" w:hAnsi="Arial" w:cs="Arial"/>
                <w:b/>
                <w:bCs/>
                <w:noProof/>
              </w:rPr>
              <w:t>4.1 Leadership Accountability</w:t>
            </w:r>
            <w:r>
              <w:rPr>
                <w:noProof/>
                <w:webHidden/>
              </w:rPr>
              <w:tab/>
            </w:r>
            <w:r>
              <w:rPr>
                <w:noProof/>
                <w:webHidden/>
              </w:rPr>
              <w:fldChar w:fldCharType="begin"/>
            </w:r>
            <w:r>
              <w:rPr>
                <w:noProof/>
                <w:webHidden/>
              </w:rPr>
              <w:instrText xml:space="preserve"> PAGEREF _Toc235266595 \h </w:instrText>
            </w:r>
            <w:r>
              <w:rPr>
                <w:noProof/>
                <w:webHidden/>
              </w:rPr>
            </w:r>
            <w:r>
              <w:rPr>
                <w:noProof/>
                <w:webHidden/>
              </w:rPr>
              <w:fldChar w:fldCharType="separate"/>
            </w:r>
            <w:r>
              <w:rPr>
                <w:noProof/>
                <w:webHidden/>
              </w:rPr>
              <w:t>11</w:t>
            </w:r>
            <w:r>
              <w:rPr>
                <w:noProof/>
                <w:webHidden/>
              </w:rPr>
              <w:fldChar w:fldCharType="end"/>
            </w:r>
          </w:hyperlink>
        </w:p>
        <w:p w14:paraId="55C59572" w14:textId="57E2D4F2" w:rsidR="00EC5133" w:rsidRDefault="00EC5133">
          <w:pPr>
            <w:pStyle w:val="TOC1"/>
            <w:tabs>
              <w:tab w:val="right" w:leader="dot" w:pos="9016"/>
            </w:tabs>
            <w:rPr>
              <w:noProof/>
              <w:kern w:val="2"/>
              <w:lang w:eastAsia="en-GB"/>
              <w14:ligatures w14:val="standardContextual"/>
            </w:rPr>
          </w:pPr>
          <w:hyperlink w:anchor="_Toc235266596" w:history="1">
            <w:r w:rsidRPr="002A74A8">
              <w:rPr>
                <w:rStyle w:val="Hyperlink"/>
                <w:rFonts w:ascii="Arial" w:hAnsi="Arial" w:cs="Arial"/>
                <w:b/>
                <w:bCs/>
                <w:noProof/>
              </w:rPr>
              <w:t>4.2 Communication and Change Management</w:t>
            </w:r>
            <w:r>
              <w:rPr>
                <w:noProof/>
                <w:webHidden/>
              </w:rPr>
              <w:tab/>
            </w:r>
            <w:r>
              <w:rPr>
                <w:noProof/>
                <w:webHidden/>
              </w:rPr>
              <w:fldChar w:fldCharType="begin"/>
            </w:r>
            <w:r>
              <w:rPr>
                <w:noProof/>
                <w:webHidden/>
              </w:rPr>
              <w:instrText xml:space="preserve"> PAGEREF _Toc235266596 \h </w:instrText>
            </w:r>
            <w:r>
              <w:rPr>
                <w:noProof/>
                <w:webHidden/>
              </w:rPr>
            </w:r>
            <w:r>
              <w:rPr>
                <w:noProof/>
                <w:webHidden/>
              </w:rPr>
              <w:fldChar w:fldCharType="separate"/>
            </w:r>
            <w:r>
              <w:rPr>
                <w:noProof/>
                <w:webHidden/>
              </w:rPr>
              <w:t>12</w:t>
            </w:r>
            <w:r>
              <w:rPr>
                <w:noProof/>
                <w:webHidden/>
              </w:rPr>
              <w:fldChar w:fldCharType="end"/>
            </w:r>
          </w:hyperlink>
        </w:p>
        <w:p w14:paraId="18032D2E" w14:textId="6D0AD6D5" w:rsidR="00EC5133" w:rsidRDefault="00EC5133">
          <w:pPr>
            <w:pStyle w:val="TOC1"/>
            <w:tabs>
              <w:tab w:val="right" w:leader="dot" w:pos="9016"/>
            </w:tabs>
            <w:rPr>
              <w:noProof/>
              <w:kern w:val="2"/>
              <w:lang w:eastAsia="en-GB"/>
              <w14:ligatures w14:val="standardContextual"/>
            </w:rPr>
          </w:pPr>
          <w:hyperlink w:anchor="_Toc235266597" w:history="1">
            <w:r w:rsidRPr="002A74A8">
              <w:rPr>
                <w:rStyle w:val="Hyperlink"/>
                <w:rFonts w:ascii="Arial" w:hAnsi="Arial" w:cs="Arial"/>
                <w:b/>
                <w:bCs/>
                <w:noProof/>
              </w:rPr>
              <w:t>4.3 Monitoring and Performance Measurement</w:t>
            </w:r>
            <w:r>
              <w:rPr>
                <w:noProof/>
                <w:webHidden/>
              </w:rPr>
              <w:tab/>
            </w:r>
            <w:r>
              <w:rPr>
                <w:noProof/>
                <w:webHidden/>
              </w:rPr>
              <w:fldChar w:fldCharType="begin"/>
            </w:r>
            <w:r>
              <w:rPr>
                <w:noProof/>
                <w:webHidden/>
              </w:rPr>
              <w:instrText xml:space="preserve"> PAGEREF _Toc235266597 \h </w:instrText>
            </w:r>
            <w:r>
              <w:rPr>
                <w:noProof/>
                <w:webHidden/>
              </w:rPr>
            </w:r>
            <w:r>
              <w:rPr>
                <w:noProof/>
                <w:webHidden/>
              </w:rPr>
              <w:fldChar w:fldCharType="separate"/>
            </w:r>
            <w:r>
              <w:rPr>
                <w:noProof/>
                <w:webHidden/>
              </w:rPr>
              <w:t>12</w:t>
            </w:r>
            <w:r>
              <w:rPr>
                <w:noProof/>
                <w:webHidden/>
              </w:rPr>
              <w:fldChar w:fldCharType="end"/>
            </w:r>
          </w:hyperlink>
        </w:p>
        <w:p w14:paraId="4CE8ED5D" w14:textId="67CEC4D0" w:rsidR="00EC5133" w:rsidRDefault="00EC5133">
          <w:pPr>
            <w:pStyle w:val="TOC1"/>
            <w:tabs>
              <w:tab w:val="right" w:leader="dot" w:pos="9016"/>
            </w:tabs>
            <w:rPr>
              <w:noProof/>
              <w:kern w:val="2"/>
              <w:lang w:eastAsia="en-GB"/>
              <w14:ligatures w14:val="standardContextual"/>
            </w:rPr>
          </w:pPr>
          <w:hyperlink w:anchor="_Toc235266598" w:history="1">
            <w:r w:rsidRPr="002A74A8">
              <w:rPr>
                <w:rStyle w:val="Hyperlink"/>
                <w:rFonts w:ascii="Arial" w:hAnsi="Arial" w:cs="Arial"/>
                <w:b/>
                <w:bCs/>
                <w:noProof/>
              </w:rPr>
              <w:t>4.4 Organisational Culture and Implementation Barriers</w:t>
            </w:r>
            <w:r>
              <w:rPr>
                <w:noProof/>
                <w:webHidden/>
              </w:rPr>
              <w:tab/>
            </w:r>
            <w:r>
              <w:rPr>
                <w:noProof/>
                <w:webHidden/>
              </w:rPr>
              <w:fldChar w:fldCharType="begin"/>
            </w:r>
            <w:r>
              <w:rPr>
                <w:noProof/>
                <w:webHidden/>
              </w:rPr>
              <w:instrText xml:space="preserve"> PAGEREF _Toc235266598 \h </w:instrText>
            </w:r>
            <w:r>
              <w:rPr>
                <w:noProof/>
                <w:webHidden/>
              </w:rPr>
            </w:r>
            <w:r>
              <w:rPr>
                <w:noProof/>
                <w:webHidden/>
              </w:rPr>
              <w:fldChar w:fldCharType="separate"/>
            </w:r>
            <w:r>
              <w:rPr>
                <w:noProof/>
                <w:webHidden/>
              </w:rPr>
              <w:t>13</w:t>
            </w:r>
            <w:r>
              <w:rPr>
                <w:noProof/>
                <w:webHidden/>
              </w:rPr>
              <w:fldChar w:fldCharType="end"/>
            </w:r>
          </w:hyperlink>
        </w:p>
        <w:p w14:paraId="1EE6F6B5" w14:textId="6896028F" w:rsidR="00EC5133" w:rsidRDefault="00EC5133">
          <w:pPr>
            <w:pStyle w:val="TOC1"/>
            <w:tabs>
              <w:tab w:val="right" w:leader="dot" w:pos="9016"/>
            </w:tabs>
            <w:rPr>
              <w:noProof/>
              <w:kern w:val="2"/>
              <w:lang w:eastAsia="en-GB"/>
              <w14:ligatures w14:val="standardContextual"/>
            </w:rPr>
          </w:pPr>
          <w:hyperlink w:anchor="_Toc235266599" w:history="1">
            <w:r w:rsidRPr="002A74A8">
              <w:rPr>
                <w:rStyle w:val="Hyperlink"/>
                <w:rFonts w:ascii="Arial Nova" w:eastAsia="Arial Nova" w:hAnsi="Arial Nova" w:cs="Arial Nova"/>
                <w:b/>
                <w:bCs/>
                <w:noProof/>
              </w:rPr>
              <w:t>5. Conclusion</w:t>
            </w:r>
            <w:r>
              <w:rPr>
                <w:noProof/>
                <w:webHidden/>
              </w:rPr>
              <w:tab/>
            </w:r>
            <w:r>
              <w:rPr>
                <w:noProof/>
                <w:webHidden/>
              </w:rPr>
              <w:fldChar w:fldCharType="begin"/>
            </w:r>
            <w:r>
              <w:rPr>
                <w:noProof/>
                <w:webHidden/>
              </w:rPr>
              <w:instrText xml:space="preserve"> PAGEREF _Toc235266599 \h </w:instrText>
            </w:r>
            <w:r>
              <w:rPr>
                <w:noProof/>
                <w:webHidden/>
              </w:rPr>
            </w:r>
            <w:r>
              <w:rPr>
                <w:noProof/>
                <w:webHidden/>
              </w:rPr>
              <w:fldChar w:fldCharType="separate"/>
            </w:r>
            <w:r>
              <w:rPr>
                <w:noProof/>
                <w:webHidden/>
              </w:rPr>
              <w:t>14</w:t>
            </w:r>
            <w:r>
              <w:rPr>
                <w:noProof/>
                <w:webHidden/>
              </w:rPr>
              <w:fldChar w:fldCharType="end"/>
            </w:r>
          </w:hyperlink>
        </w:p>
        <w:p w14:paraId="1D934324" w14:textId="6CD4383B" w:rsidR="00EC5133" w:rsidRDefault="00EC5133">
          <w:pPr>
            <w:pStyle w:val="TOC1"/>
            <w:tabs>
              <w:tab w:val="right" w:leader="dot" w:pos="9016"/>
            </w:tabs>
            <w:rPr>
              <w:noProof/>
              <w:kern w:val="2"/>
              <w:lang w:eastAsia="en-GB"/>
              <w14:ligatures w14:val="standardContextual"/>
            </w:rPr>
          </w:pPr>
          <w:hyperlink w:anchor="_Toc235266600" w:history="1">
            <w:r w:rsidRPr="002A74A8">
              <w:rPr>
                <w:rStyle w:val="Hyperlink"/>
                <w:rFonts w:ascii="Arial Black" w:hAnsi="Arial Black"/>
                <w:noProof/>
              </w:rPr>
              <w:t>Recommendations</w:t>
            </w:r>
            <w:r>
              <w:rPr>
                <w:noProof/>
                <w:webHidden/>
              </w:rPr>
              <w:tab/>
            </w:r>
            <w:r>
              <w:rPr>
                <w:noProof/>
                <w:webHidden/>
              </w:rPr>
              <w:fldChar w:fldCharType="begin"/>
            </w:r>
            <w:r>
              <w:rPr>
                <w:noProof/>
                <w:webHidden/>
              </w:rPr>
              <w:instrText xml:space="preserve"> PAGEREF _Toc235266600 \h </w:instrText>
            </w:r>
            <w:r>
              <w:rPr>
                <w:noProof/>
                <w:webHidden/>
              </w:rPr>
            </w:r>
            <w:r>
              <w:rPr>
                <w:noProof/>
                <w:webHidden/>
              </w:rPr>
              <w:fldChar w:fldCharType="separate"/>
            </w:r>
            <w:r>
              <w:rPr>
                <w:noProof/>
                <w:webHidden/>
              </w:rPr>
              <w:t>15</w:t>
            </w:r>
            <w:r>
              <w:rPr>
                <w:noProof/>
                <w:webHidden/>
              </w:rPr>
              <w:fldChar w:fldCharType="end"/>
            </w:r>
          </w:hyperlink>
        </w:p>
        <w:p w14:paraId="35837733" w14:textId="154A30BE" w:rsidR="00EC5133" w:rsidRDefault="00EC5133">
          <w:pPr>
            <w:pStyle w:val="TOC1"/>
            <w:tabs>
              <w:tab w:val="right" w:leader="dot" w:pos="9016"/>
            </w:tabs>
            <w:rPr>
              <w:noProof/>
              <w:kern w:val="2"/>
              <w:lang w:eastAsia="en-GB"/>
              <w14:ligatures w14:val="standardContextual"/>
            </w:rPr>
          </w:pPr>
          <w:hyperlink w:anchor="_Toc235266601" w:history="1">
            <w:r w:rsidRPr="002A74A8">
              <w:rPr>
                <w:rStyle w:val="Hyperlink"/>
                <w:rFonts w:ascii="Arial Nova" w:eastAsia="Arial Nova" w:hAnsi="Arial Nova" w:cs="Arial Nova"/>
                <w:b/>
                <w:bCs/>
                <w:noProof/>
              </w:rPr>
              <w:t>References</w:t>
            </w:r>
            <w:r>
              <w:rPr>
                <w:noProof/>
                <w:webHidden/>
              </w:rPr>
              <w:tab/>
            </w:r>
            <w:r>
              <w:rPr>
                <w:noProof/>
                <w:webHidden/>
              </w:rPr>
              <w:fldChar w:fldCharType="begin"/>
            </w:r>
            <w:r>
              <w:rPr>
                <w:noProof/>
                <w:webHidden/>
              </w:rPr>
              <w:instrText xml:space="preserve"> PAGEREF _Toc235266601 \h </w:instrText>
            </w:r>
            <w:r>
              <w:rPr>
                <w:noProof/>
                <w:webHidden/>
              </w:rPr>
            </w:r>
            <w:r>
              <w:rPr>
                <w:noProof/>
                <w:webHidden/>
              </w:rPr>
              <w:fldChar w:fldCharType="separate"/>
            </w:r>
            <w:r>
              <w:rPr>
                <w:noProof/>
                <w:webHidden/>
              </w:rPr>
              <w:t>16</w:t>
            </w:r>
            <w:r>
              <w:rPr>
                <w:noProof/>
                <w:webHidden/>
              </w:rPr>
              <w:fldChar w:fldCharType="end"/>
            </w:r>
          </w:hyperlink>
        </w:p>
        <w:p w14:paraId="76A36D3C" w14:textId="0F809F12" w:rsidR="003D585E" w:rsidRDefault="00000000" w:rsidP="148E44FF">
          <w:r>
            <w:fldChar w:fldCharType="end"/>
          </w:r>
        </w:p>
      </w:sdtContent>
    </w:sdt>
    <w:p w14:paraId="1A27439A" w14:textId="07975E52" w:rsidR="003D585E" w:rsidRPr="00EC5133" w:rsidRDefault="00EC5133" w:rsidP="00EC5133">
      <w:pPr>
        <w:pStyle w:val="Heading1"/>
        <w:rPr>
          <w:rFonts w:ascii="Arial" w:eastAsia="Arial Nova" w:hAnsi="Arial" w:cs="Arial"/>
          <w:b/>
          <w:bCs/>
          <w:sz w:val="36"/>
          <w:szCs w:val="36"/>
        </w:rPr>
      </w:pPr>
      <w:r>
        <w:rPr>
          <w:rFonts w:eastAsia="Arial Nova"/>
        </w:rPr>
        <w:br w:type="page"/>
      </w:r>
      <w:bookmarkStart w:id="1" w:name="_Toc235266582"/>
      <w:r w:rsidR="73A87A65" w:rsidRPr="00EC5133">
        <w:rPr>
          <w:rFonts w:ascii="Arial" w:eastAsia="Arial Nova" w:hAnsi="Arial" w:cs="Arial"/>
          <w:b/>
          <w:bCs/>
          <w:color w:val="auto"/>
          <w:sz w:val="36"/>
          <w:szCs w:val="36"/>
        </w:rPr>
        <w:lastRenderedPageBreak/>
        <w:t>Executive Summary</w:t>
      </w:r>
      <w:bookmarkEnd w:id="1"/>
    </w:p>
    <w:p w14:paraId="1EC56EDD" w14:textId="2AD8B026" w:rsidR="003D585E" w:rsidRDefault="6E8D5FC7" w:rsidP="000B1CCF">
      <w:pPr>
        <w:spacing w:before="240" w:after="240" w:line="360" w:lineRule="auto"/>
        <w:rPr>
          <w:sz w:val="22"/>
          <w:szCs w:val="22"/>
        </w:rPr>
      </w:pPr>
      <w:r w:rsidRPr="148E44FF">
        <w:rPr>
          <w:sz w:val="22"/>
          <w:szCs w:val="22"/>
        </w:rPr>
        <w:t>This report critically examines contemporary HRM challenges within Marks &amp; Spencer (M&amp;S), focusing on technological advancement, talent acquisition and retention, and diversity, equity and inclusion (DEI). These issues are increasingly important due to digital transformation, labour market competition, and changing employee expectations.</w:t>
      </w:r>
    </w:p>
    <w:p w14:paraId="49EA676E" w14:textId="58007CA6" w:rsidR="003D585E" w:rsidRDefault="6E8D5FC7" w:rsidP="000B1CCF">
      <w:pPr>
        <w:spacing w:before="240" w:after="240" w:line="360" w:lineRule="auto"/>
        <w:rPr>
          <w:sz w:val="22"/>
          <w:szCs w:val="22"/>
        </w:rPr>
      </w:pPr>
      <w:r w:rsidRPr="148E44FF">
        <w:rPr>
          <w:sz w:val="22"/>
          <w:szCs w:val="22"/>
        </w:rPr>
        <w:t>The analysis highlights that while technology improves organisational performance, it also creates challenges related to skills development, job security, and change management. Talent retention is affected by increasing expectations for flexibility, career growth, and meaningful work, while effective DEI requires cultural transformation rather than policies alone.</w:t>
      </w:r>
    </w:p>
    <w:p w14:paraId="52CD3ED3" w14:textId="11E5C1C6" w:rsidR="003D585E" w:rsidRDefault="6E8D5FC7" w:rsidP="000B1CCF">
      <w:pPr>
        <w:spacing w:before="240" w:after="240" w:line="360" w:lineRule="auto"/>
        <w:rPr>
          <w:rFonts w:ascii="Arial Nova" w:eastAsia="Arial Nova" w:hAnsi="Arial Nova" w:cs="Arial Nova"/>
          <w:b/>
          <w:bCs/>
          <w:sz w:val="22"/>
          <w:szCs w:val="22"/>
        </w:rPr>
      </w:pPr>
      <w:r w:rsidRPr="148E44FF">
        <w:rPr>
          <w:sz w:val="22"/>
          <w:szCs w:val="22"/>
        </w:rPr>
        <w:t>The report evaluates HR practices including workforce analytics, employer branding, employee engagement, and inclusive recruitment, while assessing the role of managers in successful implementation. Findings suggest that HR effectiveness depends on strong leadership, communication, and organisational culture. Key recommendations include digital reskilling, improved career pathways, realistic employer branding, DEI accountability, and leadership development.</w:t>
      </w:r>
      <w:r w:rsidRPr="148E44FF">
        <w:rPr>
          <w:rFonts w:ascii="Arial Nova" w:eastAsia="Arial Nova" w:hAnsi="Arial Nova" w:cs="Arial Nova"/>
          <w:b/>
          <w:bCs/>
          <w:sz w:val="22"/>
          <w:szCs w:val="22"/>
        </w:rPr>
        <w:t xml:space="preserve"> </w:t>
      </w:r>
    </w:p>
    <w:p w14:paraId="2153B448" w14:textId="77777777" w:rsidR="000B1CCF" w:rsidRDefault="000B1CCF" w:rsidP="148E44FF">
      <w:pPr>
        <w:pStyle w:val="Heading1"/>
        <w:spacing w:before="322" w:after="322" w:line="360" w:lineRule="auto"/>
        <w:rPr>
          <w:rFonts w:ascii="Arial Nova" w:eastAsia="Arial Nova" w:hAnsi="Arial Nova" w:cs="Arial Nova"/>
          <w:b/>
          <w:bCs/>
          <w:sz w:val="36"/>
          <w:szCs w:val="36"/>
        </w:rPr>
      </w:pPr>
    </w:p>
    <w:p w14:paraId="3B36042B" w14:textId="3E997CC0" w:rsidR="003D585E" w:rsidRPr="00F3288F" w:rsidRDefault="73A87A65" w:rsidP="148E44FF">
      <w:pPr>
        <w:pStyle w:val="Heading1"/>
        <w:spacing w:before="322" w:after="322" w:line="360" w:lineRule="auto"/>
        <w:rPr>
          <w:rFonts w:ascii="Arial Nova" w:eastAsia="Arial Nova" w:hAnsi="Arial Nova" w:cs="Arial Nova"/>
          <w:b/>
          <w:bCs/>
          <w:color w:val="auto"/>
          <w:sz w:val="36"/>
          <w:szCs w:val="36"/>
        </w:rPr>
      </w:pPr>
      <w:bookmarkStart w:id="2" w:name="_Toc235266583"/>
      <w:r w:rsidRPr="00F3288F">
        <w:rPr>
          <w:rFonts w:ascii="Arial Nova" w:eastAsia="Arial Nova" w:hAnsi="Arial Nova" w:cs="Arial Nova"/>
          <w:b/>
          <w:bCs/>
          <w:color w:val="auto"/>
          <w:sz w:val="36"/>
          <w:szCs w:val="36"/>
        </w:rPr>
        <w:t>1. Introduction</w:t>
      </w:r>
      <w:bookmarkEnd w:id="2"/>
    </w:p>
    <w:p w14:paraId="6E45875B" w14:textId="2E985A47" w:rsidR="003D585E" w:rsidRDefault="6B139E09" w:rsidP="000B1CCF">
      <w:pPr>
        <w:spacing w:before="240" w:after="240" w:line="360" w:lineRule="auto"/>
        <w:rPr>
          <w:sz w:val="22"/>
          <w:szCs w:val="22"/>
        </w:rPr>
      </w:pPr>
      <w:r w:rsidRPr="148E44FF">
        <w:rPr>
          <w:sz w:val="22"/>
          <w:szCs w:val="22"/>
        </w:rPr>
        <w:t>Human Resource Management (HRM) has become a strategic function enabling organisations to respond to technological change, globalisation, workforce expectations, and competitive pressures. Effective HR strategies must enhance organisational performance while supporting employee engagement, wellbeing, and sustainability.</w:t>
      </w:r>
    </w:p>
    <w:p w14:paraId="039AE8CA" w14:textId="32BD72DD" w:rsidR="003D585E" w:rsidRDefault="6B139E09" w:rsidP="000B1CCF">
      <w:pPr>
        <w:spacing w:before="240" w:after="240" w:line="360" w:lineRule="auto"/>
      </w:pPr>
      <w:r w:rsidRPr="148E44FF">
        <w:rPr>
          <w:sz w:val="22"/>
          <w:szCs w:val="22"/>
        </w:rPr>
        <w:t>Marks &amp; Spencer (M&amp;S) operates in a competitive retail environment shaped by digital transformation, changing consumer demands, and talent competition. This report critically examines three key HR challenges: technological advancement, talent acquisition and retention, and diversity, equity and inclusion (DEI). It evaluates contemporary HR practices addressing these challenges and assesses how managers can effectively implement HR strategies across the organisation.</w:t>
      </w:r>
      <w:r w:rsidRPr="148E44FF">
        <w:rPr>
          <w:rFonts w:ascii="Arial Nova" w:eastAsia="Arial Nova" w:hAnsi="Arial Nova" w:cs="Arial Nova"/>
          <w:b/>
          <w:bCs/>
          <w:sz w:val="22"/>
          <w:szCs w:val="22"/>
        </w:rPr>
        <w:t xml:space="preserve"> </w:t>
      </w:r>
    </w:p>
    <w:p w14:paraId="75AF6CB6" w14:textId="77777777" w:rsidR="006167B2" w:rsidRPr="00EC5133" w:rsidRDefault="006167B2" w:rsidP="00F3288F">
      <w:pPr>
        <w:pStyle w:val="Heading1"/>
        <w:rPr>
          <w:rFonts w:ascii="Arial Black" w:hAnsi="Arial Black" w:cs="Arial"/>
          <w:b/>
          <w:bCs/>
          <w:color w:val="auto"/>
          <w:sz w:val="36"/>
          <w:szCs w:val="36"/>
        </w:rPr>
      </w:pPr>
      <w:bookmarkStart w:id="3" w:name="_Toc235266584"/>
      <w:r w:rsidRPr="00EC5133">
        <w:rPr>
          <w:rFonts w:ascii="Arial Black" w:hAnsi="Arial Black" w:cs="Arial"/>
          <w:b/>
          <w:bCs/>
          <w:color w:val="auto"/>
          <w:sz w:val="36"/>
          <w:szCs w:val="36"/>
        </w:rPr>
        <w:lastRenderedPageBreak/>
        <w:t>2. Critical Analysis of Key HR Challenges</w:t>
      </w:r>
      <w:bookmarkEnd w:id="3"/>
    </w:p>
    <w:p w14:paraId="65EA7EA5" w14:textId="77777777" w:rsidR="006167B2" w:rsidRPr="00F3288F" w:rsidRDefault="006167B2" w:rsidP="00F3288F">
      <w:pPr>
        <w:pStyle w:val="Heading1"/>
        <w:rPr>
          <w:rFonts w:ascii="Arial" w:hAnsi="Arial" w:cs="Arial"/>
          <w:b/>
          <w:bCs/>
          <w:color w:val="auto"/>
          <w:sz w:val="32"/>
          <w:szCs w:val="32"/>
        </w:rPr>
      </w:pPr>
      <w:bookmarkStart w:id="4" w:name="_Toc235266585"/>
      <w:r w:rsidRPr="00F3288F">
        <w:rPr>
          <w:rFonts w:ascii="Arial" w:hAnsi="Arial" w:cs="Arial"/>
          <w:b/>
          <w:bCs/>
          <w:color w:val="auto"/>
          <w:sz w:val="32"/>
          <w:szCs w:val="32"/>
        </w:rPr>
        <w:t>2.1 Adapting to Technological Advancements</w:t>
      </w:r>
      <w:bookmarkEnd w:id="4"/>
    </w:p>
    <w:p w14:paraId="2D831584" w14:textId="77777777" w:rsidR="00866721" w:rsidRPr="00866721" w:rsidRDefault="00866721" w:rsidP="00866721">
      <w:pPr>
        <w:spacing w:line="360" w:lineRule="auto"/>
        <w:rPr>
          <w:sz w:val="22"/>
          <w:szCs w:val="22"/>
        </w:rPr>
      </w:pPr>
      <w:r w:rsidRPr="00866721">
        <w:rPr>
          <w:sz w:val="22"/>
          <w:szCs w:val="22"/>
        </w:rPr>
        <w:t>Technological advancement has transformed the retail sector through AI, automation, digital platforms, workforce analytics, and advanced supply chain systems. M&amp;S has invested in digital technologies to improve efficiency and customer experience; however, these changes create HR challenges related to employee skills, capability, and acceptance of change.</w:t>
      </w:r>
    </w:p>
    <w:p w14:paraId="18DD2439" w14:textId="77777777" w:rsidR="00866721" w:rsidRPr="00866721" w:rsidRDefault="00866721" w:rsidP="00866721">
      <w:pPr>
        <w:spacing w:line="360" w:lineRule="auto"/>
        <w:rPr>
          <w:sz w:val="22"/>
          <w:szCs w:val="22"/>
        </w:rPr>
      </w:pPr>
      <w:r w:rsidRPr="00866721">
        <w:rPr>
          <w:sz w:val="22"/>
          <w:szCs w:val="22"/>
        </w:rPr>
        <w:t>From a Human Capital Theory perspective, employee knowledge and skills are valuable resources requiring continuous investment (Becker, 1964). Therefore, M&amp;S must provide digital training to prevent skill gaps, reduced productivity, and resistance. Failure to invest in workforce development may also weaken organisational competitiveness and limit the benefits of technological innovation.</w:t>
      </w:r>
    </w:p>
    <w:p w14:paraId="76C36C2E" w14:textId="77777777" w:rsidR="00866721" w:rsidRDefault="00866721" w:rsidP="00866721">
      <w:pPr>
        <w:spacing w:line="360" w:lineRule="auto"/>
        <w:rPr>
          <w:sz w:val="22"/>
          <w:szCs w:val="22"/>
        </w:rPr>
      </w:pPr>
      <w:r w:rsidRPr="00866721">
        <w:rPr>
          <w:sz w:val="22"/>
          <w:szCs w:val="22"/>
        </w:rPr>
        <w:t>Technological change may also create concerns about job security. Rousseau’s (1995) Psychological Contract Theory suggests that perceived threats to employment can damage trust, motivation, and organisational commitment. Employees who feel uncertain about their future roles may become less engaged and more resistant to organisational change.</w:t>
      </w:r>
    </w:p>
    <w:p w14:paraId="421A19DF" w14:textId="6CCC7082" w:rsidR="00866721" w:rsidRPr="00866721" w:rsidRDefault="00866721" w:rsidP="00866721">
      <w:pPr>
        <w:spacing w:line="360" w:lineRule="auto"/>
        <w:rPr>
          <w:sz w:val="22"/>
          <w:szCs w:val="22"/>
        </w:rPr>
      </w:pPr>
      <w:r>
        <w:rPr>
          <w:noProof/>
        </w:rPr>
        <w:drawing>
          <wp:anchor distT="0" distB="0" distL="114300" distR="114300" simplePos="0" relativeHeight="251660288" behindDoc="1" locked="0" layoutInCell="1" allowOverlap="1" wp14:anchorId="3D49F64D" wp14:editId="3413404F">
            <wp:simplePos x="0" y="0"/>
            <wp:positionH relativeFrom="margin">
              <wp:align>left</wp:align>
            </wp:positionH>
            <wp:positionV relativeFrom="paragraph">
              <wp:posOffset>11430</wp:posOffset>
            </wp:positionV>
            <wp:extent cx="3108960" cy="3208020"/>
            <wp:effectExtent l="0" t="0" r="0" b="0"/>
            <wp:wrapTight wrapText="bothSides">
              <wp:wrapPolygon edited="0">
                <wp:start x="0" y="0"/>
                <wp:lineTo x="0" y="21420"/>
                <wp:lineTo x="21441" y="21420"/>
                <wp:lineTo x="21441" y="0"/>
                <wp:lineTo x="0" y="0"/>
              </wp:wrapPolygon>
            </wp:wrapTight>
            <wp:docPr id="350092866" name="Picture 4" descr="Technological Advancement Stock Photos, Images and Background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echnological Advancement Stock Photos, Images and Backgrounds for Free Downloa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08960" cy="3208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66721">
        <w:rPr>
          <w:sz w:val="22"/>
          <w:szCs w:val="22"/>
        </w:rPr>
        <w:t>Effective change management is essential. Lewin’s (1951) Change Model highlights employee preparation through unfreezing, changing, and refreezing stages, although it has been criticised for presenting change as a linear process. Similarly, Kotter’s (2018) model emphasises communication, employee support, and cultural integration. Therefore, M&amp;S must combine digital investment with training, communication, and employee involvement to achieve successful transformation.</w:t>
      </w:r>
    </w:p>
    <w:p w14:paraId="78C2D237" w14:textId="043CCECE" w:rsidR="006167B2" w:rsidRPr="000B1CCF" w:rsidRDefault="006167B2" w:rsidP="000B1CCF">
      <w:pPr>
        <w:spacing w:line="360" w:lineRule="auto"/>
        <w:rPr>
          <w:sz w:val="22"/>
          <w:szCs w:val="22"/>
        </w:rPr>
      </w:pPr>
    </w:p>
    <w:p w14:paraId="721C3029" w14:textId="77777777" w:rsidR="004B3BAA" w:rsidRDefault="004B3BAA" w:rsidP="006167B2">
      <w:pPr>
        <w:rPr>
          <w:b/>
          <w:bCs/>
        </w:rPr>
      </w:pPr>
    </w:p>
    <w:p w14:paraId="63228705" w14:textId="14FABC72" w:rsidR="006167B2" w:rsidRPr="00F3288F" w:rsidRDefault="006167B2" w:rsidP="00F3288F">
      <w:pPr>
        <w:pStyle w:val="Heading1"/>
        <w:rPr>
          <w:rFonts w:ascii="Arial" w:hAnsi="Arial" w:cs="Arial"/>
          <w:b/>
          <w:bCs/>
          <w:color w:val="auto"/>
          <w:sz w:val="32"/>
          <w:szCs w:val="32"/>
        </w:rPr>
      </w:pPr>
      <w:bookmarkStart w:id="5" w:name="_Toc235266586"/>
      <w:r w:rsidRPr="00F3288F">
        <w:rPr>
          <w:rFonts w:ascii="Arial" w:hAnsi="Arial" w:cs="Arial"/>
          <w:b/>
          <w:bCs/>
          <w:color w:val="auto"/>
          <w:sz w:val="32"/>
          <w:szCs w:val="32"/>
        </w:rPr>
        <w:lastRenderedPageBreak/>
        <w:t>2.2 Talent Acquisition and Retention</w:t>
      </w:r>
      <w:bookmarkEnd w:id="5"/>
    </w:p>
    <w:p w14:paraId="3EA2C0E7" w14:textId="77777777" w:rsidR="006167B2" w:rsidRPr="004B3BAA" w:rsidRDefault="006167B2" w:rsidP="004B3BAA">
      <w:pPr>
        <w:spacing w:line="360" w:lineRule="auto"/>
        <w:rPr>
          <w:sz w:val="22"/>
          <w:szCs w:val="22"/>
        </w:rPr>
      </w:pPr>
      <w:r w:rsidRPr="004B3BAA">
        <w:rPr>
          <w:sz w:val="22"/>
          <w:szCs w:val="22"/>
        </w:rPr>
        <w:t>Attracting and retaining talented employees remains a major challenge for M&amp;S due to increasing competition within the retail labour market. Employees increasingly value flexible working arrangements, career progression, wellbeing, and meaningful work experiences. High turnover creates additional costs through recruitment, training, and loss of organisational knowledge.</w:t>
      </w:r>
    </w:p>
    <w:p w14:paraId="04CF41F4" w14:textId="77777777" w:rsidR="006167B2" w:rsidRPr="004B3BAA" w:rsidRDefault="006167B2" w:rsidP="004B3BAA">
      <w:pPr>
        <w:spacing w:line="360" w:lineRule="auto"/>
        <w:rPr>
          <w:sz w:val="22"/>
          <w:szCs w:val="22"/>
        </w:rPr>
      </w:pPr>
      <w:r w:rsidRPr="004B3BAA">
        <w:rPr>
          <w:sz w:val="22"/>
          <w:szCs w:val="22"/>
        </w:rPr>
        <w:t>Although traditional motivation theories emphasise financial rewards, modern retention challenges extend beyond pay. Herzberg’s (1968) Two-Factor Theory suggests that employee satisfaction depends on hygiene factors, such as pay and working conditions, and motivators, including recognition and achievement. However, the theory has limitations in explaining contemporary employment expectations, where employees increasingly prioritise flexibility, development, and work-life balance.</w:t>
      </w:r>
    </w:p>
    <w:p w14:paraId="2FB03E2D" w14:textId="1B4CEDF0" w:rsidR="004B3BAA" w:rsidRPr="004B3BAA" w:rsidRDefault="004B3BAA" w:rsidP="004B3BAA">
      <w:pPr>
        <w:spacing w:line="360" w:lineRule="auto"/>
        <w:rPr>
          <w:sz w:val="22"/>
          <w:szCs w:val="22"/>
        </w:rPr>
      </w:pPr>
      <w:r w:rsidRPr="004B3BAA">
        <w:rPr>
          <w:noProof/>
          <w:sz w:val="22"/>
          <w:szCs w:val="22"/>
        </w:rPr>
        <w:drawing>
          <wp:anchor distT="0" distB="0" distL="114300" distR="114300" simplePos="0" relativeHeight="251659264" behindDoc="1" locked="0" layoutInCell="1" allowOverlap="1" wp14:anchorId="4C51624D" wp14:editId="478C3E50">
            <wp:simplePos x="0" y="0"/>
            <wp:positionH relativeFrom="column">
              <wp:posOffset>2415540</wp:posOffset>
            </wp:positionH>
            <wp:positionV relativeFrom="paragraph">
              <wp:posOffset>56515</wp:posOffset>
            </wp:positionV>
            <wp:extent cx="3765550" cy="2727960"/>
            <wp:effectExtent l="0" t="0" r="6350" b="0"/>
            <wp:wrapTight wrapText="bothSides">
              <wp:wrapPolygon edited="0">
                <wp:start x="0" y="0"/>
                <wp:lineTo x="0" y="21419"/>
                <wp:lineTo x="21527" y="21419"/>
                <wp:lineTo x="21527" y="0"/>
                <wp:lineTo x="0" y="0"/>
              </wp:wrapPolygon>
            </wp:wrapTight>
            <wp:docPr id="287638317" name="Picture 3" descr="Talent acquisition Images - Free Download on Magnific (formerly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alent acquisition Images - Free Download on Magnific (formerly Freepi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65550" cy="2727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67B2" w:rsidRPr="004B3BAA">
        <w:rPr>
          <w:sz w:val="22"/>
          <w:szCs w:val="22"/>
        </w:rPr>
        <w:t>The Ability-Motivation-Opportunity (AMO) Framework provides a broader explanation of employee performance and retention. It suggests that employees require appropriate skills, motivation, and opportunities to contribute effectively. Therefore, M&amp;S can improve retention by investing in training, recognising employee contributions, and creating clearer career pathways.</w:t>
      </w:r>
    </w:p>
    <w:p w14:paraId="11D7CF54" w14:textId="324A894D" w:rsidR="006167B2" w:rsidRPr="004B3BAA" w:rsidRDefault="006167B2" w:rsidP="004B3BAA">
      <w:pPr>
        <w:spacing w:line="360" w:lineRule="auto"/>
        <w:rPr>
          <w:sz w:val="22"/>
          <w:szCs w:val="22"/>
        </w:rPr>
      </w:pPr>
      <w:r w:rsidRPr="004B3BAA">
        <w:rPr>
          <w:sz w:val="22"/>
          <w:szCs w:val="22"/>
        </w:rPr>
        <w:t>However, retention challenges are not solely caused by HR practices but also reflect structural issues within retail employment. Shift patterns, weekend working, and operational demands may conflict with employee expectations for flexibility. Therefore, while rewards and development opportunities remain important, M&amp;S must address wider workforce expectations to remain competitive in attracting and retaining talent.</w:t>
      </w:r>
    </w:p>
    <w:p w14:paraId="24BC6532" w14:textId="77777777" w:rsidR="004B3BAA" w:rsidRDefault="004B3BAA" w:rsidP="006167B2">
      <w:pPr>
        <w:rPr>
          <w:b/>
          <w:bCs/>
          <w:sz w:val="32"/>
          <w:szCs w:val="32"/>
        </w:rPr>
      </w:pPr>
    </w:p>
    <w:p w14:paraId="1F397DF8" w14:textId="420A456C" w:rsidR="006167B2" w:rsidRPr="00F3288F" w:rsidRDefault="006167B2" w:rsidP="00F3288F">
      <w:pPr>
        <w:pStyle w:val="Heading1"/>
        <w:rPr>
          <w:rFonts w:ascii="Arial" w:hAnsi="Arial" w:cs="Arial"/>
          <w:b/>
          <w:bCs/>
          <w:color w:val="auto"/>
          <w:sz w:val="32"/>
          <w:szCs w:val="32"/>
        </w:rPr>
      </w:pPr>
      <w:bookmarkStart w:id="6" w:name="_Toc235266587"/>
      <w:r w:rsidRPr="00F3288F">
        <w:rPr>
          <w:rFonts w:ascii="Arial" w:hAnsi="Arial" w:cs="Arial"/>
          <w:b/>
          <w:bCs/>
          <w:color w:val="auto"/>
          <w:sz w:val="32"/>
          <w:szCs w:val="32"/>
        </w:rPr>
        <w:lastRenderedPageBreak/>
        <w:t>2.3 Diversity, Equity and Inclusion (DEI)</w:t>
      </w:r>
      <w:bookmarkEnd w:id="6"/>
    </w:p>
    <w:p w14:paraId="7BA24C43" w14:textId="672F7828" w:rsidR="006167B2" w:rsidRPr="00866721" w:rsidRDefault="00683495" w:rsidP="00866721">
      <w:pPr>
        <w:spacing w:line="360" w:lineRule="auto"/>
        <w:rPr>
          <w:sz w:val="22"/>
          <w:szCs w:val="22"/>
        </w:rPr>
      </w:pPr>
      <w:r>
        <w:rPr>
          <w:noProof/>
        </w:rPr>
        <w:drawing>
          <wp:anchor distT="0" distB="0" distL="114300" distR="114300" simplePos="0" relativeHeight="251661312" behindDoc="1" locked="0" layoutInCell="1" allowOverlap="1" wp14:anchorId="1E8B565E" wp14:editId="0129F367">
            <wp:simplePos x="0" y="0"/>
            <wp:positionH relativeFrom="column">
              <wp:posOffset>2514600</wp:posOffset>
            </wp:positionH>
            <wp:positionV relativeFrom="paragraph">
              <wp:posOffset>10160</wp:posOffset>
            </wp:positionV>
            <wp:extent cx="3201670" cy="2682240"/>
            <wp:effectExtent l="0" t="0" r="0" b="3810"/>
            <wp:wrapTight wrapText="bothSides">
              <wp:wrapPolygon edited="0">
                <wp:start x="0" y="0"/>
                <wp:lineTo x="0" y="21477"/>
                <wp:lineTo x="21463" y="21477"/>
                <wp:lineTo x="21463" y="0"/>
                <wp:lineTo x="0" y="0"/>
              </wp:wrapPolygon>
            </wp:wrapTight>
            <wp:docPr id="1890933657" name="Picture 5" descr="Diversity Equity Inclusion Pictures | Download Free Images on Unspl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iversity Equity Inclusion Pictures | Download Free Images on Unsplas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1670" cy="2682240"/>
                    </a:xfrm>
                    <a:prstGeom prst="rect">
                      <a:avLst/>
                    </a:prstGeom>
                    <a:noFill/>
                    <a:ln>
                      <a:noFill/>
                    </a:ln>
                  </pic:spPr>
                </pic:pic>
              </a:graphicData>
            </a:graphic>
          </wp:anchor>
        </w:drawing>
      </w:r>
      <w:r w:rsidR="006167B2" w:rsidRPr="00866721">
        <w:rPr>
          <w:sz w:val="22"/>
          <w:szCs w:val="22"/>
        </w:rPr>
        <w:t>Diversity, equity and inclusion (DEI) have become essential components of contemporary HR strategy. Diverse organisations can benefit from improved innovation, decision-making, and employee engagement (CIPD, 2024). For M&amp;S, which serves a diverse customer base and employs individuals from different backgrounds, effective DEI practices support both organisational performance and social responsibility.</w:t>
      </w:r>
      <w:r w:rsidRPr="00683495">
        <w:t xml:space="preserve"> </w:t>
      </w:r>
    </w:p>
    <w:p w14:paraId="1C5496E2" w14:textId="77777777" w:rsidR="006167B2" w:rsidRPr="00866721" w:rsidRDefault="006167B2" w:rsidP="00866721">
      <w:pPr>
        <w:spacing w:line="360" w:lineRule="auto"/>
        <w:rPr>
          <w:sz w:val="22"/>
          <w:szCs w:val="22"/>
        </w:rPr>
      </w:pPr>
      <w:r w:rsidRPr="00866721">
        <w:rPr>
          <w:sz w:val="22"/>
          <w:szCs w:val="22"/>
        </w:rPr>
        <w:t>However, genuine inclusion requires more than formal equality policies. Social Identity Theory suggests that individuals naturally categorise themselves and others into social groups, which can create in-group and out-group behaviours contributing to exclusion (Tajfel and Turner, 1979). Therefore, organisations may achieve workforce diversity while still experiencing barriers relating to inclusion and equal opportunity.</w:t>
      </w:r>
    </w:p>
    <w:p w14:paraId="742D2F58" w14:textId="77777777" w:rsidR="006167B2" w:rsidRPr="00866721" w:rsidRDefault="006167B2" w:rsidP="00866721">
      <w:pPr>
        <w:spacing w:line="360" w:lineRule="auto"/>
        <w:rPr>
          <w:sz w:val="22"/>
          <w:szCs w:val="22"/>
        </w:rPr>
      </w:pPr>
      <w:r w:rsidRPr="00866721">
        <w:rPr>
          <w:sz w:val="22"/>
          <w:szCs w:val="22"/>
        </w:rPr>
        <w:t>Although DEI initiatives can improve representation, critics argue that some programmes become symbolic rather than transformational. Diversity targets alone cannot guarantee inclusion if employees continue to experience unconscious bias, limited progression opportunities, or unequal treatment. Consequently, M&amp;S must embed DEI within organisational culture through inclusive leadership, accountability mechanisms, and fair development processes.</w:t>
      </w:r>
    </w:p>
    <w:p w14:paraId="047E3B9B" w14:textId="77777777" w:rsidR="006167B2" w:rsidRPr="00866721" w:rsidRDefault="006167B2" w:rsidP="00866721">
      <w:pPr>
        <w:spacing w:line="360" w:lineRule="auto"/>
        <w:rPr>
          <w:sz w:val="22"/>
          <w:szCs w:val="22"/>
        </w:rPr>
      </w:pPr>
      <w:r w:rsidRPr="00866721">
        <w:rPr>
          <w:sz w:val="22"/>
          <w:szCs w:val="22"/>
        </w:rPr>
        <w:t>Overall, these HR challenges demonstrate that effective HR management requires more than implementing policies. Sustainable success depends on developing workforce capabilities, managing technological change effectively, improving employee experience, and embedding inclusion into everyday organisational practices.</w:t>
      </w:r>
    </w:p>
    <w:p w14:paraId="57E8DB44" w14:textId="77777777" w:rsidR="00683495" w:rsidRDefault="00683495" w:rsidP="00683495">
      <w:pPr>
        <w:rPr>
          <w:rFonts w:eastAsia="Arial Nova"/>
          <w:b/>
          <w:bCs/>
          <w:sz w:val="36"/>
          <w:szCs w:val="36"/>
        </w:rPr>
      </w:pPr>
    </w:p>
    <w:p w14:paraId="32683C34" w14:textId="77777777" w:rsidR="00683495" w:rsidRDefault="00683495" w:rsidP="00683495">
      <w:pPr>
        <w:rPr>
          <w:rFonts w:eastAsia="Arial Nova"/>
          <w:b/>
          <w:bCs/>
          <w:sz w:val="36"/>
          <w:szCs w:val="36"/>
        </w:rPr>
      </w:pPr>
    </w:p>
    <w:p w14:paraId="36EB4C82" w14:textId="1B3098F2" w:rsidR="00683495" w:rsidRPr="00EC5133" w:rsidRDefault="00683495" w:rsidP="00F3288F">
      <w:pPr>
        <w:pStyle w:val="Heading1"/>
        <w:rPr>
          <w:rFonts w:ascii="Arial Black" w:eastAsia="Arial Nova" w:hAnsi="Arial Black" w:cs="Arial"/>
          <w:b/>
          <w:bCs/>
          <w:color w:val="auto"/>
          <w:sz w:val="36"/>
          <w:szCs w:val="36"/>
        </w:rPr>
      </w:pPr>
      <w:bookmarkStart w:id="7" w:name="_Toc235266588"/>
      <w:r w:rsidRPr="00EC5133">
        <w:rPr>
          <w:rFonts w:ascii="Arial Black" w:eastAsia="Arial Nova" w:hAnsi="Arial Black" w:cs="Arial"/>
          <w:b/>
          <w:bCs/>
          <w:color w:val="auto"/>
          <w:sz w:val="36"/>
          <w:szCs w:val="36"/>
        </w:rPr>
        <w:lastRenderedPageBreak/>
        <w:t>3. Evaluation of Contemporary HR Practices</w:t>
      </w:r>
      <w:bookmarkEnd w:id="7"/>
    </w:p>
    <w:p w14:paraId="7BE2F9AE" w14:textId="452A968C" w:rsidR="00683495" w:rsidRPr="00F3288F" w:rsidRDefault="00683495" w:rsidP="00F3288F">
      <w:pPr>
        <w:pStyle w:val="Heading1"/>
        <w:rPr>
          <w:rFonts w:ascii="Arial" w:eastAsia="Arial Nova" w:hAnsi="Arial" w:cs="Arial"/>
          <w:b/>
          <w:bCs/>
          <w:color w:val="auto"/>
          <w:sz w:val="32"/>
          <w:szCs w:val="32"/>
        </w:rPr>
      </w:pPr>
      <w:bookmarkStart w:id="8" w:name="_Toc235266589"/>
      <w:r w:rsidRPr="00F3288F">
        <w:rPr>
          <w:rFonts w:ascii="Arial" w:eastAsia="Arial Nova" w:hAnsi="Arial" w:cs="Arial"/>
          <w:b/>
          <w:bCs/>
          <w:color w:val="auto"/>
          <w:sz w:val="32"/>
          <w:szCs w:val="32"/>
        </w:rPr>
        <w:t>3.1 Workforce Analytics and Digital HR Systems</w:t>
      </w:r>
      <w:bookmarkEnd w:id="8"/>
    </w:p>
    <w:p w14:paraId="4D917BFA" w14:textId="0AC99813" w:rsidR="00683495" w:rsidRPr="00683495" w:rsidRDefault="00683495" w:rsidP="00683495">
      <w:pPr>
        <w:spacing w:line="360" w:lineRule="auto"/>
        <w:rPr>
          <w:rFonts w:eastAsia="Arial Nova"/>
          <w:sz w:val="22"/>
          <w:szCs w:val="22"/>
        </w:rPr>
      </w:pPr>
      <w:r w:rsidRPr="00683495">
        <w:rPr>
          <w:rFonts w:eastAsia="Arial Nova"/>
          <w:sz w:val="22"/>
          <w:szCs w:val="22"/>
        </w:rPr>
        <w:t>Digital HR systems and workforce analytics are important tools for strategic HR decision-making. They enable organisations to analyse workforce data relating to performance, turnover, absenteeism, and engagement.</w:t>
      </w:r>
    </w:p>
    <w:p w14:paraId="614DF1B9" w14:textId="10D97FA3" w:rsidR="00683495" w:rsidRPr="00683495" w:rsidRDefault="00683495" w:rsidP="00683495">
      <w:pPr>
        <w:spacing w:line="360" w:lineRule="auto"/>
        <w:rPr>
          <w:rFonts w:eastAsia="Arial Nova"/>
          <w:sz w:val="22"/>
          <w:szCs w:val="22"/>
        </w:rPr>
      </w:pPr>
      <w:r w:rsidRPr="00683495">
        <w:rPr>
          <w:rFonts w:eastAsia="Arial Nova"/>
          <w:sz w:val="22"/>
          <w:szCs w:val="22"/>
        </w:rPr>
        <w:t>According to Armstrong (2021), workforce analytics supports evidence-based decision-making by identifying workforce trends and improving planning. For M&amp;S, analytics can help identify recruitment needs, retention risks, and future skills requirements, enabling proactive HR interventions.</w:t>
      </w:r>
    </w:p>
    <w:p w14:paraId="063F2020" w14:textId="2F2B9A8A" w:rsidR="00683495" w:rsidRPr="00683495" w:rsidRDefault="00683495" w:rsidP="00683495">
      <w:pPr>
        <w:spacing w:line="360" w:lineRule="auto"/>
        <w:rPr>
          <w:rFonts w:eastAsia="Arial Nova"/>
        </w:rPr>
      </w:pPr>
      <w:r w:rsidRPr="00683495">
        <w:rPr>
          <w:rFonts w:eastAsia="Arial Nova"/>
          <w:sz w:val="22"/>
          <w:szCs w:val="22"/>
        </w:rPr>
        <w:t>However, workforce analytics also presents challenges. Ball (2010) argues that excessive monitoring may create perceptions of surveillance, reducing employee trust and engagement.</w:t>
      </w:r>
    </w:p>
    <w:p w14:paraId="3EC01DE7" w14:textId="416C2176" w:rsidR="00683495" w:rsidRPr="00F3288F" w:rsidRDefault="00683495" w:rsidP="00F3288F">
      <w:pPr>
        <w:pStyle w:val="Heading1"/>
        <w:rPr>
          <w:rFonts w:ascii="Arial" w:eastAsia="Arial Nova" w:hAnsi="Arial" w:cs="Arial"/>
          <w:b/>
          <w:bCs/>
          <w:color w:val="auto"/>
          <w:sz w:val="32"/>
          <w:szCs w:val="32"/>
        </w:rPr>
      </w:pPr>
      <w:bookmarkStart w:id="9" w:name="_Toc235266590"/>
      <w:r w:rsidRPr="00F3288F">
        <w:rPr>
          <w:rFonts w:ascii="Arial" w:eastAsia="Arial Nova" w:hAnsi="Arial" w:cs="Arial"/>
          <w:b/>
          <w:bCs/>
          <w:color w:val="auto"/>
          <w:sz w:val="32"/>
          <w:szCs w:val="32"/>
        </w:rPr>
        <w:t>3.2 Employer Branding and Strategic Workforce Planning</w:t>
      </w:r>
      <w:bookmarkEnd w:id="9"/>
    </w:p>
    <w:p w14:paraId="6B47FC2F" w14:textId="294AE1CF" w:rsidR="00683495" w:rsidRPr="00683495" w:rsidRDefault="00683495" w:rsidP="00683495">
      <w:pPr>
        <w:spacing w:line="360" w:lineRule="auto"/>
        <w:rPr>
          <w:rFonts w:eastAsia="Arial Nova"/>
          <w:sz w:val="22"/>
          <w:szCs w:val="22"/>
        </w:rPr>
      </w:pPr>
      <w:r w:rsidRPr="00683495">
        <w:rPr>
          <w:rFonts w:eastAsia="Arial Nova"/>
          <w:sz w:val="22"/>
          <w:szCs w:val="22"/>
        </w:rPr>
        <w:t>Employer branding helps attract and retain talented employees by communicating organisational values, career opportunities, and workplace culture. A strong employer brand can differentiate organisations within competitive labour markets.</w:t>
      </w:r>
    </w:p>
    <w:p w14:paraId="43A28C0A" w14:textId="74E63739" w:rsidR="00683495" w:rsidRPr="00683495" w:rsidRDefault="00F3288F" w:rsidP="00683495">
      <w:pPr>
        <w:spacing w:line="360" w:lineRule="auto"/>
        <w:rPr>
          <w:rFonts w:eastAsia="Arial Nova"/>
          <w:sz w:val="22"/>
          <w:szCs w:val="22"/>
        </w:rPr>
      </w:pPr>
      <w:r>
        <w:rPr>
          <w:noProof/>
        </w:rPr>
        <w:drawing>
          <wp:anchor distT="0" distB="0" distL="114300" distR="114300" simplePos="0" relativeHeight="251662336" behindDoc="1" locked="0" layoutInCell="1" allowOverlap="1" wp14:anchorId="0F55D009" wp14:editId="073A48F7">
            <wp:simplePos x="0" y="0"/>
            <wp:positionH relativeFrom="column">
              <wp:posOffset>2606040</wp:posOffset>
            </wp:positionH>
            <wp:positionV relativeFrom="paragraph">
              <wp:posOffset>852805</wp:posOffset>
            </wp:positionV>
            <wp:extent cx="2994660" cy="2461260"/>
            <wp:effectExtent l="0" t="0" r="0" b="0"/>
            <wp:wrapTight wrapText="bothSides">
              <wp:wrapPolygon edited="0">
                <wp:start x="0" y="0"/>
                <wp:lineTo x="0" y="21399"/>
                <wp:lineTo x="21435" y="21399"/>
                <wp:lineTo x="21435" y="0"/>
                <wp:lineTo x="0" y="0"/>
              </wp:wrapPolygon>
            </wp:wrapTight>
            <wp:docPr id="688573106" name="Picture 6" descr="Workforce Planning Pictures | Download Free Images on Unspl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orkforce Planning Pictures | Download Free Images on Unsplas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94660" cy="2461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3495" w:rsidRPr="00683495">
        <w:rPr>
          <w:rFonts w:eastAsia="Arial Nova"/>
          <w:sz w:val="22"/>
          <w:szCs w:val="22"/>
        </w:rPr>
        <w:t>From a Resource-Based View perspective, human capital provides sustainable competitive advantage when organisations successfully attract and develop skilled employees (Barney, 1991). For M&amp;S, effective employer branding can strengthen recruitment and support talent development.</w:t>
      </w:r>
    </w:p>
    <w:p w14:paraId="4DE323F0" w14:textId="759F21F2" w:rsidR="00683495" w:rsidRPr="00683495" w:rsidRDefault="00683495" w:rsidP="00683495">
      <w:pPr>
        <w:spacing w:line="360" w:lineRule="auto"/>
        <w:rPr>
          <w:rFonts w:eastAsia="Arial Nova"/>
          <w:sz w:val="22"/>
          <w:szCs w:val="22"/>
        </w:rPr>
      </w:pPr>
      <w:r w:rsidRPr="00683495">
        <w:rPr>
          <w:rFonts w:eastAsia="Arial Nova"/>
          <w:sz w:val="22"/>
          <w:szCs w:val="22"/>
        </w:rPr>
        <w:t>Strategic workforce planning complements this by identifying future workforce requirements and skills gaps, ensuring recruitment aligns with business objectives.</w:t>
      </w:r>
      <w:r w:rsidRPr="00683495">
        <w:t xml:space="preserve"> </w:t>
      </w:r>
    </w:p>
    <w:p w14:paraId="1DE692E5" w14:textId="36D45A34" w:rsidR="00683495" w:rsidRPr="00683495" w:rsidRDefault="00683495" w:rsidP="00683495">
      <w:pPr>
        <w:spacing w:line="360" w:lineRule="auto"/>
        <w:rPr>
          <w:rFonts w:eastAsia="Arial Nova"/>
          <w:sz w:val="22"/>
          <w:szCs w:val="22"/>
        </w:rPr>
      </w:pPr>
      <w:r w:rsidRPr="00683495">
        <w:rPr>
          <w:rFonts w:eastAsia="Arial Nova"/>
          <w:sz w:val="22"/>
          <w:szCs w:val="22"/>
        </w:rPr>
        <w:t>Rousseau’s (1995) Psychological Contract Theory suggests that unmet expectations can reduce trust, commitment, and retention. Therefore, employer branding must accurately reflect workplace realities.</w:t>
      </w:r>
    </w:p>
    <w:p w14:paraId="49D26A5A" w14:textId="2846DEFB" w:rsidR="009A65A3" w:rsidRDefault="00683495" w:rsidP="00F3288F">
      <w:pPr>
        <w:pStyle w:val="Heading1"/>
        <w:rPr>
          <w:rFonts w:ascii="Arial" w:eastAsia="Arial Nova" w:hAnsi="Arial" w:cs="Arial"/>
          <w:b/>
          <w:bCs/>
          <w:color w:val="auto"/>
          <w:sz w:val="32"/>
          <w:szCs w:val="32"/>
        </w:rPr>
      </w:pPr>
      <w:bookmarkStart w:id="10" w:name="_Toc235266591"/>
      <w:r w:rsidRPr="00F3288F">
        <w:rPr>
          <w:rFonts w:ascii="Arial" w:eastAsia="Arial Nova" w:hAnsi="Arial" w:cs="Arial"/>
          <w:b/>
          <w:bCs/>
          <w:color w:val="auto"/>
          <w:sz w:val="32"/>
          <w:szCs w:val="32"/>
        </w:rPr>
        <w:lastRenderedPageBreak/>
        <w:t>3.3 Employee Engagement and Retention Strategies</w:t>
      </w:r>
      <w:bookmarkStart w:id="11" w:name="_Toc235266592"/>
      <w:bookmarkEnd w:id="10"/>
    </w:p>
    <w:p w14:paraId="0DBEC7D6" w14:textId="77777777" w:rsidR="009A65A3" w:rsidRPr="009A65A3" w:rsidRDefault="009A65A3" w:rsidP="009A65A3">
      <w:pPr>
        <w:rPr>
          <w:sz w:val="22"/>
          <w:szCs w:val="22"/>
        </w:rPr>
      </w:pPr>
      <w:r w:rsidRPr="009A65A3">
        <w:rPr>
          <w:sz w:val="22"/>
          <w:szCs w:val="22"/>
        </w:rPr>
        <w:t>Employee engagement significantly influences organisational performance and retention. M&amp;S uses training, recognition schemes, wellbeing initiatives, and career development opportunities to improve employee commitment.</w:t>
      </w:r>
    </w:p>
    <w:p w14:paraId="6B051310" w14:textId="77777777" w:rsidR="009A65A3" w:rsidRPr="009A65A3" w:rsidRDefault="009A65A3" w:rsidP="009A65A3">
      <w:pPr>
        <w:rPr>
          <w:sz w:val="22"/>
          <w:szCs w:val="22"/>
        </w:rPr>
      </w:pPr>
      <w:r w:rsidRPr="009A65A3">
        <w:rPr>
          <w:sz w:val="22"/>
          <w:szCs w:val="22"/>
        </w:rPr>
        <w:t>Guest (2017) argues that high-performance work practices enhance engagement and organisational outcomes. Similarly, Self-Determination Theory highlights the importance of autonomy, competence, and relatedness in supporting employee motivation (Deci and Ryan, 2000).</w:t>
      </w:r>
    </w:p>
    <w:p w14:paraId="3CB9411A" w14:textId="77777777" w:rsidR="009A65A3" w:rsidRPr="009A65A3" w:rsidRDefault="009A65A3" w:rsidP="009A65A3">
      <w:pPr>
        <w:rPr>
          <w:sz w:val="22"/>
          <w:szCs w:val="22"/>
        </w:rPr>
      </w:pPr>
      <w:r w:rsidRPr="009A65A3">
        <w:rPr>
          <w:sz w:val="22"/>
          <w:szCs w:val="22"/>
        </w:rPr>
        <w:t>However, engagement initiatives may only provide short-term benefits if underlying workplace issues remain unresolved. Recognition programmes may improve morale but fail to address workload pressures, limited progression opportunities, or work-life balance concerns. Therefore, M&amp;S should adopt a holistic engagement approach that considers employee needs, organisational culture, and working conditions. Regular employee feedback mechanisms can help identify dissatisfaction early and allow managers to implement targeted improvements. Effective engagement strategies should also be integrated with leadership development to ensure managers actively support employee wellbeing and motivation.</w:t>
      </w:r>
    </w:p>
    <w:p w14:paraId="0A30480A" w14:textId="08B8572A" w:rsidR="009A65A3" w:rsidRPr="009A65A3" w:rsidRDefault="009A65A3" w:rsidP="009A65A3"/>
    <w:p w14:paraId="155AECEC" w14:textId="72BFF978" w:rsidR="00683495" w:rsidRPr="00F3288F" w:rsidRDefault="00683495" w:rsidP="00F3288F">
      <w:pPr>
        <w:pStyle w:val="Heading1"/>
        <w:rPr>
          <w:rFonts w:ascii="Arial" w:eastAsia="Arial Nova" w:hAnsi="Arial" w:cs="Arial"/>
          <w:b/>
          <w:bCs/>
          <w:color w:val="auto"/>
          <w:sz w:val="32"/>
          <w:szCs w:val="32"/>
        </w:rPr>
      </w:pPr>
      <w:r w:rsidRPr="00F3288F">
        <w:rPr>
          <w:rFonts w:ascii="Arial" w:eastAsia="Arial Nova" w:hAnsi="Arial" w:cs="Arial"/>
          <w:b/>
          <w:bCs/>
          <w:color w:val="auto"/>
          <w:sz w:val="32"/>
          <w:szCs w:val="32"/>
        </w:rPr>
        <w:t>3.4 Inclusive Recruitment and Selection</w:t>
      </w:r>
      <w:bookmarkEnd w:id="11"/>
    </w:p>
    <w:p w14:paraId="5C3FD753" w14:textId="77777777" w:rsidR="00683495" w:rsidRPr="00683495" w:rsidRDefault="00683495" w:rsidP="00683495">
      <w:pPr>
        <w:spacing w:line="360" w:lineRule="auto"/>
        <w:rPr>
          <w:rFonts w:eastAsia="Arial Nova"/>
          <w:sz w:val="22"/>
          <w:szCs w:val="22"/>
        </w:rPr>
      </w:pPr>
      <w:r w:rsidRPr="00683495">
        <w:rPr>
          <w:rFonts w:eastAsia="Arial Nova"/>
          <w:sz w:val="22"/>
          <w:szCs w:val="22"/>
        </w:rPr>
        <w:t>Inclusive recruitment supports workforce diversity and equal opportunity by reducing bias and improving selection fairness. Structured interviews, competency-based assessments, and diverse recruitment panels can improve hiring quality.</w:t>
      </w:r>
    </w:p>
    <w:p w14:paraId="183470D5" w14:textId="23219C8A" w:rsidR="00683495" w:rsidRDefault="00AD6715" w:rsidP="00683495">
      <w:pPr>
        <w:spacing w:line="360" w:lineRule="auto"/>
        <w:rPr>
          <w:rFonts w:eastAsia="Arial Nova"/>
          <w:sz w:val="22"/>
          <w:szCs w:val="22"/>
        </w:rPr>
      </w:pPr>
      <w:r>
        <w:rPr>
          <w:noProof/>
        </w:rPr>
        <w:drawing>
          <wp:anchor distT="0" distB="0" distL="114300" distR="114300" simplePos="0" relativeHeight="251664384" behindDoc="1" locked="0" layoutInCell="1" allowOverlap="1" wp14:anchorId="29C567E3" wp14:editId="3A6CB998">
            <wp:simplePos x="0" y="0"/>
            <wp:positionH relativeFrom="margin">
              <wp:align>left</wp:align>
            </wp:positionH>
            <wp:positionV relativeFrom="paragraph">
              <wp:posOffset>5715</wp:posOffset>
            </wp:positionV>
            <wp:extent cx="3489960" cy="2301240"/>
            <wp:effectExtent l="0" t="0" r="0" b="3810"/>
            <wp:wrapTight wrapText="bothSides">
              <wp:wrapPolygon edited="0">
                <wp:start x="0" y="0"/>
                <wp:lineTo x="0" y="21457"/>
                <wp:lineTo x="21459" y="21457"/>
                <wp:lineTo x="21459" y="0"/>
                <wp:lineTo x="0" y="0"/>
              </wp:wrapPolygon>
            </wp:wrapTight>
            <wp:docPr id="1450669016" name="Picture 8" descr="2,455 Inclusive Hiring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2,455 Inclusive Hiring Royalty-Free Images, Stock Photos &amp; Pictures | Shutterstoc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89960" cy="2301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3495" w:rsidRPr="00683495">
        <w:rPr>
          <w:rFonts w:eastAsia="Arial Nova"/>
          <w:sz w:val="22"/>
          <w:szCs w:val="22"/>
        </w:rPr>
        <w:t>Boxall and Purcell (2016) argue that effective recruitment enables organisations to attract employees whose skills and values align with organisational objectives. For M&amp;S, inclusive recruitment can strengthen workforce capability while supporting DEI goals.</w:t>
      </w:r>
    </w:p>
    <w:p w14:paraId="7418FF59" w14:textId="39F26536" w:rsidR="00AD6715" w:rsidRPr="00683495" w:rsidRDefault="00AD6715" w:rsidP="00683495">
      <w:pPr>
        <w:spacing w:line="360" w:lineRule="auto"/>
        <w:rPr>
          <w:rFonts w:eastAsia="Arial Nova"/>
          <w:sz w:val="22"/>
          <w:szCs w:val="22"/>
        </w:rPr>
      </w:pPr>
    </w:p>
    <w:p w14:paraId="2ED96183" w14:textId="797C3BCB" w:rsidR="00683495" w:rsidRDefault="00683495" w:rsidP="00683495">
      <w:pPr>
        <w:spacing w:line="360" w:lineRule="auto"/>
        <w:rPr>
          <w:rFonts w:eastAsia="Arial Nova"/>
          <w:sz w:val="22"/>
          <w:szCs w:val="22"/>
        </w:rPr>
      </w:pPr>
      <w:r w:rsidRPr="00683495">
        <w:rPr>
          <w:rFonts w:eastAsia="Arial Nova"/>
          <w:sz w:val="22"/>
          <w:szCs w:val="22"/>
        </w:rPr>
        <w:t>However, recruitment alone cannot create an inclusive organisation. Without fair promotion opportunities, inclusive leadership, and supportive workplace culture, diversity improvements may not lead to long-term inclusion</w:t>
      </w:r>
      <w:r w:rsidR="002E205E">
        <w:rPr>
          <w:rFonts w:eastAsia="Arial Nova"/>
          <w:sz w:val="22"/>
          <w:szCs w:val="22"/>
        </w:rPr>
        <w:t>.</w:t>
      </w:r>
    </w:p>
    <w:p w14:paraId="7CBF66E7" w14:textId="2608BE6C" w:rsidR="00AD6715" w:rsidRPr="00683495" w:rsidRDefault="00AD6715" w:rsidP="00683495">
      <w:pPr>
        <w:spacing w:line="360" w:lineRule="auto"/>
        <w:rPr>
          <w:rFonts w:eastAsia="Arial Nova"/>
          <w:sz w:val="22"/>
          <w:szCs w:val="22"/>
        </w:rPr>
      </w:pPr>
    </w:p>
    <w:p w14:paraId="08070FA7" w14:textId="77777777" w:rsidR="002E205E" w:rsidRDefault="002E205E" w:rsidP="00683495">
      <w:pPr>
        <w:rPr>
          <w:rFonts w:eastAsia="Arial Nova"/>
          <w:b/>
          <w:bCs/>
          <w:sz w:val="32"/>
          <w:szCs w:val="32"/>
        </w:rPr>
      </w:pPr>
    </w:p>
    <w:p w14:paraId="647EB907" w14:textId="2E0EC778" w:rsidR="00683495" w:rsidRPr="002E205E" w:rsidRDefault="00683495" w:rsidP="002E205E">
      <w:pPr>
        <w:pStyle w:val="Heading1"/>
        <w:rPr>
          <w:rFonts w:ascii="Arial" w:eastAsia="Arial Nova" w:hAnsi="Arial" w:cs="Arial"/>
          <w:b/>
          <w:bCs/>
        </w:rPr>
      </w:pPr>
      <w:bookmarkStart w:id="12" w:name="_Toc235266593"/>
      <w:r w:rsidRPr="002E205E">
        <w:rPr>
          <w:rFonts w:ascii="Arial" w:eastAsia="Arial Nova" w:hAnsi="Arial" w:cs="Arial"/>
          <w:b/>
          <w:bCs/>
          <w:color w:val="auto"/>
          <w:sz w:val="36"/>
          <w:szCs w:val="36"/>
        </w:rPr>
        <w:t>3.5 DEI Policies and Leadership Development Initiatives</w:t>
      </w:r>
      <w:bookmarkEnd w:id="12"/>
    </w:p>
    <w:p w14:paraId="01F9B449" w14:textId="17A9B914" w:rsidR="00AD6715" w:rsidRPr="00683495" w:rsidRDefault="00AD6715" w:rsidP="00AD6715">
      <w:pPr>
        <w:spacing w:line="360" w:lineRule="auto"/>
        <w:rPr>
          <w:rFonts w:eastAsia="Arial Nova"/>
          <w:sz w:val="22"/>
          <w:szCs w:val="22"/>
        </w:rPr>
      </w:pPr>
      <w:r>
        <w:rPr>
          <w:noProof/>
        </w:rPr>
        <w:drawing>
          <wp:anchor distT="0" distB="0" distL="114300" distR="114300" simplePos="0" relativeHeight="251665408" behindDoc="1" locked="0" layoutInCell="1" allowOverlap="1" wp14:anchorId="41BC928B" wp14:editId="04EBE1A9">
            <wp:simplePos x="0" y="0"/>
            <wp:positionH relativeFrom="margin">
              <wp:align>right</wp:align>
            </wp:positionH>
            <wp:positionV relativeFrom="paragraph">
              <wp:posOffset>12700</wp:posOffset>
            </wp:positionV>
            <wp:extent cx="3825240" cy="3710940"/>
            <wp:effectExtent l="0" t="0" r="3810" b="3810"/>
            <wp:wrapTight wrapText="bothSides">
              <wp:wrapPolygon edited="0">
                <wp:start x="0" y="0"/>
                <wp:lineTo x="0" y="21511"/>
                <wp:lineTo x="21514" y="21511"/>
                <wp:lineTo x="21514" y="0"/>
                <wp:lineTo x="0" y="0"/>
              </wp:wrapPolygon>
            </wp:wrapTight>
            <wp:docPr id="1308845173" name="Picture 9" descr="Leadership Development Pictures | Download Free Images on Unspl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eadership Development Pictures | Download Free Images on Unsplash"/>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25240" cy="3710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3495" w:rsidRPr="00683495">
        <w:rPr>
          <w:rFonts w:eastAsia="Arial Nova"/>
          <w:sz w:val="22"/>
          <w:szCs w:val="22"/>
        </w:rPr>
        <w:t>DEI policies are increasingly important for creating fair and inclusive workplaces. M&amp;S has introduced inclusion initiatives and employee networks to promote equal opportunities and support workforce diversity.</w:t>
      </w:r>
    </w:p>
    <w:p w14:paraId="7DC1E05D" w14:textId="77777777" w:rsidR="00683495" w:rsidRPr="00683495" w:rsidRDefault="00683495" w:rsidP="00AD6715">
      <w:pPr>
        <w:spacing w:line="360" w:lineRule="auto"/>
        <w:rPr>
          <w:rFonts w:eastAsia="Arial Nova"/>
          <w:sz w:val="22"/>
          <w:szCs w:val="22"/>
        </w:rPr>
      </w:pPr>
      <w:r w:rsidRPr="00683495">
        <w:rPr>
          <w:rFonts w:eastAsia="Arial Nova"/>
          <w:sz w:val="22"/>
          <w:szCs w:val="22"/>
        </w:rPr>
        <w:t>Research by CIPD (2024) suggests that inclusive organisations benefit from higher employee engagement, innovation, and organisational commitment. Leadership development programmes can strengthen DEI by helping managers recognise unconscious bias, promote inclusive behaviours, and make fair decisions regarding recruitment and progression.</w:t>
      </w:r>
    </w:p>
    <w:p w14:paraId="14E47B9D" w14:textId="106811C1" w:rsidR="00AD6715" w:rsidRPr="00527A32" w:rsidRDefault="00683495" w:rsidP="00527A32">
      <w:pPr>
        <w:spacing w:line="360" w:lineRule="auto"/>
        <w:rPr>
          <w:rFonts w:eastAsia="Arial Nova"/>
          <w:sz w:val="22"/>
          <w:szCs w:val="22"/>
        </w:rPr>
      </w:pPr>
      <w:r w:rsidRPr="00683495">
        <w:rPr>
          <w:rFonts w:eastAsia="Arial Nova"/>
          <w:sz w:val="22"/>
          <w:szCs w:val="22"/>
        </w:rPr>
        <w:t>However, DEI policies may become symbolic if organisations focus solely on representation targets rather than cultural change. Social Identity Theory suggests that informal group dynamics can continue to create exclusion despite formal equality policies (Tajfel and Turner, 1979). Consequently, M&amp;S should support DEI initiatives with leadership accountability, measurable objectives, and continuous development programmes to achieve sustainable inclusion.</w:t>
      </w:r>
    </w:p>
    <w:p w14:paraId="09A4B0AF" w14:textId="7960E2AA" w:rsidR="0018672B" w:rsidRPr="00AD6715" w:rsidRDefault="0018672B" w:rsidP="00AD6715">
      <w:pPr>
        <w:pStyle w:val="Heading1"/>
        <w:rPr>
          <w:rFonts w:ascii="Arial Black" w:eastAsiaTheme="minorEastAsia" w:hAnsi="Arial Black"/>
          <w:b/>
          <w:bCs/>
          <w:color w:val="auto"/>
          <w:sz w:val="36"/>
          <w:szCs w:val="36"/>
        </w:rPr>
      </w:pPr>
      <w:bookmarkStart w:id="13" w:name="_Toc235266594"/>
      <w:r w:rsidRPr="00AD6715">
        <w:rPr>
          <w:rFonts w:ascii="Arial Black" w:eastAsiaTheme="minorEastAsia" w:hAnsi="Arial Black"/>
          <w:b/>
          <w:bCs/>
          <w:color w:val="auto"/>
          <w:sz w:val="36"/>
          <w:szCs w:val="36"/>
        </w:rPr>
        <w:lastRenderedPageBreak/>
        <w:t>4. Critical Evaluation of Managerial Implementation</w:t>
      </w:r>
      <w:bookmarkEnd w:id="13"/>
    </w:p>
    <w:p w14:paraId="0E1AE931" w14:textId="77777777" w:rsidR="0018672B" w:rsidRPr="00AD6715" w:rsidRDefault="0018672B" w:rsidP="00AD6715">
      <w:pPr>
        <w:pStyle w:val="Heading1"/>
        <w:rPr>
          <w:rFonts w:ascii="Arial" w:hAnsi="Arial" w:cs="Arial"/>
          <w:b/>
          <w:bCs/>
          <w:color w:val="auto"/>
          <w:sz w:val="32"/>
          <w:szCs w:val="32"/>
        </w:rPr>
      </w:pPr>
      <w:bookmarkStart w:id="14" w:name="_Toc235266595"/>
      <w:r w:rsidRPr="00AD6715">
        <w:rPr>
          <w:rFonts w:ascii="Arial" w:hAnsi="Arial" w:cs="Arial"/>
          <w:b/>
          <w:bCs/>
          <w:color w:val="auto"/>
          <w:sz w:val="32"/>
          <w:szCs w:val="32"/>
        </w:rPr>
        <w:t>4.1 Leadership Accountability</w:t>
      </w:r>
      <w:bookmarkEnd w:id="14"/>
    </w:p>
    <w:p w14:paraId="3970B872" w14:textId="77777777" w:rsidR="0018672B" w:rsidRDefault="0018672B" w:rsidP="00AD6715">
      <w:pPr>
        <w:spacing w:line="360" w:lineRule="auto"/>
        <w:rPr>
          <w:sz w:val="22"/>
          <w:szCs w:val="22"/>
        </w:rPr>
      </w:pPr>
      <w:r w:rsidRPr="00AD6715">
        <w:rPr>
          <w:sz w:val="22"/>
          <w:szCs w:val="22"/>
        </w:rPr>
        <w:t>The successful implementation of HR strategies at Marks &amp; Spencer depends significantly on the capability of departmental managers. Although HR departments develop policies and frameworks, line managers act as the connection between strategic HR objectives and employee experiences. Therefore, HR effectiveness depends not only on policy design but also on consistent managerial application across the organisation.</w:t>
      </w:r>
    </w:p>
    <w:p w14:paraId="66A25808" w14:textId="4DB4CE3D" w:rsidR="00527A32" w:rsidRPr="00AD6715" w:rsidRDefault="00527A32" w:rsidP="00AD6715">
      <w:pPr>
        <w:spacing w:line="360" w:lineRule="auto"/>
        <w:rPr>
          <w:sz w:val="22"/>
          <w:szCs w:val="22"/>
        </w:rPr>
      </w:pPr>
      <w:r>
        <w:rPr>
          <w:noProof/>
        </w:rPr>
        <w:drawing>
          <wp:inline distT="0" distB="0" distL="0" distR="0" wp14:anchorId="3D45A0EF" wp14:editId="5D7E0FBB">
            <wp:extent cx="6019800" cy="2545080"/>
            <wp:effectExtent l="0" t="0" r="0" b="7620"/>
            <wp:docPr id="80086552" name="Picture 10" descr="LEADERSHIP ACCOUNTABILITY CHECK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EADERSHIP ACCOUNTABILITY CHECKLIS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19800" cy="2545080"/>
                    </a:xfrm>
                    <a:prstGeom prst="rect">
                      <a:avLst/>
                    </a:prstGeom>
                    <a:noFill/>
                    <a:ln>
                      <a:noFill/>
                    </a:ln>
                  </pic:spPr>
                </pic:pic>
              </a:graphicData>
            </a:graphic>
          </wp:inline>
        </w:drawing>
      </w:r>
    </w:p>
    <w:p w14:paraId="3460B75F" w14:textId="77777777" w:rsidR="0018672B" w:rsidRPr="00AD6715" w:rsidRDefault="0018672B" w:rsidP="00AD6715">
      <w:pPr>
        <w:spacing w:line="360" w:lineRule="auto"/>
        <w:rPr>
          <w:sz w:val="22"/>
          <w:szCs w:val="22"/>
        </w:rPr>
      </w:pPr>
      <w:r w:rsidRPr="00AD6715">
        <w:rPr>
          <w:sz w:val="22"/>
          <w:szCs w:val="22"/>
        </w:rPr>
        <w:t>Ulrich’s (1997) HR Business Partner Model highlights the importance of managers acting as strategic partners who align HR practices with organisational objectives. Within M&amp;S, managers play a critical role in ensuring that digital transformation, employee development, and DEI initiatives are effectively implemented. However, this approach assumes that managers possess sufficient HR knowledge and leadership capability. Differences in managerial skills and commitment may create inconsistent employee experiences across stores and departments.</w:t>
      </w:r>
    </w:p>
    <w:p w14:paraId="7D6775B3" w14:textId="77777777" w:rsidR="0018672B" w:rsidRPr="00AD6715" w:rsidRDefault="0018672B" w:rsidP="00AD6715">
      <w:pPr>
        <w:spacing w:line="360" w:lineRule="auto"/>
        <w:rPr>
          <w:sz w:val="22"/>
          <w:szCs w:val="22"/>
        </w:rPr>
      </w:pPr>
      <w:r w:rsidRPr="00AD6715">
        <w:rPr>
          <w:sz w:val="22"/>
          <w:szCs w:val="22"/>
        </w:rPr>
        <w:t>Guest (2017) argues that HR systems create value only when managers actively support and implement them. Therefore, M&amp;S should incorporate HR-related indicators, including employee engagement levels, turnover rates, training completion, and inclusion outcomes, into managerial performance evaluations. This would encourage managers to view HR responsibilities as strategic priorities rather than additional administrative tasks.</w:t>
      </w:r>
    </w:p>
    <w:p w14:paraId="051B4B18" w14:textId="77777777" w:rsidR="0018672B" w:rsidRPr="00F3288F" w:rsidRDefault="0018672B" w:rsidP="00F3288F">
      <w:pPr>
        <w:pStyle w:val="Heading1"/>
        <w:rPr>
          <w:rFonts w:ascii="Arial" w:hAnsi="Arial" w:cs="Arial"/>
          <w:b/>
          <w:bCs/>
          <w:color w:val="auto"/>
          <w:sz w:val="32"/>
          <w:szCs w:val="32"/>
        </w:rPr>
      </w:pPr>
      <w:bookmarkStart w:id="15" w:name="_Toc235266596"/>
      <w:r w:rsidRPr="00F3288F">
        <w:rPr>
          <w:rFonts w:ascii="Arial" w:hAnsi="Arial" w:cs="Arial"/>
          <w:b/>
          <w:bCs/>
          <w:color w:val="auto"/>
          <w:sz w:val="32"/>
          <w:szCs w:val="32"/>
        </w:rPr>
        <w:lastRenderedPageBreak/>
        <w:t>4.2 Communication and Change Management</w:t>
      </w:r>
      <w:bookmarkEnd w:id="15"/>
    </w:p>
    <w:p w14:paraId="031C7CF6" w14:textId="77777777" w:rsidR="0018672B" w:rsidRPr="00AD6715" w:rsidRDefault="0018672B" w:rsidP="00AD6715">
      <w:pPr>
        <w:spacing w:line="360" w:lineRule="auto"/>
        <w:rPr>
          <w:sz w:val="22"/>
          <w:szCs w:val="22"/>
        </w:rPr>
      </w:pPr>
      <w:r w:rsidRPr="00AD6715">
        <w:rPr>
          <w:sz w:val="22"/>
          <w:szCs w:val="22"/>
        </w:rPr>
        <w:t>Effective communication is essential during technological transformation because employees may resist change when they experience uncertainty regarding job security, future roles, or new working practices. Managers therefore play a central role in explaining the purpose of change and supporting employees throughout the transition process.</w:t>
      </w:r>
    </w:p>
    <w:p w14:paraId="76F2A768" w14:textId="08C35D0E" w:rsidR="0018672B" w:rsidRPr="00AD6715" w:rsidRDefault="00650C46" w:rsidP="00AD6715">
      <w:pPr>
        <w:spacing w:line="360" w:lineRule="auto"/>
        <w:rPr>
          <w:sz w:val="22"/>
          <w:szCs w:val="22"/>
        </w:rPr>
      </w:pPr>
      <w:r>
        <w:rPr>
          <w:noProof/>
        </w:rPr>
        <w:drawing>
          <wp:anchor distT="0" distB="0" distL="114300" distR="114300" simplePos="0" relativeHeight="251667456" behindDoc="1" locked="0" layoutInCell="1" allowOverlap="1" wp14:anchorId="7564BDCB" wp14:editId="26F89FE5">
            <wp:simplePos x="0" y="0"/>
            <wp:positionH relativeFrom="margin">
              <wp:align>right</wp:align>
            </wp:positionH>
            <wp:positionV relativeFrom="paragraph">
              <wp:posOffset>82550</wp:posOffset>
            </wp:positionV>
            <wp:extent cx="3444240" cy="2621280"/>
            <wp:effectExtent l="0" t="0" r="3810" b="7620"/>
            <wp:wrapTight wrapText="bothSides">
              <wp:wrapPolygon edited="0">
                <wp:start x="0" y="0"/>
                <wp:lineTo x="0" y="21506"/>
                <wp:lineTo x="21504" y="21506"/>
                <wp:lineTo x="21504" y="0"/>
                <wp:lineTo x="0" y="0"/>
              </wp:wrapPolygon>
            </wp:wrapTight>
            <wp:docPr id="261693872" name="Picture 12" descr="8 Change Management Models for Customer Service | Sprink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8 Change Management Models for Customer Service | Sprinkl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44240" cy="26212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8672B" w:rsidRPr="00AD6715">
        <w:rPr>
          <w:sz w:val="22"/>
          <w:szCs w:val="22"/>
        </w:rPr>
        <w:t>Lewin’s (1951) Change Management Model emphasises preparing employees for change through three stages: unfreezing, changing, and refreezing. Similarly, Kotter’s (2018) Change Model highlights the importance of creating urgency, communicating a clear vision, and building employee commitment. These approaches demonstrate that successful change requires more than introducing new technology</w:t>
      </w:r>
      <w:r w:rsidR="002E205E">
        <w:rPr>
          <w:sz w:val="22"/>
          <w:szCs w:val="22"/>
        </w:rPr>
        <w:t>,</w:t>
      </w:r>
      <w:r w:rsidR="0018672B" w:rsidRPr="00AD6715">
        <w:rPr>
          <w:sz w:val="22"/>
          <w:szCs w:val="22"/>
        </w:rPr>
        <w:t xml:space="preserve"> it requires employee involvement and continuous support.</w:t>
      </w:r>
      <w:r w:rsidRPr="00650C46">
        <w:t xml:space="preserve"> </w:t>
      </w:r>
    </w:p>
    <w:p w14:paraId="560D29E8" w14:textId="25DCE939" w:rsidR="0018672B" w:rsidRPr="00AD6715" w:rsidRDefault="0018672B" w:rsidP="00AD6715">
      <w:pPr>
        <w:spacing w:line="360" w:lineRule="auto"/>
        <w:rPr>
          <w:sz w:val="22"/>
          <w:szCs w:val="22"/>
        </w:rPr>
      </w:pPr>
      <w:r w:rsidRPr="00AD6715">
        <w:rPr>
          <w:sz w:val="22"/>
          <w:szCs w:val="22"/>
        </w:rPr>
        <w:t>However, Lewin’s model has been criticised for presenting change as a linear process, while modern retail organisations experience continuous and unpredictable transformation.</w:t>
      </w:r>
      <w:r w:rsidR="002E205E">
        <w:rPr>
          <w:sz w:val="22"/>
          <w:szCs w:val="22"/>
        </w:rPr>
        <w:t xml:space="preserve"> </w:t>
      </w:r>
      <w:r w:rsidRPr="00AD6715">
        <w:rPr>
          <w:sz w:val="22"/>
          <w:szCs w:val="22"/>
        </w:rPr>
        <w:t>Therefore, M&amp;S should adopt an ongoing change management approach that combines regular communication, employee training, and opportunities for feedback.</w:t>
      </w:r>
    </w:p>
    <w:p w14:paraId="520D940E" w14:textId="77777777" w:rsidR="0018672B" w:rsidRPr="00F3288F" w:rsidRDefault="0018672B" w:rsidP="00F3288F">
      <w:pPr>
        <w:pStyle w:val="Heading1"/>
        <w:rPr>
          <w:rFonts w:ascii="Arial" w:hAnsi="Arial" w:cs="Arial"/>
          <w:b/>
          <w:bCs/>
          <w:color w:val="auto"/>
          <w:sz w:val="32"/>
          <w:szCs w:val="32"/>
        </w:rPr>
      </w:pPr>
      <w:bookmarkStart w:id="16" w:name="_Toc235266597"/>
      <w:r w:rsidRPr="00F3288F">
        <w:rPr>
          <w:rFonts w:ascii="Arial" w:hAnsi="Arial" w:cs="Arial"/>
          <w:b/>
          <w:bCs/>
          <w:color w:val="auto"/>
          <w:sz w:val="32"/>
          <w:szCs w:val="32"/>
        </w:rPr>
        <w:t>4.3 Monitoring and Performance Measurement</w:t>
      </w:r>
      <w:bookmarkEnd w:id="16"/>
    </w:p>
    <w:p w14:paraId="6DF5B0B4" w14:textId="71D4EC06" w:rsidR="0018672B" w:rsidRPr="00AD6715" w:rsidRDefault="006C678B" w:rsidP="00527A32">
      <w:pPr>
        <w:spacing w:line="360" w:lineRule="auto"/>
        <w:rPr>
          <w:sz w:val="22"/>
          <w:szCs w:val="22"/>
        </w:rPr>
      </w:pPr>
      <w:r>
        <w:rPr>
          <w:noProof/>
        </w:rPr>
        <w:drawing>
          <wp:anchor distT="0" distB="0" distL="114300" distR="114300" simplePos="0" relativeHeight="251666432" behindDoc="1" locked="0" layoutInCell="1" allowOverlap="1" wp14:anchorId="00DD706B" wp14:editId="113CCFB0">
            <wp:simplePos x="0" y="0"/>
            <wp:positionH relativeFrom="margin">
              <wp:posOffset>2202699</wp:posOffset>
            </wp:positionH>
            <wp:positionV relativeFrom="paragraph">
              <wp:posOffset>260638</wp:posOffset>
            </wp:positionV>
            <wp:extent cx="3251835" cy="1682750"/>
            <wp:effectExtent l="0" t="0" r="5715" b="0"/>
            <wp:wrapTight wrapText="bothSides">
              <wp:wrapPolygon edited="0">
                <wp:start x="0" y="0"/>
                <wp:lineTo x="0" y="21274"/>
                <wp:lineTo x="21511" y="21274"/>
                <wp:lineTo x="21511" y="0"/>
                <wp:lineTo x="0" y="0"/>
              </wp:wrapPolygon>
            </wp:wrapTight>
            <wp:docPr id="495898959" name="Picture 11" descr="What is Performance Management Cycle? – One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hat is Performance Management Cycle? – One Educat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51835" cy="1682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8672B" w:rsidRPr="00AD6715">
        <w:rPr>
          <w:sz w:val="22"/>
          <w:szCs w:val="22"/>
        </w:rPr>
        <w:t>Monitoring HR outcomes is essential for evaluating whether HR strategies achieve their intended objectives. Managers should use a combination of quantitative and qualitative measures, including employee turnover, engagement surveys, training participation, and diversity indicators.</w:t>
      </w:r>
    </w:p>
    <w:p w14:paraId="0588DE82" w14:textId="15CCFD5D" w:rsidR="0018672B" w:rsidRPr="00AD6715" w:rsidRDefault="0018672B" w:rsidP="00527A32">
      <w:pPr>
        <w:spacing w:line="360" w:lineRule="auto"/>
        <w:rPr>
          <w:sz w:val="22"/>
          <w:szCs w:val="22"/>
        </w:rPr>
      </w:pPr>
      <w:r w:rsidRPr="00AD6715">
        <w:rPr>
          <w:sz w:val="22"/>
          <w:szCs w:val="22"/>
        </w:rPr>
        <w:lastRenderedPageBreak/>
        <w:t>Workforce analytics can provide valuable insights into employee trends and organisational performance. However, excessive reliance on numerical measures may overlook important aspects of employee experience and workplace culture. Ball (2010) highlights that intensive monitoring can create perceptions of surveillance, potentially reducing employee trust and engagement.</w:t>
      </w:r>
    </w:p>
    <w:p w14:paraId="6ECCD11A" w14:textId="125C166C" w:rsidR="0018672B" w:rsidRDefault="0018672B" w:rsidP="00527A32">
      <w:pPr>
        <w:spacing w:line="360" w:lineRule="auto"/>
        <w:rPr>
          <w:sz w:val="22"/>
          <w:szCs w:val="22"/>
        </w:rPr>
      </w:pPr>
      <w:r w:rsidRPr="00AD6715">
        <w:rPr>
          <w:sz w:val="22"/>
          <w:szCs w:val="22"/>
        </w:rPr>
        <w:t>Therefore, M&amp;S should adopt a balanced measurement approach that combines data analytics with qualitative feedback methods such as employee discussions, focus groups, and surveys.</w:t>
      </w:r>
    </w:p>
    <w:p w14:paraId="19F63E64" w14:textId="77777777" w:rsidR="006C678B" w:rsidRDefault="006C678B" w:rsidP="00527A32">
      <w:pPr>
        <w:spacing w:line="360" w:lineRule="auto"/>
        <w:rPr>
          <w:sz w:val="22"/>
          <w:szCs w:val="22"/>
        </w:rPr>
      </w:pPr>
    </w:p>
    <w:p w14:paraId="1B062B89" w14:textId="527746FF" w:rsidR="00527A32" w:rsidRPr="00AD6715" w:rsidRDefault="00527A32" w:rsidP="00527A32">
      <w:pPr>
        <w:spacing w:line="360" w:lineRule="auto"/>
        <w:rPr>
          <w:sz w:val="22"/>
          <w:szCs w:val="22"/>
        </w:rPr>
      </w:pPr>
    </w:p>
    <w:p w14:paraId="427ED545" w14:textId="77777777" w:rsidR="0018672B" w:rsidRDefault="0018672B" w:rsidP="00F3288F">
      <w:pPr>
        <w:pStyle w:val="Heading1"/>
        <w:rPr>
          <w:rFonts w:ascii="Arial" w:hAnsi="Arial" w:cs="Arial"/>
          <w:b/>
          <w:bCs/>
          <w:color w:val="auto"/>
          <w:sz w:val="32"/>
          <w:szCs w:val="32"/>
        </w:rPr>
      </w:pPr>
      <w:bookmarkStart w:id="17" w:name="_Toc235266598"/>
      <w:r w:rsidRPr="00F3288F">
        <w:rPr>
          <w:rFonts w:ascii="Arial" w:hAnsi="Arial" w:cs="Arial"/>
          <w:b/>
          <w:bCs/>
          <w:color w:val="auto"/>
          <w:sz w:val="32"/>
          <w:szCs w:val="32"/>
        </w:rPr>
        <w:t>4.4 Organisational Culture and Implementation Barriers</w:t>
      </w:r>
      <w:bookmarkEnd w:id="17"/>
    </w:p>
    <w:p w14:paraId="4084EB39" w14:textId="77777777" w:rsidR="009A65A3" w:rsidRPr="009A65A3" w:rsidRDefault="009A65A3" w:rsidP="009A65A3">
      <w:pPr>
        <w:spacing w:line="360" w:lineRule="auto"/>
        <w:rPr>
          <w:sz w:val="22"/>
          <w:szCs w:val="22"/>
        </w:rPr>
      </w:pPr>
      <w:r w:rsidRPr="009A65A3">
        <w:rPr>
          <w:sz w:val="22"/>
          <w:szCs w:val="22"/>
        </w:rPr>
        <w:t>Organisational culture influences whether HR strategies become embedded in daily practices. The McKinsey 7S Framework highlights the need for alignment between strategy, systems, skills, staff, style, and shared values.</w:t>
      </w:r>
    </w:p>
    <w:p w14:paraId="786622CC" w14:textId="5C4C0356" w:rsidR="009A65A3" w:rsidRPr="006C678B" w:rsidRDefault="009A65A3" w:rsidP="006C678B">
      <w:pPr>
        <w:spacing w:line="360" w:lineRule="auto"/>
        <w:rPr>
          <w:sz w:val="22"/>
          <w:szCs w:val="22"/>
        </w:rPr>
      </w:pPr>
      <w:r w:rsidRPr="009A65A3">
        <w:rPr>
          <w:sz w:val="22"/>
          <w:szCs w:val="22"/>
        </w:rPr>
        <w:t>Although M&amp;S may introduce DEI policies and development programmes, these may fail without supportive managerial behaviours. Diversity initiatives will have limited impact if employees face barriers to progression or exclusion. Key implementation challenges include operational pressures, limited managerial time, inconsistent leadership capability, and resistance to change.</w:t>
      </w:r>
    </w:p>
    <w:p w14:paraId="21415730" w14:textId="70A78899" w:rsidR="00650C46" w:rsidRPr="00527A32" w:rsidRDefault="00650C46" w:rsidP="00527A32">
      <w:pPr>
        <w:spacing w:line="360" w:lineRule="auto"/>
        <w:rPr>
          <w:sz w:val="22"/>
          <w:szCs w:val="22"/>
        </w:rPr>
      </w:pPr>
      <w:r>
        <w:rPr>
          <w:noProof/>
        </w:rPr>
        <w:drawing>
          <wp:inline distT="0" distB="0" distL="0" distR="0" wp14:anchorId="2547E69C" wp14:editId="7760EC09">
            <wp:extent cx="5730240" cy="1995054"/>
            <wp:effectExtent l="0" t="0" r="3810" b="5715"/>
            <wp:docPr id="39417917" name="Picture 13" descr="Cultural barriers and how to overcome them in your global company as a global leader • eurac - European Academy for Executive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ltural barriers and how to overcome them in your global company as a global leader • eurac - European Academy for Executive Educati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81580" cy="2012929"/>
                    </a:xfrm>
                    <a:prstGeom prst="rect">
                      <a:avLst/>
                    </a:prstGeom>
                    <a:noFill/>
                    <a:ln>
                      <a:noFill/>
                    </a:ln>
                  </pic:spPr>
                </pic:pic>
              </a:graphicData>
            </a:graphic>
          </wp:inline>
        </w:drawing>
      </w:r>
    </w:p>
    <w:p w14:paraId="708B8B80" w14:textId="43EFE2CE" w:rsidR="003D585E" w:rsidRPr="006C678B" w:rsidRDefault="0018672B" w:rsidP="006C678B">
      <w:pPr>
        <w:spacing w:line="360" w:lineRule="auto"/>
        <w:rPr>
          <w:sz w:val="22"/>
          <w:szCs w:val="22"/>
        </w:rPr>
      </w:pPr>
      <w:r w:rsidRPr="00527A32">
        <w:rPr>
          <w:sz w:val="22"/>
          <w:szCs w:val="22"/>
        </w:rPr>
        <w:t>Overall, managerial capability represents a critical factor influencing HR effectiveness.</w:t>
      </w:r>
    </w:p>
    <w:p w14:paraId="79E8D50B" w14:textId="4FB9E869" w:rsidR="003D585E" w:rsidRPr="00F3288F" w:rsidRDefault="73A87A65" w:rsidP="148E44FF">
      <w:pPr>
        <w:pStyle w:val="Heading1"/>
        <w:spacing w:before="322" w:after="322" w:line="360" w:lineRule="auto"/>
        <w:rPr>
          <w:rFonts w:ascii="Arial Nova" w:eastAsia="Arial Nova" w:hAnsi="Arial Nova" w:cs="Arial Nova"/>
          <w:b/>
          <w:bCs/>
          <w:color w:val="auto"/>
          <w:sz w:val="36"/>
          <w:szCs w:val="36"/>
        </w:rPr>
      </w:pPr>
      <w:bookmarkStart w:id="18" w:name="_Toc235266599"/>
      <w:r w:rsidRPr="00F3288F">
        <w:rPr>
          <w:rFonts w:ascii="Arial Nova" w:eastAsia="Arial Nova" w:hAnsi="Arial Nova" w:cs="Arial Nova"/>
          <w:b/>
          <w:bCs/>
          <w:color w:val="auto"/>
          <w:sz w:val="36"/>
          <w:szCs w:val="36"/>
        </w:rPr>
        <w:lastRenderedPageBreak/>
        <w:t>5. Conclusion</w:t>
      </w:r>
      <w:bookmarkEnd w:id="18"/>
    </w:p>
    <w:p w14:paraId="050C91B2" w14:textId="3E074983" w:rsidR="003D585E" w:rsidRDefault="73A87A65" w:rsidP="148E44FF">
      <w:pPr>
        <w:spacing w:before="240" w:after="240" w:line="360" w:lineRule="auto"/>
        <w:rPr>
          <w:rFonts w:ascii="Arial Nova" w:eastAsia="Arial Nova" w:hAnsi="Arial Nova" w:cs="Arial Nova"/>
          <w:sz w:val="22"/>
          <w:szCs w:val="22"/>
        </w:rPr>
      </w:pPr>
      <w:r w:rsidRPr="148E44FF">
        <w:rPr>
          <w:rFonts w:ascii="Arial Nova" w:eastAsia="Arial Nova" w:hAnsi="Arial Nova" w:cs="Arial Nova"/>
          <w:sz w:val="22"/>
          <w:szCs w:val="22"/>
        </w:rPr>
        <w:t>This report has critically examined contemporary HR challenges and practices within Marks &amp; Spencer. The analysis identified technological advancement, talent acquisition and retention, and diversity, equity and inclusion as key factors influencing organisational performance and sustainability.</w:t>
      </w:r>
      <w:r w:rsidR="002E205E" w:rsidRPr="002E205E">
        <w:t xml:space="preserve"> </w:t>
      </w:r>
    </w:p>
    <w:p w14:paraId="62FEF2CD" w14:textId="389C07EC" w:rsidR="003D585E" w:rsidRDefault="002E205E" w:rsidP="148E44FF">
      <w:pPr>
        <w:spacing w:before="240" w:after="240" w:line="360" w:lineRule="auto"/>
        <w:rPr>
          <w:rFonts w:ascii="Arial Nova" w:eastAsia="Arial Nova" w:hAnsi="Arial Nova" w:cs="Arial Nova"/>
          <w:sz w:val="22"/>
          <w:szCs w:val="22"/>
        </w:rPr>
      </w:pPr>
      <w:r>
        <w:rPr>
          <w:noProof/>
        </w:rPr>
        <w:drawing>
          <wp:anchor distT="0" distB="0" distL="114300" distR="114300" simplePos="0" relativeHeight="251669504" behindDoc="1" locked="0" layoutInCell="1" allowOverlap="1" wp14:anchorId="72555D77" wp14:editId="552224BE">
            <wp:simplePos x="0" y="0"/>
            <wp:positionH relativeFrom="column">
              <wp:posOffset>2049780</wp:posOffset>
            </wp:positionH>
            <wp:positionV relativeFrom="paragraph">
              <wp:posOffset>5080</wp:posOffset>
            </wp:positionV>
            <wp:extent cx="3741420" cy="2339340"/>
            <wp:effectExtent l="0" t="0" r="0" b="3810"/>
            <wp:wrapTight wrapText="bothSides">
              <wp:wrapPolygon edited="0">
                <wp:start x="0" y="0"/>
                <wp:lineTo x="0" y="21459"/>
                <wp:lineTo x="21446" y="21459"/>
                <wp:lineTo x="21446" y="0"/>
                <wp:lineTo x="0" y="0"/>
              </wp:wrapPolygon>
            </wp:wrapTight>
            <wp:docPr id="1039118901" name="Picture 15" descr="Conclusion Pictures | Download Free Images on Unspl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onclusion Pictures | Download Free Images on Unsplash"/>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41420" cy="2339340"/>
                    </a:xfrm>
                    <a:prstGeom prst="rect">
                      <a:avLst/>
                    </a:prstGeom>
                    <a:noFill/>
                    <a:ln>
                      <a:noFill/>
                    </a:ln>
                  </pic:spPr>
                </pic:pic>
              </a:graphicData>
            </a:graphic>
            <wp14:sizeRelV relativeFrom="margin">
              <wp14:pctHeight>0</wp14:pctHeight>
            </wp14:sizeRelV>
          </wp:anchor>
        </w:drawing>
      </w:r>
      <w:r w:rsidR="73A87A65" w:rsidRPr="148E44FF">
        <w:rPr>
          <w:rFonts w:ascii="Arial Nova" w:eastAsia="Arial Nova" w:hAnsi="Arial Nova" w:cs="Arial Nova"/>
          <w:sz w:val="22"/>
          <w:szCs w:val="22"/>
        </w:rPr>
        <w:t>The findings demonstrate that technological transformation requires continuous employee development and effective change management. Talent retention challenges reflect both motivational and structural labour market factors. Similarly, DEI success depends upon cultural integration rather than policy compliance alone.</w:t>
      </w:r>
    </w:p>
    <w:p w14:paraId="1393BBA1" w14:textId="06C775BD" w:rsidR="003D585E" w:rsidRDefault="73A87A65" w:rsidP="148E44FF">
      <w:pPr>
        <w:spacing w:before="240" w:after="240" w:line="360" w:lineRule="auto"/>
        <w:rPr>
          <w:rFonts w:ascii="Arial Nova" w:eastAsia="Arial Nova" w:hAnsi="Arial Nova" w:cs="Arial Nova"/>
          <w:sz w:val="22"/>
          <w:szCs w:val="22"/>
        </w:rPr>
      </w:pPr>
      <w:r w:rsidRPr="148E44FF">
        <w:rPr>
          <w:rFonts w:ascii="Arial Nova" w:eastAsia="Arial Nova" w:hAnsi="Arial Nova" w:cs="Arial Nova"/>
          <w:sz w:val="22"/>
          <w:szCs w:val="22"/>
        </w:rPr>
        <w:t>While M&amp;S has implemented a range of contemporary HR practices, their effectiveness ultimately depends upon managerial capability, communication quality, and organisational alignment. Sustainable organisational success therefore requires not only effective HR policies but also consistent implementation across all levels of management.</w:t>
      </w:r>
    </w:p>
    <w:p w14:paraId="7BDB7DCE" w14:textId="0259DA1A" w:rsidR="0018672B" w:rsidRPr="00650C46" w:rsidRDefault="0018672B" w:rsidP="00650C46">
      <w:pPr>
        <w:pStyle w:val="Heading1"/>
        <w:rPr>
          <w:rFonts w:ascii="Arial Black" w:hAnsi="Arial Black"/>
          <w:color w:val="auto"/>
          <w:sz w:val="36"/>
          <w:szCs w:val="36"/>
        </w:rPr>
      </w:pPr>
      <w:bookmarkStart w:id="19" w:name="_Toc235266600"/>
      <w:r w:rsidRPr="00650C46">
        <w:rPr>
          <w:rFonts w:ascii="Arial Black" w:hAnsi="Arial Black"/>
          <w:color w:val="auto"/>
          <w:sz w:val="36"/>
          <w:szCs w:val="36"/>
        </w:rPr>
        <w:t>Recommendations</w:t>
      </w:r>
      <w:bookmarkEnd w:id="19"/>
      <w:r w:rsidR="00650C46">
        <w:rPr>
          <w:rFonts w:ascii="Arial Black" w:hAnsi="Arial Black"/>
          <w:color w:val="auto"/>
          <w:sz w:val="36"/>
          <w:szCs w:val="36"/>
        </w:rPr>
        <w:t xml:space="preserve"> </w:t>
      </w:r>
    </w:p>
    <w:p w14:paraId="2D7C7A15" w14:textId="01ADDE8D" w:rsidR="00650C46" w:rsidRPr="00650C46" w:rsidRDefault="00EC5133" w:rsidP="00650C46">
      <w:pPr>
        <w:rPr>
          <w:b/>
          <w:bCs/>
        </w:rPr>
      </w:pPr>
      <w:r>
        <w:rPr>
          <w:noProof/>
        </w:rPr>
        <w:drawing>
          <wp:anchor distT="0" distB="0" distL="114300" distR="114300" simplePos="0" relativeHeight="251670528" behindDoc="1" locked="0" layoutInCell="1" allowOverlap="1" wp14:anchorId="6392B056" wp14:editId="0DAF5B44">
            <wp:simplePos x="0" y="0"/>
            <wp:positionH relativeFrom="margin">
              <wp:posOffset>2043430</wp:posOffset>
            </wp:positionH>
            <wp:positionV relativeFrom="paragraph">
              <wp:posOffset>8255</wp:posOffset>
            </wp:positionV>
            <wp:extent cx="3919855" cy="1932305"/>
            <wp:effectExtent l="0" t="0" r="4445" b="0"/>
            <wp:wrapTight wrapText="bothSides">
              <wp:wrapPolygon edited="0">
                <wp:start x="0" y="0"/>
                <wp:lineTo x="0" y="21295"/>
                <wp:lineTo x="21520" y="21295"/>
                <wp:lineTo x="21520" y="0"/>
                <wp:lineTo x="0" y="0"/>
              </wp:wrapPolygon>
            </wp:wrapTight>
            <wp:docPr id="156089789" name="Picture 16" descr="Suggestion Pictures | Download Free Images on Unspl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uggestion Pictures | Download Free Images on Unsplash"/>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19855" cy="1932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50C46" w:rsidRPr="00650C46">
        <w:rPr>
          <w:b/>
          <w:bCs/>
        </w:rPr>
        <w:t>1. Develop a Digital Skills Academy</w:t>
      </w:r>
    </w:p>
    <w:p w14:paraId="5F50BBB7" w14:textId="0FAAD55C" w:rsidR="00F3288F" w:rsidRPr="00650C46" w:rsidRDefault="00650C46" w:rsidP="00650C46">
      <w:pPr>
        <w:rPr>
          <w:sz w:val="22"/>
          <w:szCs w:val="22"/>
        </w:rPr>
      </w:pPr>
      <w:r w:rsidRPr="00650C46">
        <w:rPr>
          <w:sz w:val="22"/>
          <w:szCs w:val="22"/>
        </w:rPr>
        <w:t>M&amp;S should establish a Digital Skills Academy to provide training in AI, automation, data analytics, and digital customer service.</w:t>
      </w:r>
    </w:p>
    <w:p w14:paraId="6DDEF094" w14:textId="4E1879F1" w:rsidR="00650C46" w:rsidRPr="00650C46" w:rsidRDefault="00650C46" w:rsidP="00650C46">
      <w:pPr>
        <w:rPr>
          <w:b/>
          <w:bCs/>
        </w:rPr>
      </w:pPr>
      <w:r w:rsidRPr="00650C46">
        <w:rPr>
          <w:b/>
          <w:bCs/>
        </w:rPr>
        <w:t>2. Strengthen Internal Career Pathways</w:t>
      </w:r>
    </w:p>
    <w:p w14:paraId="1CC06204" w14:textId="78F03C21" w:rsidR="00650C46" w:rsidRPr="00650C46" w:rsidRDefault="00650C46" w:rsidP="00650C46">
      <w:pPr>
        <w:rPr>
          <w:sz w:val="22"/>
          <w:szCs w:val="22"/>
        </w:rPr>
      </w:pPr>
      <w:r w:rsidRPr="00650C46">
        <w:rPr>
          <w:sz w:val="22"/>
          <w:szCs w:val="22"/>
        </w:rPr>
        <w:lastRenderedPageBreak/>
        <w:t>Clear career progression routes should be introduced to improve retention and reduce turnover.</w:t>
      </w:r>
    </w:p>
    <w:p w14:paraId="1B7CFDDC" w14:textId="728E8240" w:rsidR="00650C46" w:rsidRPr="00650C46" w:rsidRDefault="00650C46" w:rsidP="00650C46">
      <w:pPr>
        <w:rPr>
          <w:b/>
          <w:bCs/>
        </w:rPr>
      </w:pPr>
      <w:r w:rsidRPr="00650C46">
        <w:rPr>
          <w:b/>
          <w:bCs/>
        </w:rPr>
        <w:t>3. Align Employer Branding with Employee Experience</w:t>
      </w:r>
    </w:p>
    <w:p w14:paraId="2523A290" w14:textId="2C54FE47" w:rsidR="00650C46" w:rsidRPr="00650C46" w:rsidRDefault="00650C46" w:rsidP="00650C46">
      <w:pPr>
        <w:rPr>
          <w:sz w:val="22"/>
          <w:szCs w:val="22"/>
        </w:rPr>
      </w:pPr>
      <w:r w:rsidRPr="00650C46">
        <w:rPr>
          <w:sz w:val="22"/>
          <w:szCs w:val="22"/>
        </w:rPr>
        <w:t>Employee feedback should be used to ensure employer branding accurately reflects workplace realities and maintains trust.</w:t>
      </w:r>
    </w:p>
    <w:p w14:paraId="63202648" w14:textId="128F737F" w:rsidR="00650C46" w:rsidRPr="00650C46" w:rsidRDefault="00650C46" w:rsidP="00650C46">
      <w:pPr>
        <w:rPr>
          <w:b/>
          <w:bCs/>
        </w:rPr>
      </w:pPr>
      <w:r w:rsidRPr="00650C46">
        <w:rPr>
          <w:b/>
          <w:bCs/>
        </w:rPr>
        <w:t>4. Embed DEI Objectives into Managerial KPIs</w:t>
      </w:r>
    </w:p>
    <w:p w14:paraId="63698C4B" w14:textId="545CDC63" w:rsidR="00650C46" w:rsidRPr="00650C46" w:rsidRDefault="00650C46" w:rsidP="00650C46">
      <w:pPr>
        <w:rPr>
          <w:sz w:val="22"/>
          <w:szCs w:val="22"/>
        </w:rPr>
      </w:pPr>
      <w:r w:rsidRPr="00650C46">
        <w:rPr>
          <w:sz w:val="22"/>
          <w:szCs w:val="22"/>
        </w:rPr>
        <w:t>Managers should be evaluated against measurable DEI outcomes to strengthen accountability and inclusion.</w:t>
      </w:r>
    </w:p>
    <w:p w14:paraId="633807EA" w14:textId="78610158" w:rsidR="00650C46" w:rsidRPr="00650C46" w:rsidRDefault="00650C46" w:rsidP="00650C46">
      <w:pPr>
        <w:rPr>
          <w:b/>
          <w:bCs/>
        </w:rPr>
      </w:pPr>
      <w:r w:rsidRPr="00650C46">
        <w:rPr>
          <w:b/>
          <w:bCs/>
        </w:rPr>
        <w:t>5. Implement a Leadership Development Framework</w:t>
      </w:r>
    </w:p>
    <w:p w14:paraId="2CBF5EEB" w14:textId="5862F7DB" w:rsidR="003D585E" w:rsidRPr="00650C46" w:rsidRDefault="00650C46" w:rsidP="148E44FF">
      <w:r w:rsidRPr="00650C46">
        <w:rPr>
          <w:sz w:val="22"/>
          <w:szCs w:val="22"/>
        </w:rPr>
        <w:t>Leadership training in change management</w:t>
      </w:r>
      <w:r w:rsidR="002E205E">
        <w:rPr>
          <w:sz w:val="22"/>
          <w:szCs w:val="22"/>
        </w:rPr>
        <w:t xml:space="preserve"> </w:t>
      </w:r>
      <w:r w:rsidRPr="00650C46">
        <w:rPr>
          <w:sz w:val="22"/>
          <w:szCs w:val="22"/>
        </w:rPr>
        <w:t>support consistent HR implementation across the organisation</w:t>
      </w:r>
      <w:r w:rsidRPr="00650C46">
        <w:t>.</w:t>
      </w:r>
    </w:p>
    <w:p w14:paraId="0254DB06" w14:textId="77777777" w:rsidR="002E205E" w:rsidRDefault="002E205E">
      <w:pPr>
        <w:rPr>
          <w:rFonts w:ascii="Arial Nova" w:eastAsia="Arial Nova" w:hAnsi="Arial Nova" w:cs="Arial Nova"/>
          <w:b/>
          <w:bCs/>
          <w:color w:val="0F4761" w:themeColor="accent1" w:themeShade="BF"/>
          <w:sz w:val="48"/>
          <w:szCs w:val="48"/>
        </w:rPr>
      </w:pPr>
      <w:r>
        <w:rPr>
          <w:rFonts w:ascii="Arial Nova" w:eastAsia="Arial Nova" w:hAnsi="Arial Nova" w:cs="Arial Nova"/>
          <w:b/>
          <w:bCs/>
          <w:sz w:val="48"/>
          <w:szCs w:val="48"/>
        </w:rPr>
        <w:br w:type="page"/>
      </w:r>
    </w:p>
    <w:p w14:paraId="1E242DCF" w14:textId="67CB6E57" w:rsidR="003D585E" w:rsidRPr="00F3288F" w:rsidRDefault="73A87A65" w:rsidP="148E44FF">
      <w:pPr>
        <w:pStyle w:val="Heading1"/>
        <w:spacing w:before="322" w:after="322"/>
        <w:rPr>
          <w:color w:val="auto"/>
          <w:sz w:val="36"/>
          <w:szCs w:val="36"/>
        </w:rPr>
      </w:pPr>
      <w:bookmarkStart w:id="20" w:name="_Toc235266601"/>
      <w:r w:rsidRPr="00F3288F">
        <w:rPr>
          <w:rFonts w:ascii="Arial Nova" w:eastAsia="Arial Nova" w:hAnsi="Arial Nova" w:cs="Arial Nova"/>
          <w:b/>
          <w:bCs/>
          <w:color w:val="auto"/>
          <w:sz w:val="36"/>
          <w:szCs w:val="36"/>
        </w:rPr>
        <w:lastRenderedPageBreak/>
        <w:t>References</w:t>
      </w:r>
      <w:bookmarkEnd w:id="20"/>
    </w:p>
    <w:p w14:paraId="6878821A" w14:textId="6732FEF6" w:rsidR="003D585E" w:rsidRDefault="73A87A65" w:rsidP="148E44FF">
      <w:pPr>
        <w:spacing w:before="240" w:after="240"/>
      </w:pPr>
      <w:r w:rsidRPr="148E44FF">
        <w:rPr>
          <w:rFonts w:ascii="Arial Nova" w:eastAsia="Arial Nova" w:hAnsi="Arial Nova" w:cs="Arial Nova"/>
        </w:rPr>
        <w:t xml:space="preserve">Armstrong, M. and Taylor, S. (2023) </w:t>
      </w:r>
      <w:r w:rsidRPr="148E44FF">
        <w:rPr>
          <w:rFonts w:ascii="Arial Nova" w:eastAsia="Arial Nova" w:hAnsi="Arial Nova" w:cs="Arial Nova"/>
          <w:i/>
          <w:iCs/>
        </w:rPr>
        <w:t>Armstrong's Handbook of Human Resource Management Practice</w:t>
      </w:r>
      <w:r w:rsidRPr="148E44FF">
        <w:rPr>
          <w:rFonts w:ascii="Arial Nova" w:eastAsia="Arial Nova" w:hAnsi="Arial Nova" w:cs="Arial Nova"/>
        </w:rPr>
        <w:t>. 16th edn. London: Kogan Page.</w:t>
      </w:r>
    </w:p>
    <w:p w14:paraId="2D786E32" w14:textId="5B5AC89E" w:rsidR="003D585E" w:rsidRDefault="73A87A65" w:rsidP="148E44FF">
      <w:pPr>
        <w:spacing w:before="240" w:after="240"/>
      </w:pPr>
      <w:r w:rsidRPr="148E44FF">
        <w:rPr>
          <w:rFonts w:ascii="Arial Nova" w:eastAsia="Arial Nova" w:hAnsi="Arial Nova" w:cs="Arial Nova"/>
        </w:rPr>
        <w:t xml:space="preserve">Ball, K. (2010) ‘Workplace surveillance: An overview’, </w:t>
      </w:r>
      <w:r w:rsidRPr="148E44FF">
        <w:rPr>
          <w:rFonts w:ascii="Arial Nova" w:eastAsia="Arial Nova" w:hAnsi="Arial Nova" w:cs="Arial Nova"/>
          <w:i/>
          <w:iCs/>
        </w:rPr>
        <w:t>Labor History</w:t>
      </w:r>
      <w:r w:rsidRPr="148E44FF">
        <w:rPr>
          <w:rFonts w:ascii="Arial Nova" w:eastAsia="Arial Nova" w:hAnsi="Arial Nova" w:cs="Arial Nova"/>
        </w:rPr>
        <w:t>, 51(1), pp. 87–106.</w:t>
      </w:r>
    </w:p>
    <w:p w14:paraId="6EEEE68B" w14:textId="331699DB" w:rsidR="003D585E" w:rsidRDefault="73A87A65" w:rsidP="148E44FF">
      <w:pPr>
        <w:spacing w:before="240" w:after="240"/>
      </w:pPr>
      <w:r w:rsidRPr="148E44FF">
        <w:rPr>
          <w:rFonts w:ascii="Arial Nova" w:eastAsia="Arial Nova" w:hAnsi="Arial Nova" w:cs="Arial Nova"/>
        </w:rPr>
        <w:t xml:space="preserve">Barney, J. (1991) ‘Firm resources and sustained competitive advantage’, </w:t>
      </w:r>
      <w:r w:rsidRPr="148E44FF">
        <w:rPr>
          <w:rFonts w:ascii="Arial Nova" w:eastAsia="Arial Nova" w:hAnsi="Arial Nova" w:cs="Arial Nova"/>
          <w:i/>
          <w:iCs/>
        </w:rPr>
        <w:t>Journal of Management</w:t>
      </w:r>
      <w:r w:rsidRPr="148E44FF">
        <w:rPr>
          <w:rFonts w:ascii="Arial Nova" w:eastAsia="Arial Nova" w:hAnsi="Arial Nova" w:cs="Arial Nova"/>
        </w:rPr>
        <w:t>, 17(1), pp. 99–120.</w:t>
      </w:r>
    </w:p>
    <w:p w14:paraId="63FD7FF8" w14:textId="39540381" w:rsidR="003D585E" w:rsidRDefault="73A87A65" w:rsidP="148E44FF">
      <w:pPr>
        <w:spacing w:before="240" w:after="240"/>
      </w:pPr>
      <w:r w:rsidRPr="148E44FF">
        <w:rPr>
          <w:rFonts w:ascii="Arial Nova" w:eastAsia="Arial Nova" w:hAnsi="Arial Nova" w:cs="Arial Nova"/>
        </w:rPr>
        <w:t xml:space="preserve">Becker, G.S. (1964) </w:t>
      </w:r>
      <w:r w:rsidRPr="148E44FF">
        <w:rPr>
          <w:rFonts w:ascii="Arial Nova" w:eastAsia="Arial Nova" w:hAnsi="Arial Nova" w:cs="Arial Nova"/>
          <w:i/>
          <w:iCs/>
        </w:rPr>
        <w:t>Human Capital: A Theoretical and Empirical Analysis, with Special Reference to Education</w:t>
      </w:r>
      <w:r w:rsidRPr="148E44FF">
        <w:rPr>
          <w:rFonts w:ascii="Arial Nova" w:eastAsia="Arial Nova" w:hAnsi="Arial Nova" w:cs="Arial Nova"/>
        </w:rPr>
        <w:t>. Chicago: University of Chicago Press.</w:t>
      </w:r>
    </w:p>
    <w:p w14:paraId="2D985310" w14:textId="2FC5F4E1" w:rsidR="003D585E" w:rsidRDefault="73A87A65" w:rsidP="148E44FF">
      <w:pPr>
        <w:spacing w:before="240" w:after="240"/>
      </w:pPr>
      <w:r w:rsidRPr="148E44FF">
        <w:rPr>
          <w:rFonts w:ascii="Arial Nova" w:eastAsia="Arial Nova" w:hAnsi="Arial Nova" w:cs="Arial Nova"/>
        </w:rPr>
        <w:t xml:space="preserve">Boxall, P. and Purcell, J. (2016) </w:t>
      </w:r>
      <w:r w:rsidRPr="148E44FF">
        <w:rPr>
          <w:rFonts w:ascii="Arial Nova" w:eastAsia="Arial Nova" w:hAnsi="Arial Nova" w:cs="Arial Nova"/>
          <w:i/>
          <w:iCs/>
        </w:rPr>
        <w:t>Strategy and Human Resource Management</w:t>
      </w:r>
      <w:r w:rsidRPr="148E44FF">
        <w:rPr>
          <w:rFonts w:ascii="Arial Nova" w:eastAsia="Arial Nova" w:hAnsi="Arial Nova" w:cs="Arial Nova"/>
        </w:rPr>
        <w:t>. 4th edn. London: Palgrave Macmillan.</w:t>
      </w:r>
    </w:p>
    <w:p w14:paraId="6041CA92" w14:textId="687B86DC" w:rsidR="003D585E" w:rsidRDefault="73A87A65" w:rsidP="148E44FF">
      <w:pPr>
        <w:spacing w:before="240" w:after="240"/>
      </w:pPr>
      <w:r w:rsidRPr="148E44FF">
        <w:rPr>
          <w:rFonts w:ascii="Arial Nova" w:eastAsia="Arial Nova" w:hAnsi="Arial Nova" w:cs="Arial Nova"/>
        </w:rPr>
        <w:t xml:space="preserve">Chartered Institute of Personnel and Development (CIPD) (2024) </w:t>
      </w:r>
      <w:r w:rsidRPr="148E44FF">
        <w:rPr>
          <w:rFonts w:ascii="Arial Nova" w:eastAsia="Arial Nova" w:hAnsi="Arial Nova" w:cs="Arial Nova"/>
          <w:i/>
          <w:iCs/>
        </w:rPr>
        <w:t>Resourcing and Talent Planning Survey 2024</w:t>
      </w:r>
      <w:r w:rsidRPr="148E44FF">
        <w:rPr>
          <w:rFonts w:ascii="Arial Nova" w:eastAsia="Arial Nova" w:hAnsi="Arial Nova" w:cs="Arial Nova"/>
        </w:rPr>
        <w:t xml:space="preserve">. London: CIPD. Available at: </w:t>
      </w:r>
      <w:hyperlink r:id="rId18">
        <w:r w:rsidRPr="148E44FF">
          <w:rPr>
            <w:rStyle w:val="Hyperlink"/>
          </w:rPr>
          <w:t>CIPD Resourcing and Talent Planning Survey 2024</w:t>
        </w:r>
      </w:hyperlink>
      <w:r w:rsidRPr="148E44FF">
        <w:rPr>
          <w:rFonts w:ascii="Arial Nova" w:eastAsia="Arial Nova" w:hAnsi="Arial Nova" w:cs="Arial Nova"/>
        </w:rPr>
        <w:t xml:space="preserve"> (Accessed: 17 July 2026).</w:t>
      </w:r>
    </w:p>
    <w:p w14:paraId="29E38ED9" w14:textId="3647F84A" w:rsidR="003D585E" w:rsidRDefault="73A87A65" w:rsidP="148E44FF">
      <w:pPr>
        <w:spacing w:before="240" w:after="240"/>
      </w:pPr>
      <w:r w:rsidRPr="148E44FF">
        <w:rPr>
          <w:rFonts w:ascii="Arial Nova" w:eastAsia="Arial Nova" w:hAnsi="Arial Nova" w:cs="Arial Nova"/>
        </w:rPr>
        <w:t xml:space="preserve">Chartered Institute of Personnel and Development (CIPD) (2024) </w:t>
      </w:r>
      <w:r w:rsidRPr="148E44FF">
        <w:rPr>
          <w:rFonts w:ascii="Arial Nova" w:eastAsia="Arial Nova" w:hAnsi="Arial Nova" w:cs="Arial Nova"/>
          <w:i/>
          <w:iCs/>
        </w:rPr>
        <w:t>People Profession Survey</w:t>
      </w:r>
      <w:r w:rsidRPr="148E44FF">
        <w:rPr>
          <w:rFonts w:ascii="Arial Nova" w:eastAsia="Arial Nova" w:hAnsi="Arial Nova" w:cs="Arial Nova"/>
        </w:rPr>
        <w:t xml:space="preserve">. London: CIPD. Available at: </w:t>
      </w:r>
      <w:hyperlink r:id="rId19">
        <w:r w:rsidRPr="148E44FF">
          <w:rPr>
            <w:rStyle w:val="Hyperlink"/>
          </w:rPr>
          <w:t>CIPD People Profession Survey</w:t>
        </w:r>
      </w:hyperlink>
      <w:r w:rsidRPr="148E44FF">
        <w:rPr>
          <w:rFonts w:ascii="Arial Nova" w:eastAsia="Arial Nova" w:hAnsi="Arial Nova" w:cs="Arial Nova"/>
        </w:rPr>
        <w:t xml:space="preserve"> (Accessed: 17 July 2026).</w:t>
      </w:r>
    </w:p>
    <w:p w14:paraId="58B6395D" w14:textId="2FB037C0" w:rsidR="003D585E" w:rsidRDefault="73A87A65" w:rsidP="148E44FF">
      <w:pPr>
        <w:spacing w:before="240" w:after="240"/>
      </w:pPr>
      <w:r w:rsidRPr="148E44FF">
        <w:rPr>
          <w:rFonts w:ascii="Arial Nova" w:eastAsia="Arial Nova" w:hAnsi="Arial Nova" w:cs="Arial Nova"/>
        </w:rPr>
        <w:t xml:space="preserve">Deci, E.L. and Ryan, R.M. (2000) ‘The “what” and “why” of goal pursuits: Human needs and the self-determination of behaviour’, </w:t>
      </w:r>
      <w:r w:rsidRPr="148E44FF">
        <w:rPr>
          <w:rFonts w:ascii="Arial Nova" w:eastAsia="Arial Nova" w:hAnsi="Arial Nova" w:cs="Arial Nova"/>
          <w:i/>
          <w:iCs/>
        </w:rPr>
        <w:t>Psychological Inquiry</w:t>
      </w:r>
      <w:r w:rsidRPr="148E44FF">
        <w:rPr>
          <w:rFonts w:ascii="Arial Nova" w:eastAsia="Arial Nova" w:hAnsi="Arial Nova" w:cs="Arial Nova"/>
        </w:rPr>
        <w:t>, 11(4), pp. 227–268.</w:t>
      </w:r>
    </w:p>
    <w:p w14:paraId="054A37F8" w14:textId="668D2C96" w:rsidR="003D585E" w:rsidRDefault="73A87A65" w:rsidP="148E44FF">
      <w:pPr>
        <w:spacing w:before="240" w:after="240"/>
      </w:pPr>
      <w:r w:rsidRPr="148E44FF">
        <w:rPr>
          <w:rFonts w:ascii="Arial Nova" w:eastAsia="Arial Nova" w:hAnsi="Arial Nova" w:cs="Arial Nova"/>
        </w:rPr>
        <w:t xml:space="preserve">Guest, D.E. (2017) ‘Human resource management and employee engagement’, </w:t>
      </w:r>
      <w:r w:rsidRPr="148E44FF">
        <w:rPr>
          <w:rFonts w:ascii="Arial Nova" w:eastAsia="Arial Nova" w:hAnsi="Arial Nova" w:cs="Arial Nova"/>
          <w:i/>
          <w:iCs/>
        </w:rPr>
        <w:t>Human Resource Management Journal</w:t>
      </w:r>
      <w:r w:rsidRPr="148E44FF">
        <w:rPr>
          <w:rFonts w:ascii="Arial Nova" w:eastAsia="Arial Nova" w:hAnsi="Arial Nova" w:cs="Arial Nova"/>
        </w:rPr>
        <w:t>, 27(1), pp. 1–19.</w:t>
      </w:r>
    </w:p>
    <w:p w14:paraId="5AE68272" w14:textId="5B1BDE23" w:rsidR="003D585E" w:rsidRDefault="73A87A65" w:rsidP="148E44FF">
      <w:pPr>
        <w:spacing w:before="240" w:after="240"/>
      </w:pPr>
      <w:r w:rsidRPr="148E44FF">
        <w:rPr>
          <w:rFonts w:ascii="Arial Nova" w:eastAsia="Arial Nova" w:hAnsi="Arial Nova" w:cs="Arial Nova"/>
        </w:rPr>
        <w:t xml:space="preserve">Herzberg, F. (1968) ‘One more time: How do you motivate employees?’, </w:t>
      </w:r>
      <w:r w:rsidRPr="148E44FF">
        <w:rPr>
          <w:rFonts w:ascii="Arial Nova" w:eastAsia="Arial Nova" w:hAnsi="Arial Nova" w:cs="Arial Nova"/>
          <w:i/>
          <w:iCs/>
        </w:rPr>
        <w:t>Harvard Business Review</w:t>
      </w:r>
      <w:r w:rsidRPr="148E44FF">
        <w:rPr>
          <w:rFonts w:ascii="Arial Nova" w:eastAsia="Arial Nova" w:hAnsi="Arial Nova" w:cs="Arial Nova"/>
        </w:rPr>
        <w:t>, 46(1), pp. 53–62.</w:t>
      </w:r>
    </w:p>
    <w:p w14:paraId="3C7D6131" w14:textId="49B4E541" w:rsidR="003D585E" w:rsidRDefault="73A87A65" w:rsidP="148E44FF">
      <w:pPr>
        <w:spacing w:before="240" w:after="240"/>
      </w:pPr>
      <w:r w:rsidRPr="148E44FF">
        <w:rPr>
          <w:rFonts w:ascii="Arial Nova" w:eastAsia="Arial Nova" w:hAnsi="Arial Nova" w:cs="Arial Nova"/>
        </w:rPr>
        <w:t xml:space="preserve">Kotter, J.P. (2018) </w:t>
      </w:r>
      <w:r w:rsidRPr="148E44FF">
        <w:rPr>
          <w:rFonts w:ascii="Arial Nova" w:eastAsia="Arial Nova" w:hAnsi="Arial Nova" w:cs="Arial Nova"/>
          <w:i/>
          <w:iCs/>
        </w:rPr>
        <w:t>Leading Change</w:t>
      </w:r>
      <w:r w:rsidRPr="148E44FF">
        <w:rPr>
          <w:rFonts w:ascii="Arial Nova" w:eastAsia="Arial Nova" w:hAnsi="Arial Nova" w:cs="Arial Nova"/>
        </w:rPr>
        <w:t>. Boston, MA: Harvard Business Review Press.</w:t>
      </w:r>
    </w:p>
    <w:p w14:paraId="71C5FC84" w14:textId="4853F0A7" w:rsidR="003D585E" w:rsidRDefault="73A87A65" w:rsidP="148E44FF">
      <w:pPr>
        <w:spacing w:before="240" w:after="240"/>
      </w:pPr>
      <w:r w:rsidRPr="148E44FF">
        <w:rPr>
          <w:rFonts w:ascii="Arial Nova" w:eastAsia="Arial Nova" w:hAnsi="Arial Nova" w:cs="Arial Nova"/>
        </w:rPr>
        <w:t xml:space="preserve">Lewin, K. (1951) </w:t>
      </w:r>
      <w:r w:rsidRPr="148E44FF">
        <w:rPr>
          <w:rFonts w:ascii="Arial Nova" w:eastAsia="Arial Nova" w:hAnsi="Arial Nova" w:cs="Arial Nova"/>
          <w:i/>
          <w:iCs/>
        </w:rPr>
        <w:t>Field Theory in Social Science: Selected Theoretical Papers</w:t>
      </w:r>
      <w:r w:rsidRPr="148E44FF">
        <w:rPr>
          <w:rFonts w:ascii="Arial Nova" w:eastAsia="Arial Nova" w:hAnsi="Arial Nova" w:cs="Arial Nova"/>
        </w:rPr>
        <w:t>. New York: Harper &amp; Row.</w:t>
      </w:r>
    </w:p>
    <w:p w14:paraId="2FA92F6E" w14:textId="32751895" w:rsidR="003D585E" w:rsidRDefault="73A87A65" w:rsidP="148E44FF">
      <w:pPr>
        <w:spacing w:before="240" w:after="240"/>
      </w:pPr>
      <w:r w:rsidRPr="148E44FF">
        <w:rPr>
          <w:rFonts w:ascii="Arial Nova" w:eastAsia="Arial Nova" w:hAnsi="Arial Nova" w:cs="Arial Nova"/>
        </w:rPr>
        <w:t xml:space="preserve">Marks and Spencer Group plc (2025) </w:t>
      </w:r>
      <w:r w:rsidRPr="148E44FF">
        <w:rPr>
          <w:rFonts w:ascii="Arial Nova" w:eastAsia="Arial Nova" w:hAnsi="Arial Nova" w:cs="Arial Nova"/>
          <w:i/>
          <w:iCs/>
        </w:rPr>
        <w:t>Annual Report and Financial Statements 2025</w:t>
      </w:r>
      <w:r w:rsidRPr="148E44FF">
        <w:rPr>
          <w:rFonts w:ascii="Arial Nova" w:eastAsia="Arial Nova" w:hAnsi="Arial Nova" w:cs="Arial Nova"/>
        </w:rPr>
        <w:t xml:space="preserve">. London: Marks and Spencer Group plc. Available at: </w:t>
      </w:r>
      <w:hyperlink r:id="rId20">
        <w:r w:rsidRPr="148E44FF">
          <w:rPr>
            <w:rStyle w:val="Hyperlink"/>
          </w:rPr>
          <w:t>Marks &amp; Spencer Corporate Reports</w:t>
        </w:r>
      </w:hyperlink>
      <w:r w:rsidRPr="148E44FF">
        <w:rPr>
          <w:rFonts w:ascii="Arial Nova" w:eastAsia="Arial Nova" w:hAnsi="Arial Nova" w:cs="Arial Nova"/>
        </w:rPr>
        <w:t xml:space="preserve"> (Accessed: 17 July 2026).</w:t>
      </w:r>
    </w:p>
    <w:p w14:paraId="61ED2E6E" w14:textId="72EAFA61" w:rsidR="003D585E" w:rsidRDefault="73A87A65" w:rsidP="148E44FF">
      <w:pPr>
        <w:spacing w:before="240" w:after="240"/>
      </w:pPr>
      <w:r w:rsidRPr="148E44FF">
        <w:rPr>
          <w:rFonts w:ascii="Arial Nova" w:eastAsia="Arial Nova" w:hAnsi="Arial Nova" w:cs="Arial Nova"/>
        </w:rPr>
        <w:lastRenderedPageBreak/>
        <w:t xml:space="preserve">Rousseau, D.M. (1995) </w:t>
      </w:r>
      <w:r w:rsidRPr="148E44FF">
        <w:rPr>
          <w:rFonts w:ascii="Arial Nova" w:eastAsia="Arial Nova" w:hAnsi="Arial Nova" w:cs="Arial Nova"/>
          <w:i/>
          <w:iCs/>
        </w:rPr>
        <w:t>Psychological Contracts in Organizations: Understanding Written and Unwritten Agreements</w:t>
      </w:r>
      <w:r w:rsidRPr="148E44FF">
        <w:rPr>
          <w:rFonts w:ascii="Arial Nova" w:eastAsia="Arial Nova" w:hAnsi="Arial Nova" w:cs="Arial Nova"/>
        </w:rPr>
        <w:t>. Thousand Oaks, CA: Sage Publications.</w:t>
      </w:r>
    </w:p>
    <w:p w14:paraId="5A10A56F" w14:textId="30277236" w:rsidR="003D585E" w:rsidRDefault="73A87A65" w:rsidP="148E44FF">
      <w:pPr>
        <w:spacing w:before="240" w:after="240"/>
      </w:pPr>
      <w:r w:rsidRPr="148E44FF">
        <w:rPr>
          <w:rFonts w:ascii="Arial Nova" w:eastAsia="Arial Nova" w:hAnsi="Arial Nova" w:cs="Arial Nova"/>
        </w:rPr>
        <w:t xml:space="preserve">Tajfel, H. and Turner, J.C. (1979) ‘An integrative theory of intergroup conflict’, in Austin, W.G. and Worchel, S. (eds.) </w:t>
      </w:r>
      <w:r w:rsidRPr="148E44FF">
        <w:rPr>
          <w:rFonts w:ascii="Arial Nova" w:eastAsia="Arial Nova" w:hAnsi="Arial Nova" w:cs="Arial Nova"/>
          <w:i/>
          <w:iCs/>
        </w:rPr>
        <w:t>The Social Psychology of Intergroup Relations</w:t>
      </w:r>
      <w:r w:rsidRPr="148E44FF">
        <w:rPr>
          <w:rFonts w:ascii="Arial Nova" w:eastAsia="Arial Nova" w:hAnsi="Arial Nova" w:cs="Arial Nova"/>
        </w:rPr>
        <w:t>. Monterey, CA: Brooks/Cole, pp. 33–47.</w:t>
      </w:r>
    </w:p>
    <w:p w14:paraId="25A59F5E" w14:textId="29E49508" w:rsidR="003D585E" w:rsidRDefault="73A87A65" w:rsidP="148E44FF">
      <w:pPr>
        <w:spacing w:before="240" w:after="240"/>
      </w:pPr>
      <w:r w:rsidRPr="148E44FF">
        <w:rPr>
          <w:rFonts w:ascii="Arial Nova" w:eastAsia="Arial Nova" w:hAnsi="Arial Nova" w:cs="Arial Nova"/>
        </w:rPr>
        <w:t xml:space="preserve">Ulrich, D. (1997) </w:t>
      </w:r>
      <w:r w:rsidRPr="148E44FF">
        <w:rPr>
          <w:rFonts w:ascii="Arial Nova" w:eastAsia="Arial Nova" w:hAnsi="Arial Nova" w:cs="Arial Nova"/>
          <w:i/>
          <w:iCs/>
        </w:rPr>
        <w:t>Human Resource Champions: The Next Agenda for Adding Value and Delivering Results</w:t>
      </w:r>
      <w:r w:rsidRPr="148E44FF">
        <w:rPr>
          <w:rFonts w:ascii="Arial Nova" w:eastAsia="Arial Nova" w:hAnsi="Arial Nova" w:cs="Arial Nova"/>
        </w:rPr>
        <w:t>. Boston, MA: Harvard Business School Press.</w:t>
      </w:r>
    </w:p>
    <w:p w14:paraId="5E5787A5" w14:textId="7F1E649A" w:rsidR="003D585E" w:rsidRDefault="003D585E"/>
    <w:sectPr w:rsidR="003D585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NdrHbYJEOBkkS6" int2:id="T8braXc9">
      <int2:state int2:value="Rejected" int2:type="spell"/>
    </int2:textHash>
    <int2:textHash int2:hashCode="Y7rxyEYEGk+h8X" int2:id="jQ3aRHA0">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B8C67"/>
    <w:multiLevelType w:val="hybridMultilevel"/>
    <w:tmpl w:val="CCA697B0"/>
    <w:lvl w:ilvl="0" w:tplc="B4662016">
      <w:start w:val="1"/>
      <w:numFmt w:val="decimal"/>
      <w:lvlText w:val="%1."/>
      <w:lvlJc w:val="left"/>
      <w:pPr>
        <w:ind w:left="720" w:hanging="360"/>
      </w:pPr>
    </w:lvl>
    <w:lvl w:ilvl="1" w:tplc="62306BAC">
      <w:start w:val="1"/>
      <w:numFmt w:val="lowerLetter"/>
      <w:lvlText w:val="%2."/>
      <w:lvlJc w:val="left"/>
      <w:pPr>
        <w:ind w:left="1440" w:hanging="360"/>
      </w:pPr>
    </w:lvl>
    <w:lvl w:ilvl="2" w:tplc="2AF8B00E">
      <w:start w:val="1"/>
      <w:numFmt w:val="lowerRoman"/>
      <w:lvlText w:val="%3."/>
      <w:lvlJc w:val="right"/>
      <w:pPr>
        <w:ind w:left="2160" w:hanging="180"/>
      </w:pPr>
    </w:lvl>
    <w:lvl w:ilvl="3" w:tplc="929E65F6">
      <w:start w:val="1"/>
      <w:numFmt w:val="decimal"/>
      <w:lvlText w:val="%4."/>
      <w:lvlJc w:val="left"/>
      <w:pPr>
        <w:ind w:left="2880" w:hanging="360"/>
      </w:pPr>
    </w:lvl>
    <w:lvl w:ilvl="4" w:tplc="2DE05008">
      <w:start w:val="1"/>
      <w:numFmt w:val="lowerLetter"/>
      <w:lvlText w:val="%5."/>
      <w:lvlJc w:val="left"/>
      <w:pPr>
        <w:ind w:left="3600" w:hanging="360"/>
      </w:pPr>
    </w:lvl>
    <w:lvl w:ilvl="5" w:tplc="A260B040">
      <w:start w:val="1"/>
      <w:numFmt w:val="lowerRoman"/>
      <w:lvlText w:val="%6."/>
      <w:lvlJc w:val="right"/>
      <w:pPr>
        <w:ind w:left="4320" w:hanging="180"/>
      </w:pPr>
    </w:lvl>
    <w:lvl w:ilvl="6" w:tplc="0752551E">
      <w:start w:val="1"/>
      <w:numFmt w:val="decimal"/>
      <w:lvlText w:val="%7."/>
      <w:lvlJc w:val="left"/>
      <w:pPr>
        <w:ind w:left="5040" w:hanging="360"/>
      </w:pPr>
    </w:lvl>
    <w:lvl w:ilvl="7" w:tplc="D6C6FDF0">
      <w:start w:val="1"/>
      <w:numFmt w:val="lowerLetter"/>
      <w:lvlText w:val="%8."/>
      <w:lvlJc w:val="left"/>
      <w:pPr>
        <w:ind w:left="5760" w:hanging="360"/>
      </w:pPr>
    </w:lvl>
    <w:lvl w:ilvl="8" w:tplc="94BA1770">
      <w:start w:val="1"/>
      <w:numFmt w:val="lowerRoman"/>
      <w:lvlText w:val="%9."/>
      <w:lvlJc w:val="right"/>
      <w:pPr>
        <w:ind w:left="6480" w:hanging="180"/>
      </w:pPr>
    </w:lvl>
  </w:abstractNum>
  <w:abstractNum w:abstractNumId="1" w15:restartNumberingAfterBreak="0">
    <w:nsid w:val="2D5FDC50"/>
    <w:multiLevelType w:val="hybridMultilevel"/>
    <w:tmpl w:val="F960696A"/>
    <w:lvl w:ilvl="0" w:tplc="964A16D8">
      <w:start w:val="1"/>
      <w:numFmt w:val="decimal"/>
      <w:lvlText w:val="%1."/>
      <w:lvlJc w:val="left"/>
      <w:pPr>
        <w:ind w:left="720" w:hanging="360"/>
      </w:pPr>
    </w:lvl>
    <w:lvl w:ilvl="1" w:tplc="AFFCF8EE">
      <w:start w:val="1"/>
      <w:numFmt w:val="lowerLetter"/>
      <w:lvlText w:val="%2."/>
      <w:lvlJc w:val="left"/>
      <w:pPr>
        <w:ind w:left="1440" w:hanging="360"/>
      </w:pPr>
    </w:lvl>
    <w:lvl w:ilvl="2" w:tplc="83000CAA">
      <w:start w:val="1"/>
      <w:numFmt w:val="lowerRoman"/>
      <w:lvlText w:val="%3."/>
      <w:lvlJc w:val="right"/>
      <w:pPr>
        <w:ind w:left="2160" w:hanging="180"/>
      </w:pPr>
    </w:lvl>
    <w:lvl w:ilvl="3" w:tplc="22963CBE">
      <w:start w:val="1"/>
      <w:numFmt w:val="decimal"/>
      <w:lvlText w:val="%4."/>
      <w:lvlJc w:val="left"/>
      <w:pPr>
        <w:ind w:left="2880" w:hanging="360"/>
      </w:pPr>
    </w:lvl>
    <w:lvl w:ilvl="4" w:tplc="9CD4DC1A">
      <w:start w:val="1"/>
      <w:numFmt w:val="lowerLetter"/>
      <w:lvlText w:val="%5."/>
      <w:lvlJc w:val="left"/>
      <w:pPr>
        <w:ind w:left="3600" w:hanging="360"/>
      </w:pPr>
    </w:lvl>
    <w:lvl w:ilvl="5" w:tplc="5C18752C">
      <w:start w:val="1"/>
      <w:numFmt w:val="lowerRoman"/>
      <w:lvlText w:val="%6."/>
      <w:lvlJc w:val="right"/>
      <w:pPr>
        <w:ind w:left="4320" w:hanging="180"/>
      </w:pPr>
    </w:lvl>
    <w:lvl w:ilvl="6" w:tplc="98429F62">
      <w:start w:val="1"/>
      <w:numFmt w:val="decimal"/>
      <w:lvlText w:val="%7."/>
      <w:lvlJc w:val="left"/>
      <w:pPr>
        <w:ind w:left="5040" w:hanging="360"/>
      </w:pPr>
    </w:lvl>
    <w:lvl w:ilvl="7" w:tplc="0E7AD59A">
      <w:start w:val="1"/>
      <w:numFmt w:val="lowerLetter"/>
      <w:lvlText w:val="%8."/>
      <w:lvlJc w:val="left"/>
      <w:pPr>
        <w:ind w:left="5760" w:hanging="360"/>
      </w:pPr>
    </w:lvl>
    <w:lvl w:ilvl="8" w:tplc="1CA0AEFE">
      <w:start w:val="1"/>
      <w:numFmt w:val="lowerRoman"/>
      <w:lvlText w:val="%9."/>
      <w:lvlJc w:val="right"/>
      <w:pPr>
        <w:ind w:left="6480" w:hanging="180"/>
      </w:pPr>
    </w:lvl>
  </w:abstractNum>
  <w:abstractNum w:abstractNumId="2" w15:restartNumberingAfterBreak="0">
    <w:nsid w:val="41E28D0C"/>
    <w:multiLevelType w:val="hybridMultilevel"/>
    <w:tmpl w:val="1EA29F64"/>
    <w:lvl w:ilvl="0" w:tplc="3416AB68">
      <w:start w:val="1"/>
      <w:numFmt w:val="bullet"/>
      <w:lvlText w:val=""/>
      <w:lvlJc w:val="left"/>
      <w:pPr>
        <w:ind w:left="720" w:hanging="360"/>
      </w:pPr>
      <w:rPr>
        <w:rFonts w:ascii="Symbol" w:hAnsi="Symbol" w:hint="default"/>
      </w:rPr>
    </w:lvl>
    <w:lvl w:ilvl="1" w:tplc="46A498F8">
      <w:start w:val="1"/>
      <w:numFmt w:val="bullet"/>
      <w:lvlText w:val="o"/>
      <w:lvlJc w:val="left"/>
      <w:pPr>
        <w:ind w:left="1440" w:hanging="360"/>
      </w:pPr>
      <w:rPr>
        <w:rFonts w:ascii="Courier New" w:hAnsi="Courier New" w:hint="default"/>
      </w:rPr>
    </w:lvl>
    <w:lvl w:ilvl="2" w:tplc="E3B2D41A">
      <w:start w:val="1"/>
      <w:numFmt w:val="bullet"/>
      <w:lvlText w:val=""/>
      <w:lvlJc w:val="left"/>
      <w:pPr>
        <w:ind w:left="2160" w:hanging="360"/>
      </w:pPr>
      <w:rPr>
        <w:rFonts w:ascii="Wingdings" w:hAnsi="Wingdings" w:hint="default"/>
      </w:rPr>
    </w:lvl>
    <w:lvl w:ilvl="3" w:tplc="69BCC758">
      <w:start w:val="1"/>
      <w:numFmt w:val="bullet"/>
      <w:lvlText w:val=""/>
      <w:lvlJc w:val="left"/>
      <w:pPr>
        <w:ind w:left="2880" w:hanging="360"/>
      </w:pPr>
      <w:rPr>
        <w:rFonts w:ascii="Symbol" w:hAnsi="Symbol" w:hint="default"/>
      </w:rPr>
    </w:lvl>
    <w:lvl w:ilvl="4" w:tplc="F4061D1C">
      <w:start w:val="1"/>
      <w:numFmt w:val="bullet"/>
      <w:lvlText w:val="o"/>
      <w:lvlJc w:val="left"/>
      <w:pPr>
        <w:ind w:left="3600" w:hanging="360"/>
      </w:pPr>
      <w:rPr>
        <w:rFonts w:ascii="Courier New" w:hAnsi="Courier New" w:hint="default"/>
      </w:rPr>
    </w:lvl>
    <w:lvl w:ilvl="5" w:tplc="040EC638">
      <w:start w:val="1"/>
      <w:numFmt w:val="bullet"/>
      <w:lvlText w:val=""/>
      <w:lvlJc w:val="left"/>
      <w:pPr>
        <w:ind w:left="4320" w:hanging="360"/>
      </w:pPr>
      <w:rPr>
        <w:rFonts w:ascii="Wingdings" w:hAnsi="Wingdings" w:hint="default"/>
      </w:rPr>
    </w:lvl>
    <w:lvl w:ilvl="6" w:tplc="E87A3128">
      <w:start w:val="1"/>
      <w:numFmt w:val="bullet"/>
      <w:lvlText w:val=""/>
      <w:lvlJc w:val="left"/>
      <w:pPr>
        <w:ind w:left="5040" w:hanging="360"/>
      </w:pPr>
      <w:rPr>
        <w:rFonts w:ascii="Symbol" w:hAnsi="Symbol" w:hint="default"/>
      </w:rPr>
    </w:lvl>
    <w:lvl w:ilvl="7" w:tplc="57560B94">
      <w:start w:val="1"/>
      <w:numFmt w:val="bullet"/>
      <w:lvlText w:val="o"/>
      <w:lvlJc w:val="left"/>
      <w:pPr>
        <w:ind w:left="5760" w:hanging="360"/>
      </w:pPr>
      <w:rPr>
        <w:rFonts w:ascii="Courier New" w:hAnsi="Courier New" w:hint="default"/>
      </w:rPr>
    </w:lvl>
    <w:lvl w:ilvl="8" w:tplc="AE2ECA02">
      <w:start w:val="1"/>
      <w:numFmt w:val="bullet"/>
      <w:lvlText w:val=""/>
      <w:lvlJc w:val="left"/>
      <w:pPr>
        <w:ind w:left="6480" w:hanging="360"/>
      </w:pPr>
      <w:rPr>
        <w:rFonts w:ascii="Wingdings" w:hAnsi="Wingdings" w:hint="default"/>
      </w:rPr>
    </w:lvl>
  </w:abstractNum>
  <w:abstractNum w:abstractNumId="3" w15:restartNumberingAfterBreak="0">
    <w:nsid w:val="6CB54FA6"/>
    <w:multiLevelType w:val="hybridMultilevel"/>
    <w:tmpl w:val="075C9F86"/>
    <w:lvl w:ilvl="0" w:tplc="7084F458">
      <w:start w:val="1"/>
      <w:numFmt w:val="bullet"/>
      <w:lvlText w:val=""/>
      <w:lvlJc w:val="left"/>
      <w:pPr>
        <w:ind w:left="720" w:hanging="360"/>
      </w:pPr>
      <w:rPr>
        <w:rFonts w:ascii="Symbol" w:hAnsi="Symbol" w:hint="default"/>
      </w:rPr>
    </w:lvl>
    <w:lvl w:ilvl="1" w:tplc="7F461F22">
      <w:start w:val="1"/>
      <w:numFmt w:val="bullet"/>
      <w:lvlText w:val="o"/>
      <w:lvlJc w:val="left"/>
      <w:pPr>
        <w:ind w:left="1440" w:hanging="360"/>
      </w:pPr>
      <w:rPr>
        <w:rFonts w:ascii="Courier New" w:hAnsi="Courier New" w:hint="default"/>
      </w:rPr>
    </w:lvl>
    <w:lvl w:ilvl="2" w:tplc="DC14A85A">
      <w:start w:val="1"/>
      <w:numFmt w:val="bullet"/>
      <w:lvlText w:val=""/>
      <w:lvlJc w:val="left"/>
      <w:pPr>
        <w:ind w:left="2160" w:hanging="360"/>
      </w:pPr>
      <w:rPr>
        <w:rFonts w:ascii="Wingdings" w:hAnsi="Wingdings" w:hint="default"/>
      </w:rPr>
    </w:lvl>
    <w:lvl w:ilvl="3" w:tplc="070EF8EA">
      <w:start w:val="1"/>
      <w:numFmt w:val="bullet"/>
      <w:lvlText w:val=""/>
      <w:lvlJc w:val="left"/>
      <w:pPr>
        <w:ind w:left="2880" w:hanging="360"/>
      </w:pPr>
      <w:rPr>
        <w:rFonts w:ascii="Symbol" w:hAnsi="Symbol" w:hint="default"/>
      </w:rPr>
    </w:lvl>
    <w:lvl w:ilvl="4" w:tplc="BD90E848">
      <w:start w:val="1"/>
      <w:numFmt w:val="bullet"/>
      <w:lvlText w:val="o"/>
      <w:lvlJc w:val="left"/>
      <w:pPr>
        <w:ind w:left="3600" w:hanging="360"/>
      </w:pPr>
      <w:rPr>
        <w:rFonts w:ascii="Courier New" w:hAnsi="Courier New" w:hint="default"/>
      </w:rPr>
    </w:lvl>
    <w:lvl w:ilvl="5" w:tplc="A45E49E0">
      <w:start w:val="1"/>
      <w:numFmt w:val="bullet"/>
      <w:lvlText w:val=""/>
      <w:lvlJc w:val="left"/>
      <w:pPr>
        <w:ind w:left="4320" w:hanging="360"/>
      </w:pPr>
      <w:rPr>
        <w:rFonts w:ascii="Wingdings" w:hAnsi="Wingdings" w:hint="default"/>
      </w:rPr>
    </w:lvl>
    <w:lvl w:ilvl="6" w:tplc="697070DC">
      <w:start w:val="1"/>
      <w:numFmt w:val="bullet"/>
      <w:lvlText w:val=""/>
      <w:lvlJc w:val="left"/>
      <w:pPr>
        <w:ind w:left="5040" w:hanging="360"/>
      </w:pPr>
      <w:rPr>
        <w:rFonts w:ascii="Symbol" w:hAnsi="Symbol" w:hint="default"/>
      </w:rPr>
    </w:lvl>
    <w:lvl w:ilvl="7" w:tplc="16C02B2C">
      <w:start w:val="1"/>
      <w:numFmt w:val="bullet"/>
      <w:lvlText w:val="o"/>
      <w:lvlJc w:val="left"/>
      <w:pPr>
        <w:ind w:left="5760" w:hanging="360"/>
      </w:pPr>
      <w:rPr>
        <w:rFonts w:ascii="Courier New" w:hAnsi="Courier New" w:hint="default"/>
      </w:rPr>
    </w:lvl>
    <w:lvl w:ilvl="8" w:tplc="B42689B8">
      <w:start w:val="1"/>
      <w:numFmt w:val="bullet"/>
      <w:lvlText w:val=""/>
      <w:lvlJc w:val="left"/>
      <w:pPr>
        <w:ind w:left="6480" w:hanging="360"/>
      </w:pPr>
      <w:rPr>
        <w:rFonts w:ascii="Wingdings" w:hAnsi="Wingdings" w:hint="default"/>
      </w:rPr>
    </w:lvl>
  </w:abstractNum>
  <w:abstractNum w:abstractNumId="4" w15:restartNumberingAfterBreak="0">
    <w:nsid w:val="7A8BFB74"/>
    <w:multiLevelType w:val="hybridMultilevel"/>
    <w:tmpl w:val="8A0A3360"/>
    <w:lvl w:ilvl="0" w:tplc="5568021A">
      <w:start w:val="1"/>
      <w:numFmt w:val="decimal"/>
      <w:lvlText w:val="%1."/>
      <w:lvlJc w:val="left"/>
      <w:pPr>
        <w:ind w:left="720" w:hanging="360"/>
      </w:pPr>
    </w:lvl>
    <w:lvl w:ilvl="1" w:tplc="F174818A">
      <w:start w:val="1"/>
      <w:numFmt w:val="lowerLetter"/>
      <w:lvlText w:val="%2."/>
      <w:lvlJc w:val="left"/>
      <w:pPr>
        <w:ind w:left="1440" w:hanging="360"/>
      </w:pPr>
    </w:lvl>
    <w:lvl w:ilvl="2" w:tplc="FD2ADF6C">
      <w:start w:val="1"/>
      <w:numFmt w:val="lowerRoman"/>
      <w:lvlText w:val="%3."/>
      <w:lvlJc w:val="right"/>
      <w:pPr>
        <w:ind w:left="2160" w:hanging="180"/>
      </w:pPr>
    </w:lvl>
    <w:lvl w:ilvl="3" w:tplc="F7BC9FB6">
      <w:start w:val="1"/>
      <w:numFmt w:val="decimal"/>
      <w:lvlText w:val="%4."/>
      <w:lvlJc w:val="left"/>
      <w:pPr>
        <w:ind w:left="2880" w:hanging="360"/>
      </w:pPr>
    </w:lvl>
    <w:lvl w:ilvl="4" w:tplc="B52CF73E">
      <w:start w:val="1"/>
      <w:numFmt w:val="lowerLetter"/>
      <w:lvlText w:val="%5."/>
      <w:lvlJc w:val="left"/>
      <w:pPr>
        <w:ind w:left="3600" w:hanging="360"/>
      </w:pPr>
    </w:lvl>
    <w:lvl w:ilvl="5" w:tplc="BD76CEFC">
      <w:start w:val="1"/>
      <w:numFmt w:val="lowerRoman"/>
      <w:lvlText w:val="%6."/>
      <w:lvlJc w:val="right"/>
      <w:pPr>
        <w:ind w:left="4320" w:hanging="180"/>
      </w:pPr>
    </w:lvl>
    <w:lvl w:ilvl="6" w:tplc="22D6DC06">
      <w:start w:val="1"/>
      <w:numFmt w:val="decimal"/>
      <w:lvlText w:val="%7."/>
      <w:lvlJc w:val="left"/>
      <w:pPr>
        <w:ind w:left="5040" w:hanging="360"/>
      </w:pPr>
    </w:lvl>
    <w:lvl w:ilvl="7" w:tplc="6A8AD2CE">
      <w:start w:val="1"/>
      <w:numFmt w:val="lowerLetter"/>
      <w:lvlText w:val="%8."/>
      <w:lvlJc w:val="left"/>
      <w:pPr>
        <w:ind w:left="5760" w:hanging="360"/>
      </w:pPr>
    </w:lvl>
    <w:lvl w:ilvl="8" w:tplc="CE669DEC">
      <w:start w:val="1"/>
      <w:numFmt w:val="lowerRoman"/>
      <w:lvlText w:val="%9."/>
      <w:lvlJc w:val="right"/>
      <w:pPr>
        <w:ind w:left="6480" w:hanging="180"/>
      </w:pPr>
    </w:lvl>
  </w:abstractNum>
  <w:abstractNum w:abstractNumId="5" w15:restartNumberingAfterBreak="0">
    <w:nsid w:val="7D4770B8"/>
    <w:multiLevelType w:val="hybridMultilevel"/>
    <w:tmpl w:val="40DE1750"/>
    <w:lvl w:ilvl="0" w:tplc="AF5257E4">
      <w:start w:val="1"/>
      <w:numFmt w:val="bullet"/>
      <w:lvlText w:val=""/>
      <w:lvlJc w:val="left"/>
      <w:pPr>
        <w:ind w:left="720" w:hanging="360"/>
      </w:pPr>
      <w:rPr>
        <w:rFonts w:ascii="Symbol" w:hAnsi="Symbol" w:hint="default"/>
      </w:rPr>
    </w:lvl>
    <w:lvl w:ilvl="1" w:tplc="3098ABA6">
      <w:start w:val="1"/>
      <w:numFmt w:val="bullet"/>
      <w:lvlText w:val="o"/>
      <w:lvlJc w:val="left"/>
      <w:pPr>
        <w:ind w:left="1440" w:hanging="360"/>
      </w:pPr>
      <w:rPr>
        <w:rFonts w:ascii="Courier New" w:hAnsi="Courier New" w:hint="default"/>
      </w:rPr>
    </w:lvl>
    <w:lvl w:ilvl="2" w:tplc="70F4E2BA">
      <w:start w:val="1"/>
      <w:numFmt w:val="bullet"/>
      <w:lvlText w:val=""/>
      <w:lvlJc w:val="left"/>
      <w:pPr>
        <w:ind w:left="2160" w:hanging="360"/>
      </w:pPr>
      <w:rPr>
        <w:rFonts w:ascii="Wingdings" w:hAnsi="Wingdings" w:hint="default"/>
      </w:rPr>
    </w:lvl>
    <w:lvl w:ilvl="3" w:tplc="748233D8">
      <w:start w:val="1"/>
      <w:numFmt w:val="bullet"/>
      <w:lvlText w:val=""/>
      <w:lvlJc w:val="left"/>
      <w:pPr>
        <w:ind w:left="2880" w:hanging="360"/>
      </w:pPr>
      <w:rPr>
        <w:rFonts w:ascii="Symbol" w:hAnsi="Symbol" w:hint="default"/>
      </w:rPr>
    </w:lvl>
    <w:lvl w:ilvl="4" w:tplc="54826E24">
      <w:start w:val="1"/>
      <w:numFmt w:val="bullet"/>
      <w:lvlText w:val="o"/>
      <w:lvlJc w:val="left"/>
      <w:pPr>
        <w:ind w:left="3600" w:hanging="360"/>
      </w:pPr>
      <w:rPr>
        <w:rFonts w:ascii="Courier New" w:hAnsi="Courier New" w:hint="default"/>
      </w:rPr>
    </w:lvl>
    <w:lvl w:ilvl="5" w:tplc="FD089E9E">
      <w:start w:val="1"/>
      <w:numFmt w:val="bullet"/>
      <w:lvlText w:val=""/>
      <w:lvlJc w:val="left"/>
      <w:pPr>
        <w:ind w:left="4320" w:hanging="360"/>
      </w:pPr>
      <w:rPr>
        <w:rFonts w:ascii="Wingdings" w:hAnsi="Wingdings" w:hint="default"/>
      </w:rPr>
    </w:lvl>
    <w:lvl w:ilvl="6" w:tplc="B4D4B2A0">
      <w:start w:val="1"/>
      <w:numFmt w:val="bullet"/>
      <w:lvlText w:val=""/>
      <w:lvlJc w:val="left"/>
      <w:pPr>
        <w:ind w:left="5040" w:hanging="360"/>
      </w:pPr>
      <w:rPr>
        <w:rFonts w:ascii="Symbol" w:hAnsi="Symbol" w:hint="default"/>
      </w:rPr>
    </w:lvl>
    <w:lvl w:ilvl="7" w:tplc="4E1C0876">
      <w:start w:val="1"/>
      <w:numFmt w:val="bullet"/>
      <w:lvlText w:val="o"/>
      <w:lvlJc w:val="left"/>
      <w:pPr>
        <w:ind w:left="5760" w:hanging="360"/>
      </w:pPr>
      <w:rPr>
        <w:rFonts w:ascii="Courier New" w:hAnsi="Courier New" w:hint="default"/>
      </w:rPr>
    </w:lvl>
    <w:lvl w:ilvl="8" w:tplc="F3BC2166">
      <w:start w:val="1"/>
      <w:numFmt w:val="bullet"/>
      <w:lvlText w:val=""/>
      <w:lvlJc w:val="left"/>
      <w:pPr>
        <w:ind w:left="6480" w:hanging="360"/>
      </w:pPr>
      <w:rPr>
        <w:rFonts w:ascii="Wingdings" w:hAnsi="Wingdings" w:hint="default"/>
      </w:rPr>
    </w:lvl>
  </w:abstractNum>
  <w:num w:numId="1" w16cid:durableId="2096199808">
    <w:abstractNumId w:val="0"/>
  </w:num>
  <w:num w:numId="2" w16cid:durableId="530919126">
    <w:abstractNumId w:val="2"/>
  </w:num>
  <w:num w:numId="3" w16cid:durableId="804471354">
    <w:abstractNumId w:val="1"/>
  </w:num>
  <w:num w:numId="4" w16cid:durableId="1835754596">
    <w:abstractNumId w:val="3"/>
  </w:num>
  <w:num w:numId="5" w16cid:durableId="281956795">
    <w:abstractNumId w:val="4"/>
  </w:num>
  <w:num w:numId="6" w16cid:durableId="6958913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98F1955"/>
    <w:rsid w:val="000B1CCF"/>
    <w:rsid w:val="00156A97"/>
    <w:rsid w:val="0018672B"/>
    <w:rsid w:val="002E205E"/>
    <w:rsid w:val="003D585E"/>
    <w:rsid w:val="003FB8B8"/>
    <w:rsid w:val="004B3BAA"/>
    <w:rsid w:val="00527A32"/>
    <w:rsid w:val="006167B2"/>
    <w:rsid w:val="00650C46"/>
    <w:rsid w:val="00683495"/>
    <w:rsid w:val="006C678B"/>
    <w:rsid w:val="00866721"/>
    <w:rsid w:val="009A65A3"/>
    <w:rsid w:val="00AD6715"/>
    <w:rsid w:val="00EC5133"/>
    <w:rsid w:val="00F3288F"/>
    <w:rsid w:val="02B438B3"/>
    <w:rsid w:val="0300D562"/>
    <w:rsid w:val="0350B102"/>
    <w:rsid w:val="039FC2A0"/>
    <w:rsid w:val="0636E707"/>
    <w:rsid w:val="07E4AB03"/>
    <w:rsid w:val="092478B3"/>
    <w:rsid w:val="0931B7A2"/>
    <w:rsid w:val="0964EC57"/>
    <w:rsid w:val="09C3C747"/>
    <w:rsid w:val="09D204CD"/>
    <w:rsid w:val="0C15245D"/>
    <w:rsid w:val="0DB37DF8"/>
    <w:rsid w:val="0DC745D6"/>
    <w:rsid w:val="0DD2EF21"/>
    <w:rsid w:val="0DE8B989"/>
    <w:rsid w:val="0EE2859B"/>
    <w:rsid w:val="10069FDF"/>
    <w:rsid w:val="116E1726"/>
    <w:rsid w:val="11B000CF"/>
    <w:rsid w:val="11CCD70B"/>
    <w:rsid w:val="1226DF7F"/>
    <w:rsid w:val="12ACD734"/>
    <w:rsid w:val="12B08596"/>
    <w:rsid w:val="12D4137B"/>
    <w:rsid w:val="132FC4C2"/>
    <w:rsid w:val="1471259B"/>
    <w:rsid w:val="148E44FF"/>
    <w:rsid w:val="158B8F0C"/>
    <w:rsid w:val="16A68C1D"/>
    <w:rsid w:val="18229825"/>
    <w:rsid w:val="1823CE36"/>
    <w:rsid w:val="18D87455"/>
    <w:rsid w:val="1AEC0BA8"/>
    <w:rsid w:val="1B83EBE5"/>
    <w:rsid w:val="1B85813A"/>
    <w:rsid w:val="1BA78DA0"/>
    <w:rsid w:val="1BF78E1F"/>
    <w:rsid w:val="1C6C9B3F"/>
    <w:rsid w:val="1CDBC471"/>
    <w:rsid w:val="1D1336BF"/>
    <w:rsid w:val="1D29961D"/>
    <w:rsid w:val="1D4DBF61"/>
    <w:rsid w:val="1E880EE8"/>
    <w:rsid w:val="1EA1EB54"/>
    <w:rsid w:val="1F1E8D40"/>
    <w:rsid w:val="1F91A194"/>
    <w:rsid w:val="20DE11FB"/>
    <w:rsid w:val="2130C3FC"/>
    <w:rsid w:val="21378B0E"/>
    <w:rsid w:val="214607AB"/>
    <w:rsid w:val="22839BFC"/>
    <w:rsid w:val="22AA8D2C"/>
    <w:rsid w:val="238DE6B7"/>
    <w:rsid w:val="23F4B836"/>
    <w:rsid w:val="23FBFEA3"/>
    <w:rsid w:val="249555B4"/>
    <w:rsid w:val="25432710"/>
    <w:rsid w:val="2545DDF7"/>
    <w:rsid w:val="25FDE28E"/>
    <w:rsid w:val="2682BEB3"/>
    <w:rsid w:val="26FCB9B5"/>
    <w:rsid w:val="2799CF88"/>
    <w:rsid w:val="27D5447F"/>
    <w:rsid w:val="28D0C369"/>
    <w:rsid w:val="2BA4F915"/>
    <w:rsid w:val="2C9C1B07"/>
    <w:rsid w:val="2CAEBB0B"/>
    <w:rsid w:val="2CE7EBB6"/>
    <w:rsid w:val="2E03CE68"/>
    <w:rsid w:val="2E56F193"/>
    <w:rsid w:val="2E8CB25D"/>
    <w:rsid w:val="2EDE0A35"/>
    <w:rsid w:val="343C7BB3"/>
    <w:rsid w:val="345C482D"/>
    <w:rsid w:val="353D2DBE"/>
    <w:rsid w:val="35525076"/>
    <w:rsid w:val="35B254D3"/>
    <w:rsid w:val="3633CC0A"/>
    <w:rsid w:val="38E76D13"/>
    <w:rsid w:val="390A662F"/>
    <w:rsid w:val="3910C31C"/>
    <w:rsid w:val="398F1955"/>
    <w:rsid w:val="3A4C3854"/>
    <w:rsid w:val="3AD0B9AD"/>
    <w:rsid w:val="404472FB"/>
    <w:rsid w:val="416FE12C"/>
    <w:rsid w:val="41C28982"/>
    <w:rsid w:val="42066075"/>
    <w:rsid w:val="4238FB1C"/>
    <w:rsid w:val="43D14286"/>
    <w:rsid w:val="44D111E6"/>
    <w:rsid w:val="4553E8F3"/>
    <w:rsid w:val="455B75A8"/>
    <w:rsid w:val="45A72B4B"/>
    <w:rsid w:val="4635854C"/>
    <w:rsid w:val="489129E4"/>
    <w:rsid w:val="48A77296"/>
    <w:rsid w:val="48F4AA09"/>
    <w:rsid w:val="493B63B1"/>
    <w:rsid w:val="498E3FC6"/>
    <w:rsid w:val="4D28FDA6"/>
    <w:rsid w:val="4E561ED7"/>
    <w:rsid w:val="50999FBA"/>
    <w:rsid w:val="52202A56"/>
    <w:rsid w:val="5410B2E4"/>
    <w:rsid w:val="541DB4BE"/>
    <w:rsid w:val="542D4466"/>
    <w:rsid w:val="549A911A"/>
    <w:rsid w:val="55F70533"/>
    <w:rsid w:val="56ECDA8B"/>
    <w:rsid w:val="58D6F248"/>
    <w:rsid w:val="59525269"/>
    <w:rsid w:val="59A1C4E9"/>
    <w:rsid w:val="59CCFE0C"/>
    <w:rsid w:val="59D666A9"/>
    <w:rsid w:val="5A9ADCB7"/>
    <w:rsid w:val="5ACB1AA0"/>
    <w:rsid w:val="5B13775B"/>
    <w:rsid w:val="5B44F5FA"/>
    <w:rsid w:val="5C927A7A"/>
    <w:rsid w:val="5D815727"/>
    <w:rsid w:val="5DD8953E"/>
    <w:rsid w:val="5F2BB8D8"/>
    <w:rsid w:val="627E1C0E"/>
    <w:rsid w:val="629FF8A0"/>
    <w:rsid w:val="62FE6F04"/>
    <w:rsid w:val="6333334D"/>
    <w:rsid w:val="63755C67"/>
    <w:rsid w:val="63F63D4C"/>
    <w:rsid w:val="6413503F"/>
    <w:rsid w:val="64B0AF50"/>
    <w:rsid w:val="64E6E2C7"/>
    <w:rsid w:val="66ACFD13"/>
    <w:rsid w:val="68407B4E"/>
    <w:rsid w:val="68FB63F1"/>
    <w:rsid w:val="69CBF116"/>
    <w:rsid w:val="6A6448F2"/>
    <w:rsid w:val="6AB29736"/>
    <w:rsid w:val="6B139E09"/>
    <w:rsid w:val="6B5ED128"/>
    <w:rsid w:val="6C3E889D"/>
    <w:rsid w:val="6E8D5FC7"/>
    <w:rsid w:val="7062750D"/>
    <w:rsid w:val="70F3DDA0"/>
    <w:rsid w:val="7129AAD2"/>
    <w:rsid w:val="72344821"/>
    <w:rsid w:val="72463C35"/>
    <w:rsid w:val="7292C196"/>
    <w:rsid w:val="73A87A65"/>
    <w:rsid w:val="74EC1EF3"/>
    <w:rsid w:val="74FF261D"/>
    <w:rsid w:val="756B75C9"/>
    <w:rsid w:val="76A14F97"/>
    <w:rsid w:val="77B48814"/>
    <w:rsid w:val="77D6B238"/>
    <w:rsid w:val="77DBF276"/>
    <w:rsid w:val="7833A48D"/>
    <w:rsid w:val="7948FC63"/>
    <w:rsid w:val="79B799FF"/>
    <w:rsid w:val="7A3A7A4F"/>
    <w:rsid w:val="7C05AED7"/>
    <w:rsid w:val="7D771C77"/>
    <w:rsid w:val="7E253B66"/>
    <w:rsid w:val="7EACDA8F"/>
    <w:rsid w:val="7ED385B0"/>
    <w:rsid w:val="7EF6FEFE"/>
    <w:rsid w:val="7EF8CD5A"/>
    <w:rsid w:val="7F4D3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1BAC1"/>
  <w15:chartTrackingRefBased/>
  <w15:docId w15:val="{E19DC952-4EF4-4F6E-B0F0-38F499E5B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0F3DD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70F3DD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148E44FF"/>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70F3DDA0"/>
    <w:rPr>
      <w:color w:val="467886"/>
      <w:u w:val="single"/>
    </w:rPr>
  </w:style>
  <w:style w:type="paragraph" w:styleId="TOC1">
    <w:name w:val="toc 1"/>
    <w:basedOn w:val="Normal"/>
    <w:next w:val="Normal"/>
    <w:uiPriority w:val="39"/>
    <w:unhideWhenUsed/>
    <w:rsid w:val="70F3DDA0"/>
    <w:pPr>
      <w:spacing w:after="100"/>
    </w:pPr>
  </w:style>
  <w:style w:type="paragraph" w:styleId="TOC2">
    <w:name w:val="toc 2"/>
    <w:basedOn w:val="Normal"/>
    <w:next w:val="Normal"/>
    <w:uiPriority w:val="39"/>
    <w:unhideWhenUsed/>
    <w:rsid w:val="70F3DDA0"/>
    <w:pPr>
      <w:spacing w:after="100"/>
      <w:ind w:left="220"/>
    </w:pPr>
  </w:style>
  <w:style w:type="paragraph" w:styleId="ListParagraph">
    <w:name w:val="List Paragraph"/>
    <w:basedOn w:val="Normal"/>
    <w:uiPriority w:val="34"/>
    <w:qFormat/>
    <w:rsid w:val="70F3DD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hyperlink" Target="https://www.cipd.org/uk/knowledge/reports/resourcing-surveys/?utm_source=chatgpt.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hyperlink" Target="https://corporate.marksandspencer.com/investors/results-reports-and-presentations?utm_source=chatgpt.com"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23" Type="http://schemas.microsoft.com/office/2020/10/relationships/intelligence" Target="intelligence2.xml"/><Relationship Id="rId10" Type="http://schemas.openxmlformats.org/officeDocument/2006/relationships/image" Target="media/image6.jpeg"/><Relationship Id="rId19" Type="http://schemas.openxmlformats.org/officeDocument/2006/relationships/hyperlink" Target="https://www.cipd.org/uk/knowledge/reports/people-profession-survey/?utm_source=chatgpt.com"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481</TotalTime>
  <Pages>16</Pages>
  <Words>3428</Words>
  <Characters>19542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 Nadeem (2434168)</dc:creator>
  <cp:keywords/>
  <dc:description/>
  <cp:lastModifiedBy>Sadia Nadeem (2434168)</cp:lastModifiedBy>
  <cp:revision>5</cp:revision>
  <dcterms:created xsi:type="dcterms:W3CDTF">2026-06-26T15:30:00Z</dcterms:created>
  <dcterms:modified xsi:type="dcterms:W3CDTF">2026-07-18T10:45:00Z</dcterms:modified>
</cp:coreProperties>
</file>