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6BF12" w14:textId="30667752" w:rsidR="00617D49" w:rsidRPr="00617D49" w:rsidRDefault="00617D49" w:rsidP="00617D49">
      <w:pPr>
        <w:spacing w:after="200" w:line="276" w:lineRule="auto"/>
        <w:jc w:val="center"/>
        <w:rPr>
          <w:b/>
          <w:bCs/>
          <w:sz w:val="36"/>
          <w:szCs w:val="36"/>
        </w:rPr>
      </w:pPr>
    </w:p>
    <w:p w14:paraId="534D0089" w14:textId="77777777" w:rsidR="00617D49" w:rsidRPr="00617D49" w:rsidRDefault="00617D49" w:rsidP="00617D49">
      <w:pPr>
        <w:spacing w:after="200" w:line="276" w:lineRule="auto"/>
        <w:jc w:val="center"/>
        <w:rPr>
          <w:b/>
          <w:bCs/>
          <w:sz w:val="36"/>
          <w:szCs w:val="36"/>
        </w:rPr>
      </w:pPr>
      <w:r w:rsidRPr="00617D49">
        <w:rPr>
          <w:b/>
          <w:bCs/>
          <w:sz w:val="36"/>
          <w:szCs w:val="36"/>
        </w:rPr>
        <w:t>Name: Fatema Khatun</w:t>
      </w:r>
      <w:r w:rsidRPr="00617D49">
        <w:rPr>
          <w:b/>
          <w:bCs/>
          <w:sz w:val="36"/>
          <w:szCs w:val="36"/>
        </w:rPr>
        <w:br/>
        <w:t>Student Number: 2432006</w:t>
      </w:r>
    </w:p>
    <w:p w14:paraId="4C1A704B" w14:textId="5172C01A" w:rsidR="00617D49" w:rsidRDefault="00617D49" w:rsidP="00617D49">
      <w:pPr>
        <w:jc w:val="center"/>
        <w:rPr>
          <w:b/>
          <w:bCs/>
          <w:sz w:val="36"/>
          <w:szCs w:val="36"/>
        </w:rPr>
      </w:pPr>
      <w:r w:rsidRPr="00617D49">
        <w:rPr>
          <w:b/>
          <w:bCs/>
          <w:sz w:val="36"/>
          <w:szCs w:val="36"/>
        </w:rPr>
        <w:t>Module Code: LCHS400</w:t>
      </w:r>
      <w:r>
        <w:rPr>
          <w:b/>
          <w:bCs/>
          <w:sz w:val="36"/>
          <w:szCs w:val="36"/>
        </w:rPr>
        <w:t>3</w:t>
      </w:r>
    </w:p>
    <w:p w14:paraId="55C1F7D0" w14:textId="65CBC2CA" w:rsidR="00617D49" w:rsidRPr="00617D49" w:rsidRDefault="00617D49" w:rsidP="00617D49">
      <w:pPr>
        <w:spacing w:after="200" w:line="276" w:lineRule="auto"/>
        <w:jc w:val="center"/>
        <w:rPr>
          <w:b/>
          <w:bCs/>
          <w:sz w:val="36"/>
          <w:szCs w:val="36"/>
        </w:rPr>
      </w:pPr>
      <w:r>
        <w:rPr>
          <w:b/>
          <w:bCs/>
          <w:sz w:val="36"/>
          <w:szCs w:val="36"/>
        </w:rPr>
        <w:t>Module Name: Introduction to Health and Social Care</w:t>
      </w:r>
    </w:p>
    <w:p w14:paraId="2D52D5FF" w14:textId="0256BC8A" w:rsidR="00617D49" w:rsidRDefault="00617D49" w:rsidP="00617D49">
      <w:pPr>
        <w:jc w:val="center"/>
        <w:rPr>
          <w:b/>
          <w:bCs/>
          <w:sz w:val="36"/>
          <w:szCs w:val="36"/>
        </w:rPr>
      </w:pPr>
      <w:r w:rsidRPr="00617D49">
        <w:rPr>
          <w:b/>
          <w:bCs/>
          <w:sz w:val="36"/>
          <w:szCs w:val="36"/>
        </w:rPr>
        <w:t>Lecturer</w:t>
      </w:r>
      <w:r>
        <w:rPr>
          <w:b/>
          <w:bCs/>
          <w:sz w:val="36"/>
          <w:szCs w:val="36"/>
        </w:rPr>
        <w:t>’s Name</w:t>
      </w:r>
      <w:r w:rsidRPr="00617D49">
        <w:rPr>
          <w:b/>
          <w:bCs/>
          <w:sz w:val="36"/>
          <w:szCs w:val="36"/>
        </w:rPr>
        <w:t xml:space="preserve">: </w:t>
      </w:r>
      <w:r>
        <w:rPr>
          <w:b/>
          <w:bCs/>
          <w:sz w:val="36"/>
          <w:szCs w:val="36"/>
        </w:rPr>
        <w:t>Aishat Bakre</w:t>
      </w:r>
    </w:p>
    <w:p w14:paraId="0FB512A6" w14:textId="312DBABD" w:rsidR="00617D49" w:rsidRDefault="00617D49" w:rsidP="00617D49">
      <w:pPr>
        <w:jc w:val="center"/>
        <w:rPr>
          <w:b/>
          <w:bCs/>
          <w:sz w:val="36"/>
          <w:szCs w:val="36"/>
        </w:rPr>
      </w:pPr>
      <w:r>
        <w:rPr>
          <w:b/>
          <w:bCs/>
          <w:sz w:val="36"/>
          <w:szCs w:val="36"/>
        </w:rPr>
        <w:t>Assignment Title: Portfolio – Two Tasks</w:t>
      </w:r>
    </w:p>
    <w:p w14:paraId="3869221B" w14:textId="77777777" w:rsidR="00617D49" w:rsidRPr="00617D49" w:rsidRDefault="00617D49" w:rsidP="00617D49">
      <w:pPr>
        <w:spacing w:after="200" w:line="276" w:lineRule="auto"/>
        <w:jc w:val="center"/>
        <w:rPr>
          <w:b/>
          <w:bCs/>
          <w:sz w:val="36"/>
          <w:szCs w:val="36"/>
        </w:rPr>
      </w:pPr>
    </w:p>
    <w:p w14:paraId="6FC4F518" w14:textId="29143465" w:rsidR="00617D49" w:rsidRPr="000B63E6" w:rsidRDefault="00617D49" w:rsidP="000B63E6">
      <w:pPr>
        <w:jc w:val="center"/>
        <w:rPr>
          <w:b/>
          <w:bCs/>
          <w:sz w:val="36"/>
          <w:szCs w:val="36"/>
        </w:rPr>
        <w:sectPr w:rsidR="00617D49" w:rsidRPr="000B63E6">
          <w:pgSz w:w="12240" w:h="15840"/>
          <w:pgMar w:top="1440" w:right="1800" w:bottom="1440" w:left="1800" w:header="720" w:footer="720" w:gutter="0"/>
          <w:cols w:space="720"/>
          <w:docGrid w:linePitch="360"/>
        </w:sectPr>
      </w:pPr>
      <w:r w:rsidRPr="00617D49">
        <w:rPr>
          <w:b/>
          <w:bCs/>
          <w:sz w:val="36"/>
          <w:szCs w:val="36"/>
        </w:rPr>
        <w:t xml:space="preserve">Date: </w:t>
      </w:r>
      <w:r>
        <w:rPr>
          <w:b/>
          <w:bCs/>
          <w:sz w:val="36"/>
          <w:szCs w:val="36"/>
        </w:rPr>
        <w:t>20</w:t>
      </w:r>
      <w:r w:rsidRPr="00617D49">
        <w:rPr>
          <w:b/>
          <w:bCs/>
          <w:sz w:val="36"/>
          <w:szCs w:val="36"/>
          <w:vertAlign w:val="superscript"/>
        </w:rPr>
        <w:t>th</w:t>
      </w:r>
      <w:r>
        <w:rPr>
          <w:b/>
          <w:bCs/>
          <w:sz w:val="36"/>
          <w:szCs w:val="36"/>
        </w:rPr>
        <w:t xml:space="preserve"> October</w:t>
      </w:r>
      <w:r w:rsidRPr="00617D49">
        <w:rPr>
          <w:b/>
          <w:bCs/>
          <w:sz w:val="36"/>
          <w:szCs w:val="36"/>
        </w:rPr>
        <w:t xml:space="preserve"> 202</w:t>
      </w:r>
      <w:r w:rsidR="000B63E6">
        <w:rPr>
          <w:b/>
          <w:bCs/>
          <w:sz w:val="36"/>
          <w:szCs w:val="36"/>
        </w:rPr>
        <w:t>5</w:t>
      </w:r>
    </w:p>
    <w:p w14:paraId="15FEC2F6" w14:textId="7ACB5F3C" w:rsidR="00911F65" w:rsidRDefault="000A319A" w:rsidP="000B63E6">
      <w:pPr>
        <w:pStyle w:val="Title"/>
        <w:pBdr>
          <w:bottom w:val="single" w:sz="8" w:space="18" w:color="4F81BD" w:themeColor="accent1"/>
        </w:pBdr>
        <w:tabs>
          <w:tab w:val="left" w:pos="3000"/>
        </w:tabs>
      </w:pPr>
      <w:r>
        <w:rPr>
          <w:noProof/>
        </w:rPr>
        <w:lastRenderedPageBreak/>
        <w:drawing>
          <wp:anchor distT="0" distB="0" distL="114300" distR="114300" simplePos="0" relativeHeight="251708416" behindDoc="1" locked="0" layoutInCell="1" allowOverlap="1" wp14:anchorId="6BCDA181" wp14:editId="2DAA0983">
            <wp:simplePos x="0" y="0"/>
            <wp:positionH relativeFrom="margin">
              <wp:posOffset>6165850</wp:posOffset>
            </wp:positionH>
            <wp:positionV relativeFrom="paragraph">
              <wp:posOffset>396875</wp:posOffset>
            </wp:positionV>
            <wp:extent cx="364490" cy="586740"/>
            <wp:effectExtent l="0" t="0" r="0" b="3810"/>
            <wp:wrapTight wrapText="bothSides">
              <wp:wrapPolygon edited="0">
                <wp:start x="9031" y="0"/>
                <wp:lineTo x="4516" y="4909"/>
                <wp:lineTo x="2258" y="17532"/>
                <wp:lineTo x="3387" y="19636"/>
                <wp:lineTo x="10160" y="21039"/>
                <wp:lineTo x="14676" y="21039"/>
                <wp:lineTo x="19192" y="5610"/>
                <wp:lineTo x="19192" y="0"/>
                <wp:lineTo x="9031" y="0"/>
              </wp:wrapPolygon>
            </wp:wrapTight>
            <wp:docPr id="1753128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490" cy="5867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7392" behindDoc="1" locked="0" layoutInCell="1" allowOverlap="1" wp14:anchorId="0ACAF4F0" wp14:editId="3AC0A35E">
            <wp:simplePos x="0" y="0"/>
            <wp:positionH relativeFrom="margin">
              <wp:posOffset>7331710</wp:posOffset>
            </wp:positionH>
            <wp:positionV relativeFrom="paragraph">
              <wp:posOffset>592357</wp:posOffset>
            </wp:positionV>
            <wp:extent cx="614680" cy="389255"/>
            <wp:effectExtent l="0" t="0" r="0" b="0"/>
            <wp:wrapTight wrapText="bothSides">
              <wp:wrapPolygon edited="0">
                <wp:start x="12050" y="0"/>
                <wp:lineTo x="4017" y="3171"/>
                <wp:lineTo x="0" y="9514"/>
                <wp:lineTo x="0" y="20085"/>
                <wp:lineTo x="1339" y="20085"/>
                <wp:lineTo x="17405" y="17971"/>
                <wp:lineTo x="18744" y="14799"/>
                <wp:lineTo x="18744" y="7400"/>
                <wp:lineTo x="15397" y="0"/>
                <wp:lineTo x="12050" y="0"/>
              </wp:wrapPolygon>
            </wp:wrapTight>
            <wp:docPr id="7905683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4680" cy="3892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6368" behindDoc="0" locked="0" layoutInCell="1" allowOverlap="1" wp14:anchorId="7D79226B" wp14:editId="28794AAA">
                <wp:simplePos x="0" y="0"/>
                <wp:positionH relativeFrom="column">
                  <wp:posOffset>5655310</wp:posOffset>
                </wp:positionH>
                <wp:positionV relativeFrom="paragraph">
                  <wp:posOffset>622300</wp:posOffset>
                </wp:positionV>
                <wp:extent cx="2549525" cy="327660"/>
                <wp:effectExtent l="0" t="0" r="0" b="0"/>
                <wp:wrapNone/>
                <wp:docPr id="21663512" name="Text Box 17"/>
                <wp:cNvGraphicFramePr/>
                <a:graphic xmlns:a="http://schemas.openxmlformats.org/drawingml/2006/main">
                  <a:graphicData uri="http://schemas.microsoft.com/office/word/2010/wordprocessingShape">
                    <wps:wsp>
                      <wps:cNvSpPr txBox="1"/>
                      <wps:spPr>
                        <a:xfrm>
                          <a:off x="0" y="0"/>
                          <a:ext cx="2549525" cy="327660"/>
                        </a:xfrm>
                        <a:prstGeom prst="rect">
                          <a:avLst/>
                        </a:prstGeom>
                        <a:noFill/>
                        <a:ln w="6350">
                          <a:noFill/>
                        </a:ln>
                      </wps:spPr>
                      <wps:txbx>
                        <w:txbxContent>
                          <w:p w14:paraId="19F11BCF" w14:textId="3AA43BE2" w:rsidR="003B46BA" w:rsidRPr="000A2FC4" w:rsidRDefault="003B46BA" w:rsidP="003B46BA">
                            <w:pPr>
                              <w:jc w:val="center"/>
                              <w:rPr>
                                <w:rFonts w:asciiTheme="majorHAnsi" w:hAnsiTheme="majorHAnsi" w:cstheme="majorHAnsi"/>
                                <w:color w:val="548DD4" w:themeColor="text2" w:themeTint="99"/>
                                <w:sz w:val="32"/>
                                <w:szCs w:val="32"/>
                              </w:rPr>
                            </w:pPr>
                            <w:r w:rsidRPr="000A2FC4">
                              <w:rPr>
                                <w:rFonts w:asciiTheme="majorHAnsi" w:hAnsiTheme="majorHAnsi" w:cstheme="majorHAnsi"/>
                                <w:b/>
                                <w:color w:val="548DD4" w:themeColor="text2" w:themeTint="99"/>
                                <w:sz w:val="32"/>
                                <w:szCs w:val="32"/>
                              </w:rPr>
                              <w:t>History</w:t>
                            </w:r>
                          </w:p>
                          <w:p w14:paraId="51C49C81" w14:textId="77777777" w:rsidR="003B46BA" w:rsidRDefault="003B46BA" w:rsidP="003B46B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79226B" id="_x0000_t202" coordsize="21600,21600" o:spt="202" path="m,l,21600r21600,l21600,xe">
                <v:stroke joinstyle="miter"/>
                <v:path gradientshapeok="t" o:connecttype="rect"/>
              </v:shapetype>
              <v:shape id="Text Box 17" o:spid="_x0000_s1026" type="#_x0000_t202" style="position:absolute;margin-left:445.3pt;margin-top:49pt;width:200.75pt;height:25.8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" filled="f" stroked="f" strokeweight=".5pt">
                <v:textbox>
                  <w:txbxContent>
                    <w:p w14:paraId="19F11BCF" w14:textId="3AA43BE2" w:rsidR="003B46BA" w:rsidRPr="000A2FC4" w:rsidRDefault="003B46BA" w:rsidP="003B46BA">
                      <w:pPr>
                        <w:jc w:val="center"/>
                        <w:rPr>
                          <w:rFonts w:asciiTheme="majorHAnsi" w:hAnsiTheme="majorHAnsi" w:cstheme="majorHAnsi"/>
                          <w:color w:val="548DD4" w:themeColor="text2" w:themeTint="99"/>
                          <w:sz w:val="32"/>
                          <w:szCs w:val="32"/>
                        </w:rPr>
                      </w:pPr>
                      <w:r w:rsidRPr="000A2FC4">
                        <w:rPr>
                          <w:rFonts w:asciiTheme="majorHAnsi" w:hAnsiTheme="majorHAnsi" w:cstheme="majorHAnsi"/>
                          <w:b/>
                          <w:color w:val="548DD4" w:themeColor="text2" w:themeTint="99"/>
                          <w:sz w:val="32"/>
                          <w:szCs w:val="32"/>
                        </w:rPr>
                        <w:t>History</w:t>
                      </w:r>
                    </w:p>
                    <w:p w14:paraId="51C49C81" w14:textId="77777777" w:rsidR="003B46BA" w:rsidRDefault="003B46BA" w:rsidP="003B46BA">
                      <w:pPr>
                        <w:jc w:val="center"/>
                      </w:pPr>
                    </w:p>
                  </w:txbxContent>
                </v:textbox>
              </v:shape>
            </w:pict>
          </mc:Fallback>
        </mc:AlternateContent>
      </w:r>
      <w:r w:rsidR="000B63E6">
        <w:rPr>
          <w:noProof/>
        </w:rPr>
        <mc:AlternateContent>
          <mc:Choice Requires="wps">
            <w:drawing>
              <wp:anchor distT="0" distB="0" distL="114300" distR="114300" simplePos="0" relativeHeight="251694080" behindDoc="0" locked="0" layoutInCell="1" allowOverlap="1" wp14:anchorId="7ADF2E4B" wp14:editId="3B466189">
                <wp:simplePos x="0" y="0"/>
                <wp:positionH relativeFrom="column">
                  <wp:posOffset>831850</wp:posOffset>
                </wp:positionH>
                <wp:positionV relativeFrom="paragraph">
                  <wp:posOffset>662940</wp:posOffset>
                </wp:positionV>
                <wp:extent cx="2549525" cy="298939"/>
                <wp:effectExtent l="0" t="0" r="0" b="6350"/>
                <wp:wrapNone/>
                <wp:docPr id="394939187" name="Text Box 17"/>
                <wp:cNvGraphicFramePr/>
                <a:graphic xmlns:a="http://schemas.openxmlformats.org/drawingml/2006/main">
                  <a:graphicData uri="http://schemas.microsoft.com/office/word/2010/wordprocessingShape">
                    <wps:wsp>
                      <wps:cNvSpPr txBox="1"/>
                      <wps:spPr>
                        <a:xfrm>
                          <a:off x="0" y="0"/>
                          <a:ext cx="2549525" cy="298939"/>
                        </a:xfrm>
                        <a:prstGeom prst="rect">
                          <a:avLst/>
                        </a:prstGeom>
                        <a:noFill/>
                        <a:ln w="6350">
                          <a:noFill/>
                        </a:ln>
                      </wps:spPr>
                      <wps:txbx>
                        <w:txbxContent>
                          <w:p w14:paraId="185CE04B" w14:textId="2B92088B" w:rsidR="009024FA" w:rsidRPr="00136313" w:rsidRDefault="009024FA" w:rsidP="009024FA">
                            <w:pPr>
                              <w:jc w:val="center"/>
                              <w:rPr>
                                <w:rFonts w:asciiTheme="majorHAnsi" w:hAnsiTheme="majorHAnsi" w:cstheme="majorHAnsi"/>
                                <w:color w:val="548DD4" w:themeColor="text2" w:themeTint="99"/>
                                <w:sz w:val="32"/>
                                <w:szCs w:val="32"/>
                              </w:rPr>
                            </w:pPr>
                            <w:r w:rsidRPr="00136313">
                              <w:rPr>
                                <w:rFonts w:asciiTheme="majorHAnsi" w:hAnsiTheme="majorHAnsi" w:cstheme="majorHAnsi"/>
                                <w:b/>
                                <w:color w:val="548DD4" w:themeColor="text2" w:themeTint="99"/>
                                <w:sz w:val="32"/>
                                <w:szCs w:val="32"/>
                              </w:rPr>
                              <w:t>The Ambulance Services</w:t>
                            </w:r>
                          </w:p>
                          <w:p w14:paraId="75EDC41F" w14:textId="77777777" w:rsidR="009024FA" w:rsidRDefault="009024F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DF2E4B" id="_x0000_s1027" type="#_x0000_t202" style="position:absolute;margin-left:65.5pt;margin-top:52.2pt;width:200.75pt;height:23.5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" filled="f" stroked="f" strokeweight=".5pt">
                <v:textbox>
                  <w:txbxContent>
                    <w:p w14:paraId="185CE04B" w14:textId="2B92088B" w:rsidR="009024FA" w:rsidRPr="00136313" w:rsidRDefault="009024FA" w:rsidP="009024FA">
                      <w:pPr>
                        <w:jc w:val="center"/>
                        <w:rPr>
                          <w:rFonts w:asciiTheme="majorHAnsi" w:hAnsiTheme="majorHAnsi" w:cstheme="majorHAnsi"/>
                          <w:color w:val="548DD4" w:themeColor="text2" w:themeTint="99"/>
                          <w:sz w:val="32"/>
                          <w:szCs w:val="32"/>
                        </w:rPr>
                      </w:pPr>
                      <w:r w:rsidRPr="00136313">
                        <w:rPr>
                          <w:rFonts w:asciiTheme="majorHAnsi" w:hAnsiTheme="majorHAnsi" w:cstheme="majorHAnsi"/>
                          <w:b/>
                          <w:color w:val="548DD4" w:themeColor="text2" w:themeTint="99"/>
                          <w:sz w:val="32"/>
                          <w:szCs w:val="32"/>
                        </w:rPr>
                        <w:t>The Ambulance Services</w:t>
                      </w:r>
                    </w:p>
                    <w:p w14:paraId="75EDC41F" w14:textId="77777777" w:rsidR="009024FA" w:rsidRDefault="009024FA">
                      <w:pPr>
                        <w:jc w:val="center"/>
                      </w:pPr>
                    </w:p>
                  </w:txbxContent>
                </v:textbox>
              </v:shape>
            </w:pict>
          </mc:Fallback>
        </mc:AlternateContent>
      </w:r>
      <w:r w:rsidR="000B63E6">
        <w:rPr>
          <w:noProof/>
          <w:sz w:val="16"/>
          <w:szCs w:val="16"/>
        </w:rPr>
        <w:drawing>
          <wp:anchor distT="0" distB="0" distL="114300" distR="114300" simplePos="0" relativeHeight="251695104" behindDoc="1" locked="0" layoutInCell="1" allowOverlap="1" wp14:anchorId="727FD31A" wp14:editId="20D989F4">
            <wp:simplePos x="0" y="0"/>
            <wp:positionH relativeFrom="margin">
              <wp:posOffset>3269420</wp:posOffset>
            </wp:positionH>
            <wp:positionV relativeFrom="paragraph">
              <wp:posOffset>641350</wp:posOffset>
            </wp:positionV>
            <wp:extent cx="579755" cy="320040"/>
            <wp:effectExtent l="0" t="0" r="0" b="3810"/>
            <wp:wrapTight wrapText="bothSides">
              <wp:wrapPolygon edited="0">
                <wp:start x="1419" y="0"/>
                <wp:lineTo x="710" y="9000"/>
                <wp:lineTo x="1419" y="20571"/>
                <wp:lineTo x="2839" y="20571"/>
                <wp:lineTo x="17744" y="20571"/>
                <wp:lineTo x="19873" y="16714"/>
                <wp:lineTo x="19873" y="12857"/>
                <wp:lineTo x="15614" y="0"/>
                <wp:lineTo x="1419" y="0"/>
              </wp:wrapPolygon>
            </wp:wrapTight>
            <wp:docPr id="2012750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75065" name="Picture 201275065"/>
                    <pic:cNvPicPr/>
                  </pic:nvPicPr>
                  <pic:blipFill rotWithShape="1">
                    <a:blip r:embed="rId10"/>
                    <a:srcRect t="22531" b="22146"/>
                    <a:stretch>
                      <a:fillRect/>
                    </a:stretch>
                  </pic:blipFill>
                  <pic:spPr bwMode="auto">
                    <a:xfrm>
                      <a:off x="0" y="0"/>
                      <a:ext cx="579755" cy="320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3E6">
        <w:rPr>
          <w:noProof/>
          <w:sz w:val="16"/>
          <w:szCs w:val="16"/>
        </w:rPr>
        <w:drawing>
          <wp:anchor distT="0" distB="0" distL="114300" distR="114300" simplePos="0" relativeHeight="251696128" behindDoc="1" locked="0" layoutInCell="1" allowOverlap="1" wp14:anchorId="47D5CA24" wp14:editId="1349DCB4">
            <wp:simplePos x="0" y="0"/>
            <wp:positionH relativeFrom="margin">
              <wp:posOffset>520212</wp:posOffset>
            </wp:positionH>
            <wp:positionV relativeFrom="paragraph">
              <wp:posOffset>557042</wp:posOffset>
            </wp:positionV>
            <wp:extent cx="462915" cy="446405"/>
            <wp:effectExtent l="0" t="0" r="0" b="0"/>
            <wp:wrapTight wrapText="bothSides">
              <wp:wrapPolygon edited="0">
                <wp:start x="11556" y="0"/>
                <wp:lineTo x="0" y="7374"/>
                <wp:lineTo x="0" y="17514"/>
                <wp:lineTo x="3556" y="20279"/>
                <wp:lineTo x="9778" y="20279"/>
                <wp:lineTo x="10667" y="20279"/>
                <wp:lineTo x="20444" y="13826"/>
                <wp:lineTo x="20444" y="2765"/>
                <wp:lineTo x="16889" y="0"/>
                <wp:lineTo x="11556" y="0"/>
              </wp:wrapPolygon>
            </wp:wrapTight>
            <wp:docPr id="86358619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586194" name="Picture 863586194"/>
                    <pic:cNvPicPr/>
                  </pic:nvPicPr>
                  <pic:blipFill rotWithShape="1">
                    <a:blip r:embed="rId11"/>
                    <a:srcRect l="11079" t="13292" r="11739" b="12122"/>
                    <a:stretch>
                      <a:fillRect/>
                    </a:stretch>
                  </pic:blipFill>
                  <pic:spPr bwMode="auto">
                    <a:xfrm>
                      <a:off x="0" y="0"/>
                      <a:ext cx="462915" cy="446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3E6">
        <w:rPr>
          <w:b/>
          <w:noProof/>
          <w:color w:val="FFFFFF" w:themeColor="background1"/>
          <w:sz w:val="32"/>
          <w:szCs w:val="32"/>
        </w:rPr>
        <mc:AlternateContent>
          <mc:Choice Requires="wps">
            <w:drawing>
              <wp:anchor distT="0" distB="0" distL="114300" distR="114300" simplePos="0" relativeHeight="251679744" behindDoc="0" locked="0" layoutInCell="1" allowOverlap="1" wp14:anchorId="48499DD7" wp14:editId="478805B1">
                <wp:simplePos x="0" y="0"/>
                <wp:positionH relativeFrom="margin">
                  <wp:posOffset>388620</wp:posOffset>
                </wp:positionH>
                <wp:positionV relativeFrom="paragraph">
                  <wp:posOffset>-151765</wp:posOffset>
                </wp:positionV>
                <wp:extent cx="7672754" cy="744415"/>
                <wp:effectExtent l="0" t="0" r="0" b="0"/>
                <wp:wrapNone/>
                <wp:docPr id="668035696" name="Text Box 10"/>
                <wp:cNvGraphicFramePr/>
                <a:graphic xmlns:a="http://schemas.openxmlformats.org/drawingml/2006/main">
                  <a:graphicData uri="http://schemas.microsoft.com/office/word/2010/wordprocessingShape">
                    <wps:wsp>
                      <wps:cNvSpPr txBox="1"/>
                      <wps:spPr>
                        <a:xfrm>
                          <a:off x="0" y="0"/>
                          <a:ext cx="7672754" cy="744415"/>
                        </a:xfrm>
                        <a:prstGeom prst="rect">
                          <a:avLst/>
                        </a:prstGeom>
                        <a:noFill/>
                        <a:ln w="6350">
                          <a:noFill/>
                        </a:ln>
                      </wps:spPr>
                      <wps:txbx>
                        <w:txbxContent>
                          <w:p w14:paraId="3C3C8AC0" w14:textId="7C639BEE" w:rsidR="00911F65" w:rsidRPr="00361115" w:rsidRDefault="00911F65" w:rsidP="00911F65">
                            <w:pPr>
                              <w:jc w:val="center"/>
                              <w:rPr>
                                <w:color w:val="548DD4" w:themeColor="text2" w:themeTint="99"/>
                                <w:sz w:val="36"/>
                                <w:szCs w:val="36"/>
                                <w:lang w:val="en-US"/>
                              </w:rPr>
                            </w:pPr>
                            <w:r w:rsidRPr="00361115">
                              <w:rPr>
                                <w:b/>
                                <w:color w:val="548DD4" w:themeColor="text2" w:themeTint="99"/>
                                <w:sz w:val="44"/>
                                <w:szCs w:val="44"/>
                              </w:rPr>
                              <w:t>The Role, History, Operation and Present Challenges of NHS Ambulance Service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w:pict>
              <v:shape w14:anchorId="48499DD7" id="Text Box 10" o:spid="_x0000_s1028" type="#_x0000_t202" style="position:absolute;margin-left:30.6pt;margin-top:-11.95pt;width:604.15pt;height:58.6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" filled="f" stroked="f" strokeweight=".5pt">
                <v:textbox>
                  <w:txbxContent>
                    <w:p w14:paraId="3C3C8AC0" w14:textId="7C639BEE" w:rsidR="00911F65" w:rsidRPr="00361115" w:rsidRDefault="00911F65" w:rsidP="00911F65">
                      <w:pPr>
                        <w:jc w:val="center"/>
                        <w:rPr>
                          <w:color w:val="548DD4" w:themeColor="text2" w:themeTint="99"/>
                          <w:sz w:val="36"/>
                          <w:szCs w:val="36"/>
                          <w:lang w:val="en-US"/>
                        </w:rPr>
                      </w:pPr>
                      <w:r w:rsidRPr="00361115">
                        <w:rPr>
                          <w:b/>
                          <w:color w:val="548DD4" w:themeColor="text2" w:themeTint="99"/>
                          <w:sz w:val="44"/>
                          <w:szCs w:val="44"/>
                        </w:rPr>
                        <w:t>The Role, History, Operation and Present Challenges of NHS Ambulance Service</w:t>
                      </w:r>
                    </w:p>
                  </w:txbxContent>
                </v:textbox>
                <w10:wrap anchorx="margin"/>
              </v:shape>
            </w:pict>
          </mc:Fallback>
        </mc:AlternateContent>
      </w:r>
      <w:r w:rsidR="000B63E6">
        <w:rPr>
          <w:noProof/>
          <w:sz w:val="16"/>
          <w:szCs w:val="16"/>
        </w:rPr>
        <w:drawing>
          <wp:anchor distT="0" distB="0" distL="114300" distR="114300" simplePos="0" relativeHeight="251682816" behindDoc="1" locked="0" layoutInCell="1" allowOverlap="1" wp14:anchorId="6822ACA2" wp14:editId="1947FF82">
            <wp:simplePos x="0" y="0"/>
            <wp:positionH relativeFrom="page">
              <wp:align>left</wp:align>
            </wp:positionH>
            <wp:positionV relativeFrom="paragraph">
              <wp:posOffset>-457493</wp:posOffset>
            </wp:positionV>
            <wp:extent cx="10064409" cy="5685692"/>
            <wp:effectExtent l="0" t="0" r="0" b="0"/>
            <wp:wrapNone/>
            <wp:docPr id="16142724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72482" name="Picture 1614272482"/>
                    <pic:cNvPicPr/>
                  </pic:nvPicPr>
                  <pic:blipFill>
                    <a:blip r:embed="rId12"/>
                    <a:stretch>
                      <a:fillRect/>
                    </a:stretch>
                  </pic:blipFill>
                  <pic:spPr>
                    <a:xfrm>
                      <a:off x="0" y="0"/>
                      <a:ext cx="10064409" cy="5685692"/>
                    </a:xfrm>
                    <a:prstGeom prst="rect">
                      <a:avLst/>
                    </a:prstGeom>
                  </pic:spPr>
                </pic:pic>
              </a:graphicData>
            </a:graphic>
            <wp14:sizeRelH relativeFrom="page">
              <wp14:pctWidth>0</wp14:pctWidth>
            </wp14:sizeRelH>
            <wp14:sizeRelV relativeFrom="page">
              <wp14:pctHeight>0</wp14:pctHeight>
            </wp14:sizeRelV>
          </wp:anchor>
        </w:drawing>
      </w:r>
      <w:r w:rsidR="000B63E6">
        <w:tab/>
      </w:r>
    </w:p>
    <w:p w14:paraId="723036B9" w14:textId="2769E988" w:rsidR="00911F65" w:rsidRDefault="000B63E6" w:rsidP="00911F65">
      <w:pPr>
        <w:tabs>
          <w:tab w:val="left" w:pos="1108"/>
        </w:tabs>
        <w:rPr>
          <w:rFonts w:asciiTheme="majorHAnsi" w:eastAsiaTheme="majorEastAsia" w:hAnsiTheme="majorHAnsi" w:cstheme="majorBidi"/>
          <w:color w:val="17365D" w:themeColor="text2" w:themeShade="BF"/>
          <w:spacing w:val="5"/>
          <w:kern w:val="28"/>
          <w:sz w:val="52"/>
          <w:szCs w:val="52"/>
        </w:rPr>
      </w:pPr>
      <w:r>
        <w:rPr>
          <w:noProof/>
        </w:rPr>
        <mc:AlternateContent>
          <mc:Choice Requires="wps">
            <w:drawing>
              <wp:anchor distT="0" distB="0" distL="114300" distR="114300" simplePos="0" relativeHeight="251688960" behindDoc="0" locked="0" layoutInCell="1" allowOverlap="1" wp14:anchorId="44E64B7C" wp14:editId="4348BDD2">
                <wp:simplePos x="0" y="0"/>
                <wp:positionH relativeFrom="column">
                  <wp:posOffset>4718050</wp:posOffset>
                </wp:positionH>
                <wp:positionV relativeFrom="paragraph">
                  <wp:posOffset>146001</wp:posOffset>
                </wp:positionV>
                <wp:extent cx="4512945" cy="2866293"/>
                <wp:effectExtent l="0" t="0" r="20955" b="10795"/>
                <wp:wrapNone/>
                <wp:docPr id="380196136" name="Text Box 16"/>
                <wp:cNvGraphicFramePr/>
                <a:graphic xmlns:a="http://schemas.openxmlformats.org/drawingml/2006/main">
                  <a:graphicData uri="http://schemas.microsoft.com/office/word/2010/wordprocessingShape">
                    <wps:wsp>
                      <wps:cNvSpPr txBox="1"/>
                      <wps:spPr>
                        <a:xfrm>
                          <a:off x="0" y="0"/>
                          <a:ext cx="4512945" cy="2866293"/>
                        </a:xfrm>
                        <a:prstGeom prst="rect">
                          <a:avLst/>
                        </a:prstGeom>
                        <a:gradFill flip="none" rotWithShape="1">
                          <a:gsLst>
                            <a:gs pos="0">
                              <a:schemeClr val="accent1">
                                <a:lumMod val="5000"/>
                                <a:lumOff val="95000"/>
                                <a:alpha val="3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w="6350">
                          <a:solidFill>
                            <a:prstClr val="black"/>
                          </a:solidFill>
                        </a:ln>
                      </wps:spPr>
                      <wps:txbx>
                        <w:txbxContent>
                          <w:p w14:paraId="4537F1E6" w14:textId="3716EE35" w:rsidR="009024FA" w:rsidRDefault="009024FA" w:rsidP="009024FA">
                            <w:pPr>
                              <w:rPr>
                                <w:rFonts w:asciiTheme="majorHAnsi" w:hAnsiTheme="majorHAnsi" w:cstheme="majorHAnsi"/>
                                <w:sz w:val="18"/>
                                <w:szCs w:val="18"/>
                              </w:rPr>
                            </w:pPr>
                            <w:r w:rsidRPr="002A0322">
                              <w:rPr>
                                <w:rFonts w:asciiTheme="majorHAnsi" w:hAnsiTheme="majorHAnsi" w:cstheme="majorHAnsi"/>
                                <w:sz w:val="18"/>
                                <w:szCs w:val="18"/>
                              </w:rPr>
                              <w:t xml:space="preserve">Patient transportation has been around for centuries, with horse drawn stretcher style 'hammocks' dating back to 900 AD. The First World War accelerated the transition to motorised medical transport, leading to modern ambulances. The late 19th century saw the emergence of a recognisable modern ambulance service, despite the fact that patient transport had been around for a while. </w:t>
                            </w:r>
                            <w:r w:rsidRPr="002E4DF3">
                              <w:rPr>
                                <w:rFonts w:asciiTheme="majorHAnsi" w:hAnsiTheme="majorHAnsi" w:cstheme="majorHAnsi"/>
                                <w:sz w:val="18"/>
                                <w:szCs w:val="18"/>
                              </w:rPr>
                              <w:t>The need for a specialised ambulance system was emphasized due to the frequent use of police and firefighters for hospital transportation and the requirement for first aid training in 1925</w:t>
                            </w:r>
                            <w:r w:rsidRPr="002A0322">
                              <w:rPr>
                                <w:rFonts w:asciiTheme="majorHAnsi" w:hAnsiTheme="majorHAnsi" w:cstheme="majorHAnsi"/>
                                <w:sz w:val="18"/>
                                <w:szCs w:val="18"/>
                              </w:rPr>
                              <w:t xml:space="preserve"> (Ninegrp, 2025).</w:t>
                            </w:r>
                          </w:p>
                          <w:p w14:paraId="475D6B99" w14:textId="77777777" w:rsidR="000A2FC4" w:rsidRDefault="000A2FC4" w:rsidP="009024FA">
                            <w:pPr>
                              <w:rPr>
                                <w:rFonts w:asciiTheme="majorHAnsi" w:hAnsiTheme="majorHAnsi" w:cstheme="majorHAnsi"/>
                                <w:sz w:val="18"/>
                                <w:szCs w:val="18"/>
                              </w:rPr>
                            </w:pPr>
                          </w:p>
                          <w:p w14:paraId="4149E32B" w14:textId="42B769A1" w:rsidR="000A2FC4" w:rsidRPr="002A0322" w:rsidRDefault="000A2FC4" w:rsidP="009024FA">
                            <w:pPr>
                              <w:rPr>
                                <w:rFonts w:asciiTheme="majorHAnsi" w:hAnsiTheme="majorHAnsi" w:cstheme="majorHAnsi"/>
                                <w:sz w:val="18"/>
                                <w:szCs w:val="18"/>
                              </w:rPr>
                            </w:pPr>
                            <w:r w:rsidRPr="000A2FC4">
                              <w:rPr>
                                <w:noProof/>
                              </w:rPr>
                              <w:drawing>
                                <wp:inline distT="0" distB="0" distL="0" distR="0" wp14:anchorId="7CCBE307" wp14:editId="44ED6013">
                                  <wp:extent cx="4237990" cy="609600"/>
                                  <wp:effectExtent l="0" t="0" r="0" b="0"/>
                                  <wp:docPr id="9376305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7990" cy="609600"/>
                                          </a:xfrm>
                                          <a:prstGeom prst="rect">
                                            <a:avLst/>
                                          </a:prstGeom>
                                          <a:noFill/>
                                          <a:ln>
                                            <a:noFill/>
                                          </a:ln>
                                        </pic:spPr>
                                      </pic:pic>
                                    </a:graphicData>
                                  </a:graphic>
                                </wp:inline>
                              </w:drawing>
                            </w:r>
                          </w:p>
                          <w:p w14:paraId="4837CA3C" w14:textId="77777777" w:rsidR="009024FA" w:rsidRPr="002A0322" w:rsidRDefault="009024FA" w:rsidP="009024FA">
                            <w:pPr>
                              <w:rPr>
                                <w:rFonts w:asciiTheme="majorHAnsi" w:hAnsiTheme="majorHAnsi" w:cstheme="majorHAnsi"/>
                                <w:sz w:val="18"/>
                                <w:szCs w:val="18"/>
                              </w:rPr>
                            </w:pPr>
                          </w:p>
                          <w:p w14:paraId="46E51848" w14:textId="5DE16031" w:rsidR="009024FA" w:rsidRPr="002A0322" w:rsidRDefault="009024FA" w:rsidP="009024FA">
                            <w:pPr>
                              <w:rPr>
                                <w:rFonts w:asciiTheme="majorHAnsi" w:hAnsiTheme="majorHAnsi" w:cstheme="majorHAnsi"/>
                                <w:sz w:val="18"/>
                                <w:szCs w:val="18"/>
                              </w:rPr>
                            </w:pPr>
                            <w:r w:rsidRPr="002A0322">
                              <w:rPr>
                                <w:rFonts w:asciiTheme="majorHAnsi" w:hAnsiTheme="majorHAnsi" w:cstheme="majorHAnsi"/>
                                <w:sz w:val="18"/>
                                <w:szCs w:val="18"/>
                              </w:rPr>
                              <w:t xml:space="preserve">In 1948, the NHS introduced a nationwide ambulance service transforming public emergency medical response. Telephones, including the 999 emergency number improved access to assistance after a 1935 fatal house fire, reinforced by call handling developments. By 1976, 999 had become fully nationwide due to the automation of telephone exchanges and by 1986, mobile phones could access the service ensuring that everyone had access to emergency assistance (EMSUK LEARNING, 2023).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E64B7C" id="_x0000_t202" coordsize="21600,21600" o:spt="202" path="m,l,21600r21600,l21600,xe">
                <v:stroke joinstyle="miter"/>
                <v:path gradientshapeok="t" o:connecttype="rect"/>
              </v:shapetype>
              <v:shape id="Text Box 16" o:spid="_x0000_s1029" type="#_x0000_t202" style="position:absolute;margin-left:371.5pt;margin-top:11.5pt;width:355.35pt;height:225.7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" fillcolor="#f6f8fb [180]" strokeweight=".5pt">
                <v:fill color2="#cad9eb [980]" o:opacity2="20971f" rotate="t" colors="0 #f6f9fc;48497f #b0c6e1;54395f #b0c6e1;1 #cad9eb" focus="100%" type="gradient"/>
                <v:textbox>
                  <w:txbxContent>
                    <w:p w14:paraId="4537F1E6" w14:textId="3716EE35" w:rsidR="009024FA" w:rsidRDefault="009024FA" w:rsidP="009024FA">
                      <w:pPr>
                        <w:rPr>
                          <w:rFonts w:asciiTheme="majorHAnsi" w:hAnsiTheme="majorHAnsi" w:cstheme="majorHAnsi"/>
                          <w:sz w:val="18"/>
                          <w:szCs w:val="18"/>
                        </w:rPr>
                      </w:pPr>
                      <w:r w:rsidRPr="002A0322">
                        <w:rPr>
                          <w:rFonts w:asciiTheme="majorHAnsi" w:hAnsiTheme="majorHAnsi" w:cstheme="majorHAnsi"/>
                          <w:sz w:val="18"/>
                          <w:szCs w:val="18"/>
                        </w:rPr>
                        <w:t xml:space="preserve">Patient transportation has been around for centuries, with horse drawn stretcher style 'hammocks' dating back to 900 AD. The First World War accelerated the transition to motorised medical transport, leading to modern ambulances. The late 19th century saw the emergence of a recognisable modern ambulance service, despite the fact that patient transport had been around for a while. </w:t>
                      </w:r>
                      <w:r w:rsidRPr="002E4DF3">
                        <w:rPr>
                          <w:rFonts w:asciiTheme="majorHAnsi" w:hAnsiTheme="majorHAnsi" w:cstheme="majorHAnsi"/>
                          <w:sz w:val="18"/>
                          <w:szCs w:val="18"/>
                        </w:rPr>
                        <w:t>The need for a specialised ambulance system was emphasized due to the frequent use of police and firefighters for hospital transportation and the requirement for first aid training in 1925</w:t>
                      </w:r>
                      <w:r w:rsidRPr="002A0322">
                        <w:rPr>
                          <w:rFonts w:asciiTheme="majorHAnsi" w:hAnsiTheme="majorHAnsi" w:cstheme="majorHAnsi"/>
                          <w:sz w:val="18"/>
                          <w:szCs w:val="18"/>
                        </w:rPr>
                        <w:t xml:space="preserve"> (Ninegrp, 2025).</w:t>
                      </w:r>
                    </w:p>
                    <w:p w14:paraId="475D6B99" w14:textId="77777777" w:rsidR="000A2FC4" w:rsidRDefault="000A2FC4" w:rsidP="009024FA">
                      <w:pPr>
                        <w:rPr>
                          <w:rFonts w:asciiTheme="majorHAnsi" w:hAnsiTheme="majorHAnsi" w:cstheme="majorHAnsi"/>
                          <w:sz w:val="18"/>
                          <w:szCs w:val="18"/>
                        </w:rPr>
                      </w:pPr>
                    </w:p>
                    <w:p w14:paraId="4149E32B" w14:textId="42B769A1" w:rsidR="000A2FC4" w:rsidRPr="002A0322" w:rsidRDefault="000A2FC4" w:rsidP="009024FA">
                      <w:pPr>
                        <w:rPr>
                          <w:rFonts w:asciiTheme="majorHAnsi" w:hAnsiTheme="majorHAnsi" w:cstheme="majorHAnsi"/>
                          <w:sz w:val="18"/>
                          <w:szCs w:val="18"/>
                        </w:rPr>
                      </w:pPr>
                      <w:r w:rsidRPr="000A2FC4">
                        <w:rPr>
                          <w:noProof/>
                        </w:rPr>
                        <w:drawing>
                          <wp:inline distT="0" distB="0" distL="0" distR="0" wp14:anchorId="7CCBE307" wp14:editId="44ED6013">
                            <wp:extent cx="4237990" cy="609600"/>
                            <wp:effectExtent l="0" t="0" r="0" b="0"/>
                            <wp:docPr id="9376305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37990" cy="609600"/>
                                    </a:xfrm>
                                    <a:prstGeom prst="rect">
                                      <a:avLst/>
                                    </a:prstGeom>
                                    <a:noFill/>
                                    <a:ln>
                                      <a:noFill/>
                                    </a:ln>
                                  </pic:spPr>
                                </pic:pic>
                              </a:graphicData>
                            </a:graphic>
                          </wp:inline>
                        </w:drawing>
                      </w:r>
                    </w:p>
                    <w:p w14:paraId="4837CA3C" w14:textId="77777777" w:rsidR="009024FA" w:rsidRPr="002A0322" w:rsidRDefault="009024FA" w:rsidP="009024FA">
                      <w:pPr>
                        <w:rPr>
                          <w:rFonts w:asciiTheme="majorHAnsi" w:hAnsiTheme="majorHAnsi" w:cstheme="majorHAnsi"/>
                          <w:sz w:val="18"/>
                          <w:szCs w:val="18"/>
                        </w:rPr>
                      </w:pPr>
                    </w:p>
                    <w:p w14:paraId="46E51848" w14:textId="5DE16031" w:rsidR="009024FA" w:rsidRPr="002A0322" w:rsidRDefault="009024FA" w:rsidP="009024FA">
                      <w:pPr>
                        <w:rPr>
                          <w:rFonts w:asciiTheme="majorHAnsi" w:hAnsiTheme="majorHAnsi" w:cstheme="majorHAnsi"/>
                          <w:sz w:val="18"/>
                          <w:szCs w:val="18"/>
                        </w:rPr>
                      </w:pPr>
                      <w:r w:rsidRPr="002A0322">
                        <w:rPr>
                          <w:rFonts w:asciiTheme="majorHAnsi" w:hAnsiTheme="majorHAnsi" w:cstheme="majorHAnsi"/>
                          <w:sz w:val="18"/>
                          <w:szCs w:val="18"/>
                        </w:rPr>
                        <w:t xml:space="preserve">In 1948, the NHS introduced a nationwide ambulance service transforming public emergency medical response. Telephones, including the 999 emergency number improved access to assistance after a 1935 fatal house fire, reinforced by call handling developments. By 1976, 999 had become fully nationwide due to the automation of telephone exchanges and by 1986, mobile phones could access the service ensuring that everyone had access to emergency assistance (EMSUK LEARNING, 2023).  </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5083FC38" wp14:editId="5B40E92D">
                <wp:simplePos x="0" y="0"/>
                <wp:positionH relativeFrom="margin">
                  <wp:posOffset>-104971</wp:posOffset>
                </wp:positionH>
                <wp:positionV relativeFrom="paragraph">
                  <wp:posOffset>170229</wp:posOffset>
                </wp:positionV>
                <wp:extent cx="4513384" cy="3024554"/>
                <wp:effectExtent l="0" t="0" r="20955" b="23495"/>
                <wp:wrapNone/>
                <wp:docPr id="1411384827" name="Text Box 16"/>
                <wp:cNvGraphicFramePr/>
                <a:graphic xmlns:a="http://schemas.openxmlformats.org/drawingml/2006/main">
                  <a:graphicData uri="http://schemas.microsoft.com/office/word/2010/wordprocessingShape">
                    <wps:wsp>
                      <wps:cNvSpPr txBox="1"/>
                      <wps:spPr>
                        <a:xfrm>
                          <a:off x="0" y="0"/>
                          <a:ext cx="4513384" cy="3024554"/>
                        </a:xfrm>
                        <a:prstGeom prst="rect">
                          <a:avLst/>
                        </a:prstGeom>
                        <a:gradFill>
                          <a:gsLst>
                            <a:gs pos="0">
                              <a:schemeClr val="accent1">
                                <a:lumMod val="5000"/>
                                <a:lumOff val="95000"/>
                                <a:alpha val="3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12700">
                          <a:solidFill>
                            <a:schemeClr val="accent1"/>
                          </a:solidFill>
                        </a:ln>
                      </wps:spPr>
                      <wps:txbx>
                        <w:txbxContent>
                          <w:p w14:paraId="784FBFBC" w14:textId="77777777" w:rsidR="009024FA" w:rsidRPr="002A0322" w:rsidRDefault="009024FA" w:rsidP="009024FA">
                            <w:pPr>
                              <w:rPr>
                                <w:rFonts w:ascii="Calibri" w:hAnsi="Calibri" w:cs="Calibri"/>
                                <w:color w:val="000000" w:themeColor="text1"/>
                                <w:sz w:val="18"/>
                                <w:szCs w:val="18"/>
                              </w:rPr>
                            </w:pPr>
                            <w:r w:rsidRPr="002A0322">
                              <w:rPr>
                                <w:rFonts w:ascii="Calibri" w:hAnsi="Calibri" w:cs="Calibri"/>
                                <w:color w:val="000000" w:themeColor="text1"/>
                                <w:sz w:val="18"/>
                                <w:szCs w:val="18"/>
                              </w:rPr>
                              <w:t>NHS ambulance services provide emergency care in England, accessible via phone calls, 111 for clinical advice and 999 for emergencies, with calls arriving at the Emergency Operations Centre (EOC) for structured clinical evaluation to identify the Ambulance Response Programme (ARP) category. These categories are: </w:t>
                            </w:r>
                          </w:p>
                          <w:p w14:paraId="267B75E0" w14:textId="77777777" w:rsidR="009024FA" w:rsidRPr="002A0322" w:rsidRDefault="009024FA" w:rsidP="009024FA">
                            <w:pPr>
                              <w:rPr>
                                <w:rFonts w:ascii="Calibri" w:hAnsi="Calibri" w:cs="Calibri"/>
                                <w:color w:val="000000" w:themeColor="text1"/>
                                <w:sz w:val="18"/>
                                <w:szCs w:val="18"/>
                              </w:rPr>
                            </w:pPr>
                          </w:p>
                          <w:p w14:paraId="6965DF79" w14:textId="77777777"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C00000"/>
                                <w:sz w:val="18"/>
                                <w:szCs w:val="18"/>
                              </w:rPr>
                              <w:t>Category 1</w:t>
                            </w:r>
                            <w:r w:rsidRPr="002A0322">
                              <w:rPr>
                                <w:rFonts w:ascii="Calibri" w:hAnsi="Calibri" w:cs="Calibri"/>
                                <w:color w:val="C00000"/>
                                <w:sz w:val="18"/>
                                <w:szCs w:val="18"/>
                              </w:rPr>
                              <w:t> </w:t>
                            </w:r>
                            <w:r w:rsidRPr="002A0322">
                              <w:rPr>
                                <w:rFonts w:ascii="Calibri" w:hAnsi="Calibri" w:cs="Calibri"/>
                                <w:color w:val="000000" w:themeColor="text1"/>
                                <w:sz w:val="18"/>
                                <w:szCs w:val="18"/>
                              </w:rPr>
                              <w:t>(life-threatening, like cardiac arrest or serious allergic reaction)</w:t>
                            </w:r>
                          </w:p>
                          <w:p w14:paraId="043B21A4" w14:textId="77777777"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E36C0A" w:themeColor="accent6" w:themeShade="BF"/>
                                <w:sz w:val="18"/>
                                <w:szCs w:val="18"/>
                              </w:rPr>
                              <w:t>Category 2</w:t>
                            </w:r>
                            <w:r w:rsidRPr="002A0322">
                              <w:rPr>
                                <w:rFonts w:ascii="Calibri" w:hAnsi="Calibri" w:cs="Calibri"/>
                                <w:color w:val="E36C0A" w:themeColor="accent6" w:themeShade="BF"/>
                                <w:sz w:val="18"/>
                                <w:szCs w:val="18"/>
                              </w:rPr>
                              <w:t xml:space="preserve"> </w:t>
                            </w:r>
                            <w:r w:rsidRPr="002A0322">
                              <w:rPr>
                                <w:rFonts w:ascii="Calibri" w:hAnsi="Calibri" w:cs="Calibri"/>
                                <w:color w:val="000000" w:themeColor="text1"/>
                                <w:sz w:val="18"/>
                                <w:szCs w:val="18"/>
                              </w:rPr>
                              <w:t>(severe emergencies, like burns or stroke)</w:t>
                            </w:r>
                          </w:p>
                          <w:p w14:paraId="6B864DA4" w14:textId="0A14E015"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FFFF00"/>
                                <w:sz w:val="18"/>
                                <w:szCs w:val="18"/>
                              </w:rPr>
                              <w:t>Category 3</w:t>
                            </w:r>
                            <w:r w:rsidRPr="002A0322">
                              <w:rPr>
                                <w:rFonts w:ascii="Calibri" w:hAnsi="Calibri" w:cs="Calibri"/>
                                <w:color w:val="FFFF00"/>
                                <w:sz w:val="18"/>
                                <w:szCs w:val="18"/>
                              </w:rPr>
                              <w:t xml:space="preserve"> </w:t>
                            </w:r>
                            <w:r w:rsidRPr="002A0322">
                              <w:rPr>
                                <w:rFonts w:ascii="Calibri" w:hAnsi="Calibri" w:cs="Calibri"/>
                                <w:color w:val="000000" w:themeColor="text1"/>
                                <w:sz w:val="18"/>
                                <w:szCs w:val="18"/>
                              </w:rPr>
                              <w:t>(urgent issues, like late stages of labour or diabetes) some cases the ambulance staff can treat the patient in their own home</w:t>
                            </w:r>
                          </w:p>
                          <w:p w14:paraId="1A5D8E35" w14:textId="77777777"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00B050"/>
                                <w:sz w:val="18"/>
                                <w:szCs w:val="18"/>
                              </w:rPr>
                              <w:t>Category 4</w:t>
                            </w:r>
                            <w:r w:rsidRPr="002A0322">
                              <w:rPr>
                                <w:rFonts w:ascii="Calibri" w:hAnsi="Calibri" w:cs="Calibri"/>
                                <w:color w:val="00B050"/>
                                <w:sz w:val="18"/>
                                <w:szCs w:val="18"/>
                              </w:rPr>
                              <w:t xml:space="preserve"> </w:t>
                            </w:r>
                            <w:r w:rsidRPr="002A0322">
                              <w:rPr>
                                <w:rFonts w:ascii="Calibri" w:hAnsi="Calibri" w:cs="Calibri"/>
                                <w:color w:val="000000" w:themeColor="text1"/>
                                <w:sz w:val="18"/>
                                <w:szCs w:val="18"/>
                              </w:rPr>
                              <w:t xml:space="preserve">(less urgent, like urine infection or vomiting). </w:t>
                            </w:r>
                          </w:p>
                          <w:p w14:paraId="12254406" w14:textId="11FB7084" w:rsidR="009024FA" w:rsidRPr="002A0322" w:rsidRDefault="009024FA" w:rsidP="009024FA">
                            <w:pPr>
                              <w:pStyle w:val="ListParagraph"/>
                              <w:rPr>
                                <w:rFonts w:ascii="Calibri" w:hAnsi="Calibri" w:cs="Calibri"/>
                                <w:b/>
                                <w:bCs/>
                                <w:color w:val="000000" w:themeColor="text1"/>
                                <w:sz w:val="18"/>
                                <w:szCs w:val="18"/>
                              </w:rPr>
                            </w:pPr>
                          </w:p>
                          <w:p w14:paraId="0BE15266" w14:textId="77777777" w:rsidR="009024FA" w:rsidRPr="002A0322" w:rsidRDefault="009024FA" w:rsidP="009024FA">
                            <w:pPr>
                              <w:rPr>
                                <w:rFonts w:ascii="Calibri" w:hAnsi="Calibri" w:cs="Calibri"/>
                                <w:color w:val="000000" w:themeColor="text1"/>
                                <w:sz w:val="18"/>
                                <w:szCs w:val="18"/>
                              </w:rPr>
                            </w:pPr>
                            <w:r w:rsidRPr="0019525D">
                              <w:rPr>
                                <w:rFonts w:ascii="Calibri" w:hAnsi="Calibri" w:cs="Calibri"/>
                                <w:color w:val="000000" w:themeColor="text1"/>
                                <w:sz w:val="18"/>
                                <w:szCs w:val="18"/>
                              </w:rPr>
                              <w:t>Response goals prioritise those most clinically in need while providing prompt care to others</w:t>
                            </w:r>
                            <w:r w:rsidRPr="002A0322">
                              <w:rPr>
                                <w:rFonts w:ascii="Calibri" w:hAnsi="Calibri" w:cs="Calibri"/>
                                <w:color w:val="000000" w:themeColor="text1"/>
                                <w:sz w:val="18"/>
                                <w:szCs w:val="18"/>
                              </w:rPr>
                              <w:t xml:space="preserve"> (NHS England, 2017).</w:t>
                            </w:r>
                          </w:p>
                          <w:p w14:paraId="5E22D01F" w14:textId="77777777" w:rsidR="009024FA" w:rsidRPr="002A0322" w:rsidRDefault="009024FA" w:rsidP="009024FA">
                            <w:pPr>
                              <w:rPr>
                                <w:rFonts w:ascii="Calibri" w:hAnsi="Calibri" w:cs="Calibri"/>
                                <w:color w:val="000000" w:themeColor="text1"/>
                                <w:sz w:val="18"/>
                                <w:szCs w:val="18"/>
                              </w:rPr>
                            </w:pPr>
                          </w:p>
                          <w:p w14:paraId="3ADD6FB7" w14:textId="78971085" w:rsidR="009024FA" w:rsidRPr="002A0322" w:rsidRDefault="009024FA" w:rsidP="009024FA">
                            <w:pPr>
                              <w:rPr>
                                <w:sz w:val="28"/>
                                <w:szCs w:val="28"/>
                              </w:rPr>
                            </w:pPr>
                            <w:r w:rsidRPr="002A0322">
                              <w:rPr>
                                <w:rFonts w:ascii="Calibri" w:hAnsi="Calibri" w:cs="Calibri"/>
                                <w:color w:val="000000" w:themeColor="text1"/>
                                <w:sz w:val="18"/>
                                <w:szCs w:val="18"/>
                              </w:rPr>
                              <w:t>Ambulance doctors now offer more than just transportation, including wound care, pain relief, initial diagnostics, on-scene assessment and emergency treatment options. They arrange transportation to Emergency Departments (EDs) or Urgent Treatment (UTCs), and support major incidents with specialised teams like Hazardous Area Response Teams. This balances quick response, reliable pre hospital care and appropriate treatment which minimise avoidable emergency department demands (NHS England,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83FC38" id="_x0000_s1030" type="#_x0000_t202" style="position:absolute;margin-left:-8.25pt;margin-top:13.4pt;width:355.4pt;height:238.15pt;z-index:2516869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" fillcolor="#f6f8fb [180]" strokecolor="#4f81bd [3204]" strokeweight="1pt">
                <v:fill color2="#cad9eb [980]" o:opacity2="20971f" colors="0 #f6f9fc;48497f #b0c6e1;54395f #b0c6e1;1 #cad9eb" focus="100%" type="gradient"/>
                <v:textbox>
                  <w:txbxContent>
                    <w:p w14:paraId="784FBFBC" w14:textId="77777777" w:rsidR="009024FA" w:rsidRPr="002A0322" w:rsidRDefault="009024FA" w:rsidP="009024FA">
                      <w:pPr>
                        <w:rPr>
                          <w:rFonts w:ascii="Calibri" w:hAnsi="Calibri" w:cs="Calibri"/>
                          <w:color w:val="000000" w:themeColor="text1"/>
                          <w:sz w:val="18"/>
                          <w:szCs w:val="18"/>
                        </w:rPr>
                      </w:pPr>
                      <w:r w:rsidRPr="002A0322">
                        <w:rPr>
                          <w:rFonts w:ascii="Calibri" w:hAnsi="Calibri" w:cs="Calibri"/>
                          <w:color w:val="000000" w:themeColor="text1"/>
                          <w:sz w:val="18"/>
                          <w:szCs w:val="18"/>
                        </w:rPr>
                        <w:t>NHS ambulance services provide emergency care in England, accessible via phone calls, 111 for clinical advice and 999 for emergencies, with calls arriving at the Emergency Operations Centre (EOC) for structured clinical evaluation to identify the Ambulance Response Programme (ARP) category. These categories are: </w:t>
                      </w:r>
                    </w:p>
                    <w:p w14:paraId="267B75E0" w14:textId="77777777" w:rsidR="009024FA" w:rsidRPr="002A0322" w:rsidRDefault="009024FA" w:rsidP="009024FA">
                      <w:pPr>
                        <w:rPr>
                          <w:rFonts w:ascii="Calibri" w:hAnsi="Calibri" w:cs="Calibri"/>
                          <w:color w:val="000000" w:themeColor="text1"/>
                          <w:sz w:val="18"/>
                          <w:szCs w:val="18"/>
                        </w:rPr>
                      </w:pPr>
                    </w:p>
                    <w:p w14:paraId="6965DF79" w14:textId="77777777"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C00000"/>
                          <w:sz w:val="18"/>
                          <w:szCs w:val="18"/>
                        </w:rPr>
                        <w:t>Category 1</w:t>
                      </w:r>
                      <w:r w:rsidRPr="002A0322">
                        <w:rPr>
                          <w:rFonts w:ascii="Calibri" w:hAnsi="Calibri" w:cs="Calibri"/>
                          <w:color w:val="C00000"/>
                          <w:sz w:val="18"/>
                          <w:szCs w:val="18"/>
                        </w:rPr>
                        <w:t> </w:t>
                      </w:r>
                      <w:r w:rsidRPr="002A0322">
                        <w:rPr>
                          <w:rFonts w:ascii="Calibri" w:hAnsi="Calibri" w:cs="Calibri"/>
                          <w:color w:val="000000" w:themeColor="text1"/>
                          <w:sz w:val="18"/>
                          <w:szCs w:val="18"/>
                        </w:rPr>
                        <w:t>(life-threatening, like cardiac arrest or serious allergic reaction)</w:t>
                      </w:r>
                    </w:p>
                    <w:p w14:paraId="043B21A4" w14:textId="77777777"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E36C0A" w:themeColor="accent6" w:themeShade="BF"/>
                          <w:sz w:val="18"/>
                          <w:szCs w:val="18"/>
                        </w:rPr>
                        <w:t>Category 2</w:t>
                      </w:r>
                      <w:r w:rsidRPr="002A0322">
                        <w:rPr>
                          <w:rFonts w:ascii="Calibri" w:hAnsi="Calibri" w:cs="Calibri"/>
                          <w:color w:val="E36C0A" w:themeColor="accent6" w:themeShade="BF"/>
                          <w:sz w:val="18"/>
                          <w:szCs w:val="18"/>
                        </w:rPr>
                        <w:t xml:space="preserve"> </w:t>
                      </w:r>
                      <w:r w:rsidRPr="002A0322">
                        <w:rPr>
                          <w:rFonts w:ascii="Calibri" w:hAnsi="Calibri" w:cs="Calibri"/>
                          <w:color w:val="000000" w:themeColor="text1"/>
                          <w:sz w:val="18"/>
                          <w:szCs w:val="18"/>
                        </w:rPr>
                        <w:t>(severe emergencies, like burns or stroke)</w:t>
                      </w:r>
                    </w:p>
                    <w:p w14:paraId="6B864DA4" w14:textId="0A14E015"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FFFF00"/>
                          <w:sz w:val="18"/>
                          <w:szCs w:val="18"/>
                        </w:rPr>
                        <w:t>Category 3</w:t>
                      </w:r>
                      <w:r w:rsidRPr="002A0322">
                        <w:rPr>
                          <w:rFonts w:ascii="Calibri" w:hAnsi="Calibri" w:cs="Calibri"/>
                          <w:color w:val="FFFF00"/>
                          <w:sz w:val="18"/>
                          <w:szCs w:val="18"/>
                        </w:rPr>
                        <w:t xml:space="preserve"> </w:t>
                      </w:r>
                      <w:r w:rsidRPr="002A0322">
                        <w:rPr>
                          <w:rFonts w:ascii="Calibri" w:hAnsi="Calibri" w:cs="Calibri"/>
                          <w:color w:val="000000" w:themeColor="text1"/>
                          <w:sz w:val="18"/>
                          <w:szCs w:val="18"/>
                        </w:rPr>
                        <w:t>(urgent issues, like late stages of labour or diabetes) some cases the ambulance staff can treat the patient in their own home</w:t>
                      </w:r>
                    </w:p>
                    <w:p w14:paraId="1A5D8E35" w14:textId="77777777" w:rsidR="009024FA" w:rsidRPr="002A0322" w:rsidRDefault="009024FA" w:rsidP="009024FA">
                      <w:pPr>
                        <w:pStyle w:val="ListParagraph"/>
                        <w:numPr>
                          <w:ilvl w:val="0"/>
                          <w:numId w:val="10"/>
                        </w:numPr>
                        <w:rPr>
                          <w:rFonts w:ascii="Calibri" w:hAnsi="Calibri" w:cs="Calibri"/>
                          <w:color w:val="000000" w:themeColor="text1"/>
                          <w:sz w:val="18"/>
                          <w:szCs w:val="18"/>
                        </w:rPr>
                      </w:pPr>
                      <w:r w:rsidRPr="002A0322">
                        <w:rPr>
                          <w:rFonts w:ascii="Calibri" w:hAnsi="Calibri" w:cs="Calibri"/>
                          <w:b/>
                          <w:bCs/>
                          <w:color w:val="00B050"/>
                          <w:sz w:val="18"/>
                          <w:szCs w:val="18"/>
                        </w:rPr>
                        <w:t>Category 4</w:t>
                      </w:r>
                      <w:r w:rsidRPr="002A0322">
                        <w:rPr>
                          <w:rFonts w:ascii="Calibri" w:hAnsi="Calibri" w:cs="Calibri"/>
                          <w:color w:val="00B050"/>
                          <w:sz w:val="18"/>
                          <w:szCs w:val="18"/>
                        </w:rPr>
                        <w:t xml:space="preserve"> </w:t>
                      </w:r>
                      <w:r w:rsidRPr="002A0322">
                        <w:rPr>
                          <w:rFonts w:ascii="Calibri" w:hAnsi="Calibri" w:cs="Calibri"/>
                          <w:color w:val="000000" w:themeColor="text1"/>
                          <w:sz w:val="18"/>
                          <w:szCs w:val="18"/>
                        </w:rPr>
                        <w:t xml:space="preserve">(less urgent, like urine infection or vomiting). </w:t>
                      </w:r>
                    </w:p>
                    <w:p w14:paraId="12254406" w14:textId="11FB7084" w:rsidR="009024FA" w:rsidRPr="002A0322" w:rsidRDefault="009024FA" w:rsidP="009024FA">
                      <w:pPr>
                        <w:pStyle w:val="ListParagraph"/>
                        <w:rPr>
                          <w:rFonts w:ascii="Calibri" w:hAnsi="Calibri" w:cs="Calibri"/>
                          <w:b/>
                          <w:bCs/>
                          <w:color w:val="000000" w:themeColor="text1"/>
                          <w:sz w:val="18"/>
                          <w:szCs w:val="18"/>
                        </w:rPr>
                      </w:pPr>
                    </w:p>
                    <w:p w14:paraId="0BE15266" w14:textId="77777777" w:rsidR="009024FA" w:rsidRPr="002A0322" w:rsidRDefault="009024FA" w:rsidP="009024FA">
                      <w:pPr>
                        <w:rPr>
                          <w:rFonts w:ascii="Calibri" w:hAnsi="Calibri" w:cs="Calibri"/>
                          <w:color w:val="000000" w:themeColor="text1"/>
                          <w:sz w:val="18"/>
                          <w:szCs w:val="18"/>
                        </w:rPr>
                      </w:pPr>
                      <w:r w:rsidRPr="0019525D">
                        <w:rPr>
                          <w:rFonts w:ascii="Calibri" w:hAnsi="Calibri" w:cs="Calibri"/>
                          <w:color w:val="000000" w:themeColor="text1"/>
                          <w:sz w:val="18"/>
                          <w:szCs w:val="18"/>
                        </w:rPr>
                        <w:t>Response goals prioritise those most clinically in need while providing prompt care to others</w:t>
                      </w:r>
                      <w:r w:rsidRPr="002A0322">
                        <w:rPr>
                          <w:rFonts w:ascii="Calibri" w:hAnsi="Calibri" w:cs="Calibri"/>
                          <w:color w:val="000000" w:themeColor="text1"/>
                          <w:sz w:val="18"/>
                          <w:szCs w:val="18"/>
                        </w:rPr>
                        <w:t xml:space="preserve"> (NHS England, 2017).</w:t>
                      </w:r>
                    </w:p>
                    <w:p w14:paraId="5E22D01F" w14:textId="77777777" w:rsidR="009024FA" w:rsidRPr="002A0322" w:rsidRDefault="009024FA" w:rsidP="009024FA">
                      <w:pPr>
                        <w:rPr>
                          <w:rFonts w:ascii="Calibri" w:hAnsi="Calibri" w:cs="Calibri"/>
                          <w:color w:val="000000" w:themeColor="text1"/>
                          <w:sz w:val="18"/>
                          <w:szCs w:val="18"/>
                        </w:rPr>
                      </w:pPr>
                    </w:p>
                    <w:p w14:paraId="3ADD6FB7" w14:textId="78971085" w:rsidR="009024FA" w:rsidRPr="002A0322" w:rsidRDefault="009024FA" w:rsidP="009024FA">
                      <w:pPr>
                        <w:rPr>
                          <w:sz w:val="28"/>
                          <w:szCs w:val="28"/>
                        </w:rPr>
                      </w:pPr>
                      <w:r w:rsidRPr="002A0322">
                        <w:rPr>
                          <w:rFonts w:ascii="Calibri" w:hAnsi="Calibri" w:cs="Calibri"/>
                          <w:color w:val="000000" w:themeColor="text1"/>
                          <w:sz w:val="18"/>
                          <w:szCs w:val="18"/>
                        </w:rPr>
                        <w:t>Ambulance doctors now offer more than just transportation, including wound care, pain relief, initial diagnostics, on-scene assessment and emergency treatment options. They arrange transportation to Emergency Departments (EDs) or Urgent Treatment (UTCs), and support major incidents with specialised teams like Hazardous Area Response Teams. This balances quick response, reliable pre hospital care and appropriate treatment which minimise avoidable emergency department demands (NHS England, 2018).</w:t>
                      </w:r>
                    </w:p>
                  </w:txbxContent>
                </v:textbox>
                <w10:wrap anchorx="margin"/>
              </v:shape>
            </w:pict>
          </mc:Fallback>
        </mc:AlternateContent>
      </w:r>
    </w:p>
    <w:p w14:paraId="7628177D" w14:textId="1D7F9264" w:rsidR="00911F65" w:rsidRDefault="00DA75CE" w:rsidP="00911F65">
      <w:pPr>
        <w:tabs>
          <w:tab w:val="left" w:pos="1108"/>
        </w:tabs>
      </w:pPr>
      <w:r>
        <w:rPr>
          <w:rFonts w:asciiTheme="majorHAnsi" w:eastAsiaTheme="majorEastAsia" w:hAnsiTheme="majorHAnsi" w:cstheme="majorBidi"/>
          <w:noProof/>
          <w:color w:val="17365D" w:themeColor="text2" w:themeShade="BF"/>
          <w:spacing w:val="5"/>
          <w:kern w:val="28"/>
          <w:sz w:val="52"/>
          <w:szCs w:val="52"/>
        </w:rPr>
        <w:drawing>
          <wp:anchor distT="0" distB="0" distL="114300" distR="114300" simplePos="0" relativeHeight="251709440" behindDoc="1" locked="0" layoutInCell="1" allowOverlap="1" wp14:anchorId="7CC07359" wp14:editId="5B4DE0C1">
            <wp:simplePos x="0" y="0"/>
            <wp:positionH relativeFrom="column">
              <wp:posOffset>7994846</wp:posOffset>
            </wp:positionH>
            <wp:positionV relativeFrom="paragraph">
              <wp:posOffset>4194957</wp:posOffset>
            </wp:positionV>
            <wp:extent cx="831850" cy="558800"/>
            <wp:effectExtent l="0" t="0" r="6350" b="0"/>
            <wp:wrapTight wrapText="bothSides">
              <wp:wrapPolygon edited="0">
                <wp:start x="16324" y="0"/>
                <wp:lineTo x="5936" y="1473"/>
                <wp:lineTo x="989" y="5891"/>
                <wp:lineTo x="0" y="16200"/>
                <wp:lineTo x="0" y="19882"/>
                <wp:lineTo x="7915" y="20618"/>
                <wp:lineTo x="17313" y="20618"/>
                <wp:lineTo x="18302" y="19882"/>
                <wp:lineTo x="18797" y="12518"/>
                <wp:lineTo x="21270" y="12518"/>
                <wp:lineTo x="21270" y="11045"/>
                <wp:lineTo x="18797" y="0"/>
                <wp:lineTo x="16324" y="0"/>
              </wp:wrapPolygon>
            </wp:wrapTight>
            <wp:docPr id="19339807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1850" cy="558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1" locked="0" layoutInCell="1" allowOverlap="1" wp14:anchorId="6D5E55AE" wp14:editId="1C8E183A">
            <wp:simplePos x="0" y="0"/>
            <wp:positionH relativeFrom="column">
              <wp:posOffset>7273632</wp:posOffset>
            </wp:positionH>
            <wp:positionV relativeFrom="paragraph">
              <wp:posOffset>4085248</wp:posOffset>
            </wp:positionV>
            <wp:extent cx="468630" cy="688975"/>
            <wp:effectExtent l="0" t="0" r="7620" b="0"/>
            <wp:wrapTight wrapText="bothSides">
              <wp:wrapPolygon edited="0">
                <wp:start x="12293" y="0"/>
                <wp:lineTo x="8780" y="2389"/>
                <wp:lineTo x="0" y="9556"/>
                <wp:lineTo x="1756" y="20903"/>
                <wp:lineTo x="14049" y="20903"/>
                <wp:lineTo x="21073" y="20903"/>
                <wp:lineTo x="21073" y="2389"/>
                <wp:lineTo x="19317" y="0"/>
                <wp:lineTo x="12293" y="0"/>
              </wp:wrapPolygon>
            </wp:wrapTight>
            <wp:docPr id="19837591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630" cy="6889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3056" behindDoc="0" locked="0" layoutInCell="1" allowOverlap="1" wp14:anchorId="1B4D768C" wp14:editId="2A11E57B">
                <wp:simplePos x="0" y="0"/>
                <wp:positionH relativeFrom="column">
                  <wp:posOffset>4747651</wp:posOffset>
                </wp:positionH>
                <wp:positionV relativeFrom="paragraph">
                  <wp:posOffset>2790581</wp:posOffset>
                </wp:positionV>
                <wp:extent cx="4512945" cy="3164840"/>
                <wp:effectExtent l="0" t="0" r="20955" b="16510"/>
                <wp:wrapNone/>
                <wp:docPr id="1867851932" name="Text Box 16"/>
                <wp:cNvGraphicFramePr/>
                <a:graphic xmlns:a="http://schemas.openxmlformats.org/drawingml/2006/main">
                  <a:graphicData uri="http://schemas.microsoft.com/office/word/2010/wordprocessingShape">
                    <wps:wsp>
                      <wps:cNvSpPr txBox="1"/>
                      <wps:spPr>
                        <a:xfrm>
                          <a:off x="0" y="0"/>
                          <a:ext cx="4512945" cy="3164840"/>
                        </a:xfrm>
                        <a:prstGeom prst="rect">
                          <a:avLst/>
                        </a:prstGeom>
                        <a:solidFill>
                          <a:schemeClr val="tx2"/>
                        </a:solidFill>
                        <a:ln w="6350">
                          <a:solidFill>
                            <a:prstClr val="black"/>
                          </a:solidFill>
                        </a:ln>
                      </wps:spPr>
                      <wps:txbx>
                        <w:txbxContent>
                          <w:p w14:paraId="72BFC2C4" w14:textId="2CF6D602" w:rsidR="009024FA" w:rsidRPr="000A2FC4" w:rsidRDefault="009024FA" w:rsidP="009024FA">
                            <w:pPr>
                              <w:rPr>
                                <w:rFonts w:asciiTheme="majorHAnsi" w:hAnsiTheme="majorHAnsi" w:cstheme="majorHAnsi"/>
                                <w:color w:val="FFFFFF" w:themeColor="background1"/>
                                <w:sz w:val="18"/>
                                <w:szCs w:val="18"/>
                              </w:rPr>
                            </w:pPr>
                            <w:r w:rsidRPr="000A2FC4">
                              <w:rPr>
                                <w:rFonts w:asciiTheme="minorHAnsi" w:hAnsiTheme="minorHAnsi"/>
                                <w:b/>
                                <w:color w:val="FFFFFF" w:themeColor="background1"/>
                              </w:rPr>
                              <w:t>Handover Delays Challenge</w:t>
                            </w:r>
                            <w:r w:rsidRPr="000A2FC4">
                              <w:rPr>
                                <w:b/>
                                <w:color w:val="FFFFFF" w:themeColor="background1"/>
                                <w:sz w:val="28"/>
                              </w:rPr>
                              <w:br/>
                            </w:r>
                            <w:r w:rsidRPr="000A2FC4">
                              <w:rPr>
                                <w:rFonts w:asciiTheme="majorHAnsi" w:hAnsiTheme="majorHAnsi" w:cstheme="majorHAnsi"/>
                                <w:color w:val="FFFFFF" w:themeColor="background1"/>
                                <w:sz w:val="18"/>
                                <w:szCs w:val="18"/>
                              </w:rPr>
                              <w:t>Emergency departments face recurring issues of delays in handovers, despite the healthcare sector's goal of a timely transfer of clinical responsibility. Overcrowded EDs and capacity issues can cause delays, despite the sector's goal of all handovers occurring within an hour, most within 30 minutes and a significant percentage within 15 minutes.</w:t>
                            </w:r>
                          </w:p>
                          <w:p w14:paraId="419FDD3A" w14:textId="77777777" w:rsidR="009024FA" w:rsidRPr="000A2FC4" w:rsidRDefault="009024FA" w:rsidP="009024FA">
                            <w:pPr>
                              <w:rPr>
                                <w:rFonts w:asciiTheme="majorHAnsi" w:hAnsiTheme="majorHAnsi" w:cstheme="majorHAnsi"/>
                                <w:color w:val="FFFFFF" w:themeColor="background1"/>
                                <w:sz w:val="18"/>
                                <w:szCs w:val="18"/>
                              </w:rPr>
                            </w:pPr>
                            <w:r w:rsidRPr="000A2FC4">
                              <w:rPr>
                                <w:rFonts w:asciiTheme="majorHAnsi" w:hAnsiTheme="majorHAnsi" w:cstheme="majorHAnsi"/>
                                <w:color w:val="FFFFFF" w:themeColor="background1"/>
                                <w:sz w:val="18"/>
                                <w:szCs w:val="18"/>
                              </w:rPr>
                              <w:t>Two main effects result from delays. At first, they limit the number of ambulance hours that are available since crews are essentially confined outside emergency departments and are unable to respond to new emergencies. Second, as lines grows and response times increase, they introduce clinical risk for patients waiting in the community, especially those in Category 1 and 2 (Nuffield Trust, 2025a).</w:t>
                            </w:r>
                          </w:p>
                          <w:p w14:paraId="0C693C1E" w14:textId="77777777" w:rsidR="009024FA" w:rsidRPr="000A2FC4" w:rsidRDefault="009024FA" w:rsidP="009024FA">
                            <w:pPr>
                              <w:rPr>
                                <w:color w:val="FFFFFF" w:themeColor="background1"/>
                              </w:rPr>
                            </w:pPr>
                          </w:p>
                          <w:p w14:paraId="159E88C2" w14:textId="77777777" w:rsidR="009024FA" w:rsidRPr="000A2FC4" w:rsidRDefault="009024FA" w:rsidP="009024FA">
                            <w:pPr>
                              <w:rPr>
                                <w:color w:val="FFFFFF" w:themeColor="background1"/>
                              </w:rPr>
                            </w:pPr>
                          </w:p>
                          <w:p w14:paraId="28519D41" w14:textId="566FEE32" w:rsidR="009024FA" w:rsidRPr="000A2FC4" w:rsidRDefault="009024FA" w:rsidP="009024FA">
                            <w:pPr>
                              <w:rPr>
                                <w:color w:val="FFFFFF" w:themeColor="background1"/>
                              </w:rPr>
                            </w:pPr>
                            <w:r w:rsidRPr="000A2FC4">
                              <w:rPr>
                                <w:rFonts w:asciiTheme="minorHAnsi" w:hAnsiTheme="minorHAnsi"/>
                                <w:b/>
                                <w:color w:val="FFFFFF" w:themeColor="background1"/>
                              </w:rPr>
                              <w:t>Response &amp; Workforce Challenge</w:t>
                            </w:r>
                            <w:r w:rsidRPr="000A2FC4">
                              <w:rPr>
                                <w:b/>
                                <w:color w:val="FFFFFF" w:themeColor="background1"/>
                                <w:sz w:val="28"/>
                              </w:rPr>
                              <w:br/>
                            </w:r>
                            <w:r w:rsidRPr="000A2FC4">
                              <w:rPr>
                                <w:rFonts w:ascii="Calibri" w:hAnsi="Calibri" w:cs="Calibri"/>
                                <w:color w:val="FFFFFF" w:themeColor="background1"/>
                                <w:sz w:val="18"/>
                                <w:szCs w:val="18"/>
                              </w:rPr>
                              <w:t>Increasing demand, winter surges and workforce pressures make it challenging to meet response standards, particularly for Category 2. Although performance frequently exceeds the recommended average of 18 minutes (90% within 40), national plans seek to lower averages to about 30 minutes in 2025–2026. Ageing populations, multiple health conditions and uneven access to same day primary and community care are all contributing factors. In response, trusts are investing in vehicles, electronic patient records, and better screening as well as growing clinical hubs to handle more calls through hear/see and treat and creating specialised paramedic roles (Nuffield Trust, 2025b)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D768C" id="_x0000_s1031" type="#_x0000_t202" style="position:absolute;margin-left:373.85pt;margin-top:219.75pt;width:355.35pt;height:249.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" fillcolor="#1f497d [3215]" strokeweight=".5pt">
                <v:textbox>
                  <w:txbxContent>
                    <w:p w14:paraId="72BFC2C4" w14:textId="2CF6D602" w:rsidR="009024FA" w:rsidRPr="000A2FC4" w:rsidRDefault="009024FA" w:rsidP="009024FA">
                      <w:pPr>
                        <w:rPr>
                          <w:rFonts w:asciiTheme="majorHAnsi" w:hAnsiTheme="majorHAnsi" w:cstheme="majorHAnsi"/>
                          <w:color w:val="FFFFFF" w:themeColor="background1"/>
                          <w:sz w:val="18"/>
                          <w:szCs w:val="18"/>
                        </w:rPr>
                      </w:pPr>
                      <w:r w:rsidRPr="000A2FC4">
                        <w:rPr>
                          <w:rFonts w:asciiTheme="minorHAnsi" w:hAnsiTheme="minorHAnsi"/>
                          <w:b/>
                          <w:color w:val="FFFFFF" w:themeColor="background1"/>
                        </w:rPr>
                        <w:t>Handover Delays Challenge</w:t>
                      </w:r>
                      <w:r w:rsidRPr="000A2FC4">
                        <w:rPr>
                          <w:b/>
                          <w:color w:val="FFFFFF" w:themeColor="background1"/>
                          <w:sz w:val="28"/>
                        </w:rPr>
                        <w:br/>
                      </w:r>
                      <w:r w:rsidRPr="000A2FC4">
                        <w:rPr>
                          <w:rFonts w:asciiTheme="majorHAnsi" w:hAnsiTheme="majorHAnsi" w:cstheme="majorHAnsi"/>
                          <w:color w:val="FFFFFF" w:themeColor="background1"/>
                          <w:sz w:val="18"/>
                          <w:szCs w:val="18"/>
                        </w:rPr>
                        <w:t>Emergency departments face recurring issues of delays in handovers, despite the healthcare sector's goal of a timely transfer of clinical responsibility. Overcrowded EDs and capacity issues can cause delays, despite the sector's goal of all handovers occurring within an hour, most within 30 minutes and a significant percentage within 15 minutes.</w:t>
                      </w:r>
                    </w:p>
                    <w:p w14:paraId="419FDD3A" w14:textId="77777777" w:rsidR="009024FA" w:rsidRPr="000A2FC4" w:rsidRDefault="009024FA" w:rsidP="009024FA">
                      <w:pPr>
                        <w:rPr>
                          <w:rFonts w:asciiTheme="majorHAnsi" w:hAnsiTheme="majorHAnsi" w:cstheme="majorHAnsi"/>
                          <w:color w:val="FFFFFF" w:themeColor="background1"/>
                          <w:sz w:val="18"/>
                          <w:szCs w:val="18"/>
                        </w:rPr>
                      </w:pPr>
                      <w:r w:rsidRPr="000A2FC4">
                        <w:rPr>
                          <w:rFonts w:asciiTheme="majorHAnsi" w:hAnsiTheme="majorHAnsi" w:cstheme="majorHAnsi"/>
                          <w:color w:val="FFFFFF" w:themeColor="background1"/>
                          <w:sz w:val="18"/>
                          <w:szCs w:val="18"/>
                        </w:rPr>
                        <w:t>Two main effects result from delays. At first, they limit the number of ambulance hours that are available since crews are essentially confined outside emergency departments and are unable to respond to new emergencies. Second, as lines grows and response times increase, they introduce clinical risk for patients waiting in the community, especially those in Category 1 and 2 (Nuffield Trust, 2025a).</w:t>
                      </w:r>
                    </w:p>
                    <w:p w14:paraId="0C693C1E" w14:textId="77777777" w:rsidR="009024FA" w:rsidRPr="000A2FC4" w:rsidRDefault="009024FA" w:rsidP="009024FA">
                      <w:pPr>
                        <w:rPr>
                          <w:color w:val="FFFFFF" w:themeColor="background1"/>
                        </w:rPr>
                      </w:pPr>
                    </w:p>
                    <w:p w14:paraId="159E88C2" w14:textId="77777777" w:rsidR="009024FA" w:rsidRPr="000A2FC4" w:rsidRDefault="009024FA" w:rsidP="009024FA">
                      <w:pPr>
                        <w:rPr>
                          <w:color w:val="FFFFFF" w:themeColor="background1"/>
                        </w:rPr>
                      </w:pPr>
                    </w:p>
                    <w:p w14:paraId="28519D41" w14:textId="566FEE32" w:rsidR="009024FA" w:rsidRPr="000A2FC4" w:rsidRDefault="009024FA" w:rsidP="009024FA">
                      <w:pPr>
                        <w:rPr>
                          <w:color w:val="FFFFFF" w:themeColor="background1"/>
                        </w:rPr>
                      </w:pPr>
                      <w:r w:rsidRPr="000A2FC4">
                        <w:rPr>
                          <w:rFonts w:asciiTheme="minorHAnsi" w:hAnsiTheme="minorHAnsi"/>
                          <w:b/>
                          <w:color w:val="FFFFFF" w:themeColor="background1"/>
                        </w:rPr>
                        <w:t>Response &amp; Workforce Challenge</w:t>
                      </w:r>
                      <w:r w:rsidRPr="000A2FC4">
                        <w:rPr>
                          <w:b/>
                          <w:color w:val="FFFFFF" w:themeColor="background1"/>
                          <w:sz w:val="28"/>
                        </w:rPr>
                        <w:br/>
                      </w:r>
                      <w:r w:rsidRPr="000A2FC4">
                        <w:rPr>
                          <w:rFonts w:ascii="Calibri" w:hAnsi="Calibri" w:cs="Calibri"/>
                          <w:color w:val="FFFFFF" w:themeColor="background1"/>
                          <w:sz w:val="18"/>
                          <w:szCs w:val="18"/>
                        </w:rPr>
                        <w:t>Increasing demand, winter surges and workforce pressures make it challenging to meet response standards, particularly for Category 2. Although performance frequently exceeds the recommended average of 18 minutes (90% within 40), national plans seek to lower averages to about 30 minutes in 2025–2026. Ageing populations, multiple health conditions and uneven access to same day primary and community care are all contributing factors. In response, trusts are investing in vehicles, electronic patient records, and better screening as well as growing clinical hubs to handle more calls through hear/see and treat and creating specialised paramedic roles (Nuffield Trust, 2025b)</w:t>
                      </w:r>
                    </w:p>
                  </w:txbxContent>
                </v:textbox>
              </v:shape>
            </w:pict>
          </mc:Fallback>
        </mc:AlternateContent>
      </w:r>
      <w:r w:rsidR="000B63E6">
        <w:rPr>
          <w:noProof/>
        </w:rPr>
        <w:drawing>
          <wp:anchor distT="0" distB="0" distL="114300" distR="114300" simplePos="0" relativeHeight="251702272" behindDoc="0" locked="0" layoutInCell="1" allowOverlap="1" wp14:anchorId="5DAB2BF4" wp14:editId="2B4BC3E9">
            <wp:simplePos x="0" y="0"/>
            <wp:positionH relativeFrom="column">
              <wp:posOffset>3211781</wp:posOffset>
            </wp:positionH>
            <wp:positionV relativeFrom="paragraph">
              <wp:posOffset>2823747</wp:posOffset>
            </wp:positionV>
            <wp:extent cx="233391" cy="259031"/>
            <wp:effectExtent l="0" t="0" r="0" b="8255"/>
            <wp:wrapNone/>
            <wp:docPr id="210662260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a:extLst>
                        <a:ext uri="{28A0092B-C50C-407E-A947-70E740481C1C}">
                          <a14:useLocalDpi xmlns:a14="http://schemas.microsoft.com/office/drawing/2010/main" val="0"/>
                        </a:ext>
                      </a:extLst>
                    </a:blip>
                    <a:srcRect l="-488" t="3568" r="50730" b="-3568"/>
                    <a:stretch>
                      <a:fillRect/>
                    </a:stretch>
                  </pic:blipFill>
                  <pic:spPr bwMode="auto">
                    <a:xfrm>
                      <a:off x="0" y="0"/>
                      <a:ext cx="233391" cy="2590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3E6">
        <w:rPr>
          <w:noProof/>
        </w:rPr>
        <w:drawing>
          <wp:anchor distT="0" distB="0" distL="114300" distR="114300" simplePos="0" relativeHeight="251704320" behindDoc="0" locked="0" layoutInCell="1" allowOverlap="1" wp14:anchorId="30993E32" wp14:editId="74D1DF92">
            <wp:simplePos x="0" y="0"/>
            <wp:positionH relativeFrom="column">
              <wp:posOffset>808892</wp:posOffset>
            </wp:positionH>
            <wp:positionV relativeFrom="paragraph">
              <wp:posOffset>2812169</wp:posOffset>
            </wp:positionV>
            <wp:extent cx="252046" cy="282503"/>
            <wp:effectExtent l="0" t="0" r="0" b="3810"/>
            <wp:wrapNone/>
            <wp:docPr id="59389077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a:extLst>
                        <a:ext uri="{28A0092B-C50C-407E-A947-70E740481C1C}">
                          <a14:useLocalDpi xmlns:a14="http://schemas.microsoft.com/office/drawing/2010/main" val="0"/>
                        </a:ext>
                      </a:extLst>
                    </a:blip>
                    <a:srcRect l="50730"/>
                    <a:stretch>
                      <a:fillRect/>
                    </a:stretch>
                  </pic:blipFill>
                  <pic:spPr bwMode="auto">
                    <a:xfrm>
                      <a:off x="0" y="0"/>
                      <a:ext cx="256738" cy="28776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3E6">
        <w:rPr>
          <w:noProof/>
        </w:rPr>
        <mc:AlternateContent>
          <mc:Choice Requires="wps">
            <w:drawing>
              <wp:anchor distT="0" distB="0" distL="114300" distR="114300" simplePos="0" relativeHeight="251698176" behindDoc="0" locked="0" layoutInCell="1" allowOverlap="1" wp14:anchorId="76FA8D31" wp14:editId="66324F04">
                <wp:simplePos x="0" y="0"/>
                <wp:positionH relativeFrom="column">
                  <wp:posOffset>861207</wp:posOffset>
                </wp:positionH>
                <wp:positionV relativeFrom="paragraph">
                  <wp:posOffset>2772850</wp:posOffset>
                </wp:positionV>
                <wp:extent cx="2549525" cy="298939"/>
                <wp:effectExtent l="0" t="0" r="0" b="6350"/>
                <wp:wrapNone/>
                <wp:docPr id="1266199308" name="Text Box 17"/>
                <wp:cNvGraphicFramePr/>
                <a:graphic xmlns:a="http://schemas.openxmlformats.org/drawingml/2006/main">
                  <a:graphicData uri="http://schemas.microsoft.com/office/word/2010/wordprocessingShape">
                    <wps:wsp>
                      <wps:cNvSpPr txBox="1"/>
                      <wps:spPr>
                        <a:xfrm>
                          <a:off x="0" y="0"/>
                          <a:ext cx="2549525" cy="298939"/>
                        </a:xfrm>
                        <a:prstGeom prst="rect">
                          <a:avLst/>
                        </a:prstGeom>
                        <a:noFill/>
                        <a:ln w="6350">
                          <a:noFill/>
                        </a:ln>
                      </wps:spPr>
                      <wps:txbx>
                        <w:txbxContent>
                          <w:p w14:paraId="4A1DD729" w14:textId="3AC2F3A8" w:rsidR="002A0322" w:rsidRPr="00136313" w:rsidRDefault="002A0322" w:rsidP="002A0322">
                            <w:pPr>
                              <w:jc w:val="center"/>
                              <w:rPr>
                                <w:rFonts w:asciiTheme="majorHAnsi" w:hAnsiTheme="majorHAnsi" w:cstheme="majorHAnsi"/>
                                <w:color w:val="548DD4" w:themeColor="text2" w:themeTint="99"/>
                                <w:sz w:val="32"/>
                                <w:szCs w:val="32"/>
                              </w:rPr>
                            </w:pPr>
                            <w:r w:rsidRPr="002A0322">
                              <w:rPr>
                                <w:rFonts w:asciiTheme="majorHAnsi" w:hAnsiTheme="majorHAnsi" w:cstheme="majorHAnsi"/>
                                <w:b/>
                                <w:color w:val="548DD4" w:themeColor="text2" w:themeTint="99"/>
                                <w:sz w:val="32"/>
                                <w:szCs w:val="32"/>
                              </w:rPr>
                              <w:t>Function of the Service</w:t>
                            </w:r>
                          </w:p>
                          <w:p w14:paraId="75D425F2" w14:textId="77777777" w:rsidR="002A0322" w:rsidRDefault="002A0322" w:rsidP="002A032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FA8D31" id="_x0000_s1032" type="#_x0000_t202" style="position:absolute;margin-left:67.8pt;margin-top:218.35pt;width:200.75pt;height:23.5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" filled="f" stroked="f" strokeweight=".5pt">
                <v:textbox>
                  <w:txbxContent>
                    <w:p w14:paraId="4A1DD729" w14:textId="3AC2F3A8" w:rsidR="002A0322" w:rsidRPr="00136313" w:rsidRDefault="002A0322" w:rsidP="002A0322">
                      <w:pPr>
                        <w:jc w:val="center"/>
                        <w:rPr>
                          <w:rFonts w:asciiTheme="majorHAnsi" w:hAnsiTheme="majorHAnsi" w:cstheme="majorHAnsi"/>
                          <w:color w:val="548DD4" w:themeColor="text2" w:themeTint="99"/>
                          <w:sz w:val="32"/>
                          <w:szCs w:val="32"/>
                        </w:rPr>
                      </w:pPr>
                      <w:r w:rsidRPr="002A0322">
                        <w:rPr>
                          <w:rFonts w:asciiTheme="majorHAnsi" w:hAnsiTheme="majorHAnsi" w:cstheme="majorHAnsi"/>
                          <w:b/>
                          <w:color w:val="548DD4" w:themeColor="text2" w:themeTint="99"/>
                          <w:sz w:val="32"/>
                          <w:szCs w:val="32"/>
                        </w:rPr>
                        <w:t>Function of the Service</w:t>
                      </w:r>
                    </w:p>
                    <w:p w14:paraId="75D425F2" w14:textId="77777777" w:rsidR="002A0322" w:rsidRDefault="002A0322" w:rsidP="002A0322">
                      <w:pPr>
                        <w:jc w:val="center"/>
                      </w:pPr>
                    </w:p>
                  </w:txbxContent>
                </v:textbox>
              </v:shape>
            </w:pict>
          </mc:Fallback>
        </mc:AlternateContent>
      </w:r>
      <w:r w:rsidR="000B63E6">
        <w:rPr>
          <w:noProof/>
        </w:rPr>
        <mc:AlternateContent>
          <mc:Choice Requires="wps">
            <w:drawing>
              <wp:anchor distT="0" distB="0" distL="114300" distR="114300" simplePos="0" relativeHeight="251691008" behindDoc="0" locked="0" layoutInCell="1" allowOverlap="1" wp14:anchorId="26726D5D" wp14:editId="0AAF1F4E">
                <wp:simplePos x="0" y="0"/>
                <wp:positionH relativeFrom="margin">
                  <wp:posOffset>-110490</wp:posOffset>
                </wp:positionH>
                <wp:positionV relativeFrom="paragraph">
                  <wp:posOffset>3129818</wp:posOffset>
                </wp:positionV>
                <wp:extent cx="4512945" cy="2022231"/>
                <wp:effectExtent l="0" t="0" r="20955" b="16510"/>
                <wp:wrapNone/>
                <wp:docPr id="1635827794" name="Text Box 16"/>
                <wp:cNvGraphicFramePr/>
                <a:graphic xmlns:a="http://schemas.openxmlformats.org/drawingml/2006/main">
                  <a:graphicData uri="http://schemas.microsoft.com/office/word/2010/wordprocessingShape">
                    <wps:wsp>
                      <wps:cNvSpPr txBox="1"/>
                      <wps:spPr>
                        <a:xfrm>
                          <a:off x="0" y="0"/>
                          <a:ext cx="4512945" cy="2022231"/>
                        </a:xfrm>
                        <a:prstGeom prst="rect">
                          <a:avLst/>
                        </a:prstGeom>
                        <a:gradFill flip="none" rotWithShape="1">
                          <a:gsLst>
                            <a:gs pos="0">
                              <a:schemeClr val="accent1">
                                <a:lumMod val="5000"/>
                                <a:lumOff val="95000"/>
                                <a:alpha val="3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tileRect/>
                        </a:gradFill>
                        <a:ln w="12700">
                          <a:solidFill>
                            <a:schemeClr val="tx2">
                              <a:lumMod val="60000"/>
                              <a:lumOff val="40000"/>
                            </a:schemeClr>
                          </a:solidFill>
                        </a:ln>
                      </wps:spPr>
                      <wps:txbx>
                        <w:txbxContent>
                          <w:p w14:paraId="5F793FF7" w14:textId="74331FCF" w:rsidR="009024FA" w:rsidRPr="002A0322" w:rsidRDefault="009024FA" w:rsidP="009024FA">
                            <w:pPr>
                              <w:rPr>
                                <w:b/>
                                <w:color w:val="17365D" w:themeColor="text2" w:themeShade="BF"/>
                                <w:sz w:val="18"/>
                                <w:szCs w:val="18"/>
                              </w:rPr>
                            </w:pPr>
                            <w:r w:rsidRPr="002A0322">
                              <w:rPr>
                                <w:rFonts w:ascii="Calibri" w:hAnsi="Calibri" w:cs="Calibri"/>
                                <w:sz w:val="18"/>
                                <w:szCs w:val="18"/>
                              </w:rPr>
                              <w:t>EOCs handle NHS 111 referrals and 999 calls using structured algorithms and decision support. They offer guidance, assess patient needs and prioritise responses using ARP categories (1–4) (NHS England, 2017).</w:t>
                            </w:r>
                          </w:p>
                          <w:p w14:paraId="3DC95B96" w14:textId="77777777" w:rsidR="002A0322" w:rsidRDefault="009024FA" w:rsidP="009024FA">
                            <w:pPr>
                              <w:rPr>
                                <w:rFonts w:ascii="Calibri" w:hAnsi="Calibri" w:cs="Calibri"/>
                                <w:b/>
                                <w:bCs/>
                                <w:sz w:val="18"/>
                                <w:szCs w:val="18"/>
                                <w:u w:val="single"/>
                              </w:rPr>
                            </w:pPr>
                            <w:r w:rsidRPr="002A0322">
                              <w:rPr>
                                <w:rFonts w:ascii="Calibri" w:hAnsi="Calibri" w:cs="Calibri"/>
                                <w:sz w:val="18"/>
                                <w:szCs w:val="18"/>
                              </w:rPr>
                              <w:br/>
                            </w:r>
                            <w:r w:rsidRPr="003B46BA">
                              <w:rPr>
                                <w:rFonts w:ascii="Calibri" w:hAnsi="Calibri" w:cs="Calibri"/>
                                <w:b/>
                                <w:bCs/>
                                <w:sz w:val="22"/>
                                <w:szCs w:val="22"/>
                                <w:u w:val="single"/>
                              </w:rPr>
                              <w:t>Response models:</w:t>
                            </w:r>
                          </w:p>
                          <w:p w14:paraId="6F01CE47" w14:textId="1D7C1F4C" w:rsidR="009024FA" w:rsidRPr="002A0322" w:rsidRDefault="009024FA" w:rsidP="009024FA">
                            <w:pPr>
                              <w:rPr>
                                <w:rFonts w:ascii="Calibri" w:hAnsi="Calibri" w:cs="Calibri"/>
                                <w:b/>
                                <w:bCs/>
                                <w:sz w:val="18"/>
                                <w:szCs w:val="18"/>
                                <w:u w:val="single"/>
                              </w:rPr>
                            </w:pPr>
                            <w:r w:rsidRPr="002A0322">
                              <w:rPr>
                                <w:rFonts w:ascii="Calibri" w:hAnsi="Calibri" w:cs="Calibri"/>
                                <w:sz w:val="18"/>
                                <w:szCs w:val="18"/>
                              </w:rPr>
                              <w:br/>
                              <w:t xml:space="preserve">• </w:t>
                            </w:r>
                            <w:r w:rsidRPr="002A0322">
                              <w:rPr>
                                <w:rFonts w:ascii="Calibri" w:hAnsi="Calibri" w:cs="Calibri"/>
                                <w:b/>
                                <w:bCs/>
                                <w:color w:val="00B0F0"/>
                                <w:sz w:val="18"/>
                                <w:szCs w:val="18"/>
                              </w:rPr>
                              <w:t>Hear and treat</w:t>
                            </w:r>
                            <w:r w:rsidRPr="002A0322">
                              <w:rPr>
                                <w:rFonts w:ascii="Calibri" w:hAnsi="Calibri" w:cs="Calibri"/>
                                <w:sz w:val="18"/>
                                <w:szCs w:val="18"/>
                              </w:rPr>
                              <w:t>: A clinician may schedule UTC appointments, give evaluation and advice over the phone or via video and arrange prescriptions or further referrals if needed.</w:t>
                            </w:r>
                            <w:r w:rsidRPr="002A0322">
                              <w:rPr>
                                <w:rFonts w:ascii="Calibri" w:hAnsi="Calibri" w:cs="Calibri"/>
                                <w:sz w:val="18"/>
                                <w:szCs w:val="18"/>
                              </w:rPr>
                              <w:br/>
                              <w:t xml:space="preserve">• </w:t>
                            </w:r>
                            <w:r w:rsidRPr="002A0322">
                              <w:rPr>
                                <w:rFonts w:ascii="Calibri" w:hAnsi="Calibri" w:cs="Calibri"/>
                                <w:b/>
                                <w:bCs/>
                                <w:color w:val="7030A0"/>
                                <w:sz w:val="18"/>
                                <w:szCs w:val="18"/>
                              </w:rPr>
                              <w:t>See and treat</w:t>
                            </w:r>
                            <w:r w:rsidRPr="002A0322">
                              <w:rPr>
                                <w:rFonts w:ascii="Calibri" w:hAnsi="Calibri" w:cs="Calibri"/>
                                <w:sz w:val="18"/>
                                <w:szCs w:val="18"/>
                              </w:rPr>
                              <w:t>: A staff member evaluates the patient on the spot and handles any necessary treatment without transport, such as dressing wounds, administering painkillers, putting up safety nets or referring the patient to local resources.</w:t>
                            </w:r>
                            <w:r w:rsidRPr="002A0322">
                              <w:rPr>
                                <w:rFonts w:ascii="Calibri" w:hAnsi="Calibri" w:cs="Calibri"/>
                                <w:sz w:val="18"/>
                                <w:szCs w:val="18"/>
                              </w:rPr>
                              <w:br/>
                              <w:t>•</w:t>
                            </w:r>
                            <w:r w:rsidRPr="002A0322">
                              <w:rPr>
                                <w:sz w:val="18"/>
                                <w:szCs w:val="18"/>
                              </w:rPr>
                              <w:t xml:space="preserve"> </w:t>
                            </w:r>
                            <w:r w:rsidRPr="002A0322">
                              <w:rPr>
                                <w:rFonts w:ascii="Calibri" w:hAnsi="Calibri" w:cs="Calibri"/>
                                <w:b/>
                                <w:bCs/>
                                <w:color w:val="943634" w:themeColor="accent2" w:themeShade="BF"/>
                                <w:sz w:val="18"/>
                                <w:szCs w:val="18"/>
                              </w:rPr>
                              <w:t>See and convey</w:t>
                            </w:r>
                            <w:r w:rsidRPr="002A0322">
                              <w:rPr>
                                <w:rFonts w:ascii="Calibri" w:hAnsi="Calibri" w:cs="Calibri"/>
                                <w:sz w:val="18"/>
                                <w:szCs w:val="18"/>
                              </w:rPr>
                              <w:t>: Instead of going to the closest emergency department, patients who require hospital care are taken to the most suitable location (specialist centre or UTC).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726D5D" id="_x0000_s1033" type="#_x0000_t202" style="position:absolute;margin-left:-8.7pt;margin-top:246.45pt;width:355.35pt;height:159.25pt;z-index:2516910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" fillcolor="#f6f8fb [180]" strokecolor="#548dd4 [1951]" strokeweight="1pt">
                <v:fill color2="#cad9eb [980]" o:opacity2="20971f" rotate="t" angle="180" colors="0 #f6f9fc;48497f #b0c6e1;54395f #b0c6e1;1 #cad9eb" focus="100%" type="gradient"/>
                <v:textbox>
                  <w:txbxContent>
                    <w:p w14:paraId="5F793FF7" w14:textId="74331FCF" w:rsidR="009024FA" w:rsidRPr="002A0322" w:rsidRDefault="009024FA" w:rsidP="009024FA">
                      <w:pPr>
                        <w:rPr>
                          <w:b/>
                          <w:color w:val="17365D" w:themeColor="text2" w:themeShade="BF"/>
                          <w:sz w:val="18"/>
                          <w:szCs w:val="18"/>
                        </w:rPr>
                      </w:pPr>
                      <w:r w:rsidRPr="002A0322">
                        <w:rPr>
                          <w:rFonts w:ascii="Calibri" w:hAnsi="Calibri" w:cs="Calibri"/>
                          <w:sz w:val="18"/>
                          <w:szCs w:val="18"/>
                        </w:rPr>
                        <w:t>EOCs handle NHS 111 referrals and 999 calls using structured algorithms and decision support. They offer guidance, assess patient needs and prioritise responses using ARP categories (1–4) (NHS England, 2017).</w:t>
                      </w:r>
                    </w:p>
                    <w:p w14:paraId="3DC95B96" w14:textId="77777777" w:rsidR="002A0322" w:rsidRDefault="009024FA" w:rsidP="009024FA">
                      <w:pPr>
                        <w:rPr>
                          <w:rFonts w:ascii="Calibri" w:hAnsi="Calibri" w:cs="Calibri"/>
                          <w:b/>
                          <w:bCs/>
                          <w:sz w:val="18"/>
                          <w:szCs w:val="18"/>
                          <w:u w:val="single"/>
                        </w:rPr>
                      </w:pPr>
                      <w:r w:rsidRPr="002A0322">
                        <w:rPr>
                          <w:rFonts w:ascii="Calibri" w:hAnsi="Calibri" w:cs="Calibri"/>
                          <w:sz w:val="18"/>
                          <w:szCs w:val="18"/>
                        </w:rPr>
                        <w:br/>
                      </w:r>
                      <w:r w:rsidRPr="003B46BA">
                        <w:rPr>
                          <w:rFonts w:ascii="Calibri" w:hAnsi="Calibri" w:cs="Calibri"/>
                          <w:b/>
                          <w:bCs/>
                          <w:sz w:val="22"/>
                          <w:szCs w:val="22"/>
                          <w:u w:val="single"/>
                        </w:rPr>
                        <w:t>Response models:</w:t>
                      </w:r>
                    </w:p>
                    <w:p w14:paraId="6F01CE47" w14:textId="1D7C1F4C" w:rsidR="009024FA" w:rsidRPr="002A0322" w:rsidRDefault="009024FA" w:rsidP="009024FA">
                      <w:pPr>
                        <w:rPr>
                          <w:rFonts w:ascii="Calibri" w:hAnsi="Calibri" w:cs="Calibri"/>
                          <w:b/>
                          <w:bCs/>
                          <w:sz w:val="18"/>
                          <w:szCs w:val="18"/>
                          <w:u w:val="single"/>
                        </w:rPr>
                      </w:pPr>
                      <w:r w:rsidRPr="002A0322">
                        <w:rPr>
                          <w:rFonts w:ascii="Calibri" w:hAnsi="Calibri" w:cs="Calibri"/>
                          <w:sz w:val="18"/>
                          <w:szCs w:val="18"/>
                        </w:rPr>
                        <w:br/>
                        <w:t xml:space="preserve">• </w:t>
                      </w:r>
                      <w:r w:rsidRPr="002A0322">
                        <w:rPr>
                          <w:rFonts w:ascii="Calibri" w:hAnsi="Calibri" w:cs="Calibri"/>
                          <w:b/>
                          <w:bCs/>
                          <w:color w:val="00B0F0"/>
                          <w:sz w:val="18"/>
                          <w:szCs w:val="18"/>
                        </w:rPr>
                        <w:t>Hear and treat</w:t>
                      </w:r>
                      <w:r w:rsidRPr="002A0322">
                        <w:rPr>
                          <w:rFonts w:ascii="Calibri" w:hAnsi="Calibri" w:cs="Calibri"/>
                          <w:sz w:val="18"/>
                          <w:szCs w:val="18"/>
                        </w:rPr>
                        <w:t>: A clinician may schedule UTC appointments, give evaluation and advice over the phone or via video and arrange prescriptions or further referrals if needed.</w:t>
                      </w:r>
                      <w:r w:rsidRPr="002A0322">
                        <w:rPr>
                          <w:rFonts w:ascii="Calibri" w:hAnsi="Calibri" w:cs="Calibri"/>
                          <w:sz w:val="18"/>
                          <w:szCs w:val="18"/>
                        </w:rPr>
                        <w:br/>
                        <w:t xml:space="preserve">• </w:t>
                      </w:r>
                      <w:r w:rsidRPr="002A0322">
                        <w:rPr>
                          <w:rFonts w:ascii="Calibri" w:hAnsi="Calibri" w:cs="Calibri"/>
                          <w:b/>
                          <w:bCs/>
                          <w:color w:val="7030A0"/>
                          <w:sz w:val="18"/>
                          <w:szCs w:val="18"/>
                        </w:rPr>
                        <w:t>See and treat</w:t>
                      </w:r>
                      <w:r w:rsidRPr="002A0322">
                        <w:rPr>
                          <w:rFonts w:ascii="Calibri" w:hAnsi="Calibri" w:cs="Calibri"/>
                          <w:sz w:val="18"/>
                          <w:szCs w:val="18"/>
                        </w:rPr>
                        <w:t>: A staff member evaluates the patient on the spot and handles any necessary treatment without transport, such as dressing wounds, administering painkillers, putting up safety nets or referring the patient to local resources.</w:t>
                      </w:r>
                      <w:r w:rsidRPr="002A0322">
                        <w:rPr>
                          <w:rFonts w:ascii="Calibri" w:hAnsi="Calibri" w:cs="Calibri"/>
                          <w:sz w:val="18"/>
                          <w:szCs w:val="18"/>
                        </w:rPr>
                        <w:br/>
                        <w:t>•</w:t>
                      </w:r>
                      <w:r w:rsidRPr="002A0322">
                        <w:rPr>
                          <w:sz w:val="18"/>
                          <w:szCs w:val="18"/>
                        </w:rPr>
                        <w:t xml:space="preserve"> </w:t>
                      </w:r>
                      <w:r w:rsidRPr="002A0322">
                        <w:rPr>
                          <w:rFonts w:ascii="Calibri" w:hAnsi="Calibri" w:cs="Calibri"/>
                          <w:b/>
                          <w:bCs/>
                          <w:color w:val="943634" w:themeColor="accent2" w:themeShade="BF"/>
                          <w:sz w:val="18"/>
                          <w:szCs w:val="18"/>
                        </w:rPr>
                        <w:t>See and convey</w:t>
                      </w:r>
                      <w:r w:rsidRPr="002A0322">
                        <w:rPr>
                          <w:rFonts w:ascii="Calibri" w:hAnsi="Calibri" w:cs="Calibri"/>
                          <w:sz w:val="18"/>
                          <w:szCs w:val="18"/>
                        </w:rPr>
                        <w:t>: Instead of going to the closest emergency department, patients who require hospital care are taken to the most suitable location (specialist centre or UTC).</w:t>
                      </w:r>
                    </w:p>
                  </w:txbxContent>
                </v:textbox>
                <w10:wrap anchorx="margin"/>
              </v:shape>
            </w:pict>
          </mc:Fallback>
        </mc:AlternateContent>
      </w:r>
      <w:r w:rsidR="000B63E6" w:rsidRPr="00911F65">
        <w:rPr>
          <w:b/>
          <w:noProof/>
          <w:sz w:val="32"/>
          <w:szCs w:val="32"/>
        </w:rPr>
        <mc:AlternateContent>
          <mc:Choice Requires="wps">
            <w:drawing>
              <wp:anchor distT="0" distB="0" distL="114300" distR="114300" simplePos="0" relativeHeight="251700224" behindDoc="0" locked="0" layoutInCell="1" allowOverlap="1" wp14:anchorId="2DFC84D7" wp14:editId="14A39C9F">
                <wp:simplePos x="0" y="0"/>
                <wp:positionH relativeFrom="column">
                  <wp:posOffset>-104628</wp:posOffset>
                </wp:positionH>
                <wp:positionV relativeFrom="paragraph">
                  <wp:posOffset>5234940</wp:posOffset>
                </wp:positionV>
                <wp:extent cx="4495165" cy="767862"/>
                <wp:effectExtent l="0" t="0" r="19685" b="13335"/>
                <wp:wrapNone/>
                <wp:docPr id="1647558071" name="Text Box 23"/>
                <wp:cNvGraphicFramePr/>
                <a:graphic xmlns:a="http://schemas.openxmlformats.org/drawingml/2006/main">
                  <a:graphicData uri="http://schemas.microsoft.com/office/word/2010/wordprocessingShape">
                    <wps:wsp>
                      <wps:cNvSpPr txBox="1"/>
                      <wps:spPr>
                        <a:xfrm>
                          <a:off x="0" y="0"/>
                          <a:ext cx="4495165" cy="767862"/>
                        </a:xfrm>
                        <a:prstGeom prst="rect">
                          <a:avLst/>
                        </a:prstGeom>
                        <a:solidFill>
                          <a:sysClr val="window" lastClr="FFFFFF"/>
                        </a:solidFill>
                        <a:ln w="6350">
                          <a:solidFill>
                            <a:prstClr val="black"/>
                          </a:solidFill>
                        </a:ln>
                      </wps:spPr>
                      <wps:txbx>
                        <w:txbxContent>
                          <w:p w14:paraId="44590976" w14:textId="77777777" w:rsidR="002A0322" w:rsidRPr="003B1333" w:rsidRDefault="002A0322" w:rsidP="002A0322">
                            <w:pPr>
                              <w:rPr>
                                <w:sz w:val="8"/>
                                <w:szCs w:val="8"/>
                              </w:rPr>
                            </w:pPr>
                            <w:r w:rsidRPr="003B1333">
                              <w:rPr>
                                <w:sz w:val="16"/>
                                <w:szCs w:val="16"/>
                              </w:rPr>
                              <w:t>Reference</w:t>
                            </w:r>
                            <w:r>
                              <w:br/>
                            </w:r>
                            <w:r w:rsidRPr="002D2DFD">
                              <w:rPr>
                                <w:sz w:val="8"/>
                                <w:szCs w:val="8"/>
                              </w:rPr>
                              <w:t>(EMSUK LEARNING</w:t>
                            </w:r>
                            <w:r w:rsidRPr="003B1333">
                              <w:rPr>
                                <w:sz w:val="8"/>
                                <w:szCs w:val="8"/>
                              </w:rPr>
                              <w:t xml:space="preserve">, </w:t>
                            </w:r>
                            <w:r w:rsidRPr="002D2DFD">
                              <w:rPr>
                                <w:sz w:val="8"/>
                                <w:szCs w:val="8"/>
                              </w:rPr>
                              <w:t>2023) History of UK ambulance services</w:t>
                            </w:r>
                            <w:r w:rsidRPr="003B1333">
                              <w:rPr>
                                <w:sz w:val="8"/>
                                <w:szCs w:val="8"/>
                              </w:rPr>
                              <w:t>.</w:t>
                            </w:r>
                            <w:r w:rsidRPr="002D2DFD">
                              <w:rPr>
                                <w:sz w:val="8"/>
                                <w:szCs w:val="8"/>
                              </w:rPr>
                              <w:t xml:space="preserve"> Available at: https://www.emsuklearning.co.uk/history-of-uk-ambulance-services/ (Accessed: 05 October 2025). </w:t>
                            </w:r>
                          </w:p>
                          <w:p w14:paraId="26CCD547" w14:textId="77777777" w:rsidR="002A0322" w:rsidRPr="003B1333" w:rsidRDefault="002A0322" w:rsidP="002A0322">
                            <w:pPr>
                              <w:rPr>
                                <w:sz w:val="8"/>
                                <w:szCs w:val="8"/>
                              </w:rPr>
                            </w:pPr>
                            <w:r w:rsidRPr="003B1333">
                              <w:rPr>
                                <w:sz w:val="8"/>
                                <w:szCs w:val="8"/>
                              </w:rPr>
                              <w:t>(NHS England, 2017) NHS England Ambulance Response Programme, England.nhs.uk. Available at: https://www.england.nhs.uk/urgent-emergency-care/improving-ambulance-services/arp/</w:t>
                            </w:r>
                            <w:r w:rsidRPr="006218D3">
                              <w:rPr>
                                <w:sz w:val="8"/>
                                <w:szCs w:val="8"/>
                              </w:rPr>
                              <w:t>(Accessed: 05 October 2025).</w:t>
                            </w:r>
                          </w:p>
                          <w:p w14:paraId="1B1EBD5E" w14:textId="77777777" w:rsidR="002A0322" w:rsidRPr="003B1333" w:rsidRDefault="002A0322" w:rsidP="002A0322">
                            <w:pPr>
                              <w:rPr>
                                <w:sz w:val="8"/>
                                <w:szCs w:val="8"/>
                              </w:rPr>
                            </w:pPr>
                            <w:r w:rsidRPr="006218D3">
                              <w:rPr>
                                <w:sz w:val="8"/>
                                <w:szCs w:val="8"/>
                              </w:rPr>
                              <w:t>(</w:t>
                            </w:r>
                            <w:r w:rsidRPr="003B1333">
                              <w:rPr>
                                <w:sz w:val="8"/>
                                <w:szCs w:val="8"/>
                              </w:rPr>
                              <w:t>NHS England, 2018</w:t>
                            </w:r>
                            <w:r w:rsidRPr="006218D3">
                              <w:rPr>
                                <w:sz w:val="8"/>
                                <w:szCs w:val="8"/>
                              </w:rPr>
                              <w:t xml:space="preserve">) Ambulance response programme review. Available at: https://www.england.nhs.uk/wp-content/uploads/2018/10/ambulance-response-programme-review.pdf </w:t>
                            </w:r>
                            <w:r w:rsidRPr="003B1333">
                              <w:rPr>
                                <w:sz w:val="8"/>
                                <w:szCs w:val="8"/>
                              </w:rPr>
                              <w:t xml:space="preserve">.Page 28 </w:t>
                            </w:r>
                            <w:r w:rsidRPr="006218D3">
                              <w:rPr>
                                <w:sz w:val="8"/>
                                <w:szCs w:val="8"/>
                              </w:rPr>
                              <w:t xml:space="preserve">(Accessed: 05 October 2025). </w:t>
                            </w:r>
                          </w:p>
                          <w:p w14:paraId="055377F3" w14:textId="77777777" w:rsidR="002A0322" w:rsidRPr="003B1333" w:rsidRDefault="002A0322" w:rsidP="002A0322">
                            <w:pPr>
                              <w:rPr>
                                <w:sz w:val="8"/>
                                <w:szCs w:val="8"/>
                              </w:rPr>
                            </w:pPr>
                            <w:r w:rsidRPr="003B1333">
                              <w:rPr>
                                <w:sz w:val="8"/>
                                <w:szCs w:val="8"/>
                              </w:rPr>
                              <w:t xml:space="preserve">(Ninegrp, 2025) </w:t>
                            </w:r>
                            <w:r w:rsidRPr="00EF5134">
                              <w:rPr>
                                <w:sz w:val="8"/>
                                <w:szCs w:val="8"/>
                              </w:rPr>
                              <w:t>Nine Group International LTD. Available at: https://ninegrp.com/pages/the-history-of-emergency-services-in-the</w:t>
                            </w:r>
                            <w:r w:rsidRPr="003B1333">
                              <w:rPr>
                                <w:sz w:val="8"/>
                                <w:szCs w:val="8"/>
                              </w:rPr>
                              <w:t xml:space="preserve"> </w:t>
                            </w:r>
                            <w:r w:rsidRPr="00EF5134">
                              <w:rPr>
                                <w:sz w:val="8"/>
                                <w:szCs w:val="8"/>
                              </w:rPr>
                              <w:t xml:space="preserve">uk#:~:text=The%20ambulance%20service%20might%20have,a%20house%20fire%20in%201935. (Accessed: 05 October 2025). </w:t>
                            </w:r>
                          </w:p>
                          <w:p w14:paraId="6E2D4C9D" w14:textId="77777777" w:rsidR="002A0322" w:rsidRPr="003B1333" w:rsidRDefault="002A0322" w:rsidP="002A0322">
                            <w:pPr>
                              <w:rPr>
                                <w:sz w:val="8"/>
                                <w:szCs w:val="8"/>
                              </w:rPr>
                            </w:pPr>
                            <w:r w:rsidRPr="003B1333">
                              <w:rPr>
                                <w:sz w:val="8"/>
                                <w:szCs w:val="8"/>
                              </w:rPr>
                              <w:t>(</w:t>
                            </w:r>
                            <w:r w:rsidRPr="000A66B4">
                              <w:rPr>
                                <w:sz w:val="8"/>
                                <w:szCs w:val="8"/>
                              </w:rPr>
                              <w:t>Nuffield Trust</w:t>
                            </w:r>
                            <w:r w:rsidRPr="003B1333">
                              <w:rPr>
                                <w:sz w:val="8"/>
                                <w:szCs w:val="8"/>
                              </w:rPr>
                              <w:t xml:space="preserve">, 2025a) </w:t>
                            </w:r>
                            <w:r w:rsidRPr="000A66B4">
                              <w:rPr>
                                <w:sz w:val="8"/>
                                <w:szCs w:val="8"/>
                              </w:rPr>
                              <w:t xml:space="preserve">Ambulance handover delays. Available at: https://www.nuffieldtrust.org.uk/resource/ambulance-handover-delays (Accessed: 05 October 2025). </w:t>
                            </w:r>
                          </w:p>
                          <w:p w14:paraId="5AE10ABC" w14:textId="77777777" w:rsidR="002A0322" w:rsidRPr="001F3CD5" w:rsidRDefault="002A0322" w:rsidP="002A0322">
                            <w:pPr>
                              <w:spacing w:line="276" w:lineRule="auto"/>
                              <w:rPr>
                                <w:sz w:val="8"/>
                                <w:szCs w:val="8"/>
                              </w:rPr>
                            </w:pPr>
                            <w:r w:rsidRPr="003B1333">
                              <w:rPr>
                                <w:sz w:val="8"/>
                                <w:szCs w:val="8"/>
                              </w:rPr>
                              <w:t>(</w:t>
                            </w:r>
                            <w:r w:rsidRPr="000A66B4">
                              <w:rPr>
                                <w:sz w:val="8"/>
                                <w:szCs w:val="8"/>
                              </w:rPr>
                              <w:t>Nuffield Trust</w:t>
                            </w:r>
                            <w:r w:rsidRPr="003B1333">
                              <w:rPr>
                                <w:sz w:val="8"/>
                                <w:szCs w:val="8"/>
                              </w:rPr>
                              <w:t xml:space="preserve">, 2025b) </w:t>
                            </w:r>
                            <w:r w:rsidRPr="001F3CD5">
                              <w:rPr>
                                <w:sz w:val="8"/>
                                <w:szCs w:val="8"/>
                              </w:rPr>
                              <w:t xml:space="preserve">Ambulance response times Nuffield Trust. Available at: https://www.nuffieldtrust.org.uk/resource/ambulance-response-times (Accessed: 05 October 2025). </w:t>
                            </w:r>
                          </w:p>
                          <w:p w14:paraId="0665B720" w14:textId="77777777" w:rsidR="002A0322" w:rsidRDefault="002A0322" w:rsidP="002A03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C84D7" id="Text Box 23" o:spid="_x0000_s1034" type="#_x0000_t202" style="position:absolute;margin-left:-8.25pt;margin-top:412.2pt;width:353.95pt;height:60.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" fillcolor="window" strokeweight=".5pt">
                <v:textbox>
                  <w:txbxContent>
                    <w:p w14:paraId="44590976" w14:textId="77777777" w:rsidR="002A0322" w:rsidRPr="003B1333" w:rsidRDefault="002A0322" w:rsidP="002A0322">
                      <w:pPr>
                        <w:rPr>
                          <w:sz w:val="8"/>
                          <w:szCs w:val="8"/>
                        </w:rPr>
                      </w:pPr>
                      <w:r w:rsidRPr="003B1333">
                        <w:rPr>
                          <w:sz w:val="16"/>
                          <w:szCs w:val="16"/>
                        </w:rPr>
                        <w:t>Reference</w:t>
                      </w:r>
                      <w:r>
                        <w:br/>
                      </w:r>
                      <w:r w:rsidRPr="002D2DFD">
                        <w:rPr>
                          <w:sz w:val="8"/>
                          <w:szCs w:val="8"/>
                        </w:rPr>
                        <w:t>(EMSUK LEARNING</w:t>
                      </w:r>
                      <w:r w:rsidRPr="003B1333">
                        <w:rPr>
                          <w:sz w:val="8"/>
                          <w:szCs w:val="8"/>
                        </w:rPr>
                        <w:t xml:space="preserve">, </w:t>
                      </w:r>
                      <w:r w:rsidRPr="002D2DFD">
                        <w:rPr>
                          <w:sz w:val="8"/>
                          <w:szCs w:val="8"/>
                        </w:rPr>
                        <w:t>2023) History of UK ambulance services</w:t>
                      </w:r>
                      <w:r w:rsidRPr="003B1333">
                        <w:rPr>
                          <w:sz w:val="8"/>
                          <w:szCs w:val="8"/>
                        </w:rPr>
                        <w:t>.</w:t>
                      </w:r>
                      <w:r w:rsidRPr="002D2DFD">
                        <w:rPr>
                          <w:sz w:val="8"/>
                          <w:szCs w:val="8"/>
                        </w:rPr>
                        <w:t xml:space="preserve"> Available at: https://www.emsuklearning.co.uk/history-of-uk-ambulance-services/ (Accessed: 05 October 2025). </w:t>
                      </w:r>
                    </w:p>
                    <w:p w14:paraId="26CCD547" w14:textId="77777777" w:rsidR="002A0322" w:rsidRPr="003B1333" w:rsidRDefault="002A0322" w:rsidP="002A0322">
                      <w:pPr>
                        <w:rPr>
                          <w:sz w:val="8"/>
                          <w:szCs w:val="8"/>
                        </w:rPr>
                      </w:pPr>
                      <w:r w:rsidRPr="003B1333">
                        <w:rPr>
                          <w:sz w:val="8"/>
                          <w:szCs w:val="8"/>
                        </w:rPr>
                        <w:t>(NHS England, 2017) NHS England Ambulance Response Programme, England.nhs.uk. Available at: https://www.england.nhs.uk/urgent-emergency-care/improving-ambulance-services/arp/</w:t>
                      </w:r>
                      <w:r w:rsidRPr="006218D3">
                        <w:rPr>
                          <w:sz w:val="8"/>
                          <w:szCs w:val="8"/>
                        </w:rPr>
                        <w:t>(Accessed: 05 October 2025).</w:t>
                      </w:r>
                    </w:p>
                    <w:p w14:paraId="1B1EBD5E" w14:textId="77777777" w:rsidR="002A0322" w:rsidRPr="003B1333" w:rsidRDefault="002A0322" w:rsidP="002A0322">
                      <w:pPr>
                        <w:rPr>
                          <w:sz w:val="8"/>
                          <w:szCs w:val="8"/>
                        </w:rPr>
                      </w:pPr>
                      <w:r w:rsidRPr="006218D3">
                        <w:rPr>
                          <w:sz w:val="8"/>
                          <w:szCs w:val="8"/>
                        </w:rPr>
                        <w:t>(</w:t>
                      </w:r>
                      <w:r w:rsidRPr="003B1333">
                        <w:rPr>
                          <w:sz w:val="8"/>
                          <w:szCs w:val="8"/>
                        </w:rPr>
                        <w:t>NHS England, 2018</w:t>
                      </w:r>
                      <w:r w:rsidRPr="006218D3">
                        <w:rPr>
                          <w:sz w:val="8"/>
                          <w:szCs w:val="8"/>
                        </w:rPr>
                        <w:t xml:space="preserve">) Ambulance response programme review. Available at: https://www.england.nhs.uk/wp-content/uploads/2018/10/ambulance-response-programme-review.pdf </w:t>
                      </w:r>
                      <w:r w:rsidRPr="003B1333">
                        <w:rPr>
                          <w:sz w:val="8"/>
                          <w:szCs w:val="8"/>
                        </w:rPr>
                        <w:t xml:space="preserve">.Page 28 </w:t>
                      </w:r>
                      <w:r w:rsidRPr="006218D3">
                        <w:rPr>
                          <w:sz w:val="8"/>
                          <w:szCs w:val="8"/>
                        </w:rPr>
                        <w:t xml:space="preserve">(Accessed: 05 October 2025). </w:t>
                      </w:r>
                    </w:p>
                    <w:p w14:paraId="055377F3" w14:textId="77777777" w:rsidR="002A0322" w:rsidRPr="003B1333" w:rsidRDefault="002A0322" w:rsidP="002A0322">
                      <w:pPr>
                        <w:rPr>
                          <w:sz w:val="8"/>
                          <w:szCs w:val="8"/>
                        </w:rPr>
                      </w:pPr>
                      <w:r w:rsidRPr="003B1333">
                        <w:rPr>
                          <w:sz w:val="8"/>
                          <w:szCs w:val="8"/>
                        </w:rPr>
                        <w:t xml:space="preserve">(Ninegrp, 2025) </w:t>
                      </w:r>
                      <w:r w:rsidRPr="00EF5134">
                        <w:rPr>
                          <w:sz w:val="8"/>
                          <w:szCs w:val="8"/>
                        </w:rPr>
                        <w:t>Nine Group International LTD. Available at: https://ninegrp.com/pages/the-history-of-emergency-services-in-the</w:t>
                      </w:r>
                      <w:r w:rsidRPr="003B1333">
                        <w:rPr>
                          <w:sz w:val="8"/>
                          <w:szCs w:val="8"/>
                        </w:rPr>
                        <w:t xml:space="preserve"> </w:t>
                      </w:r>
                      <w:r w:rsidRPr="00EF5134">
                        <w:rPr>
                          <w:sz w:val="8"/>
                          <w:szCs w:val="8"/>
                        </w:rPr>
                        <w:t xml:space="preserve">uk#:~:text=The%20ambulance%20service%20might%20have,a%20house%20fire%20in%201935. (Accessed: 05 October 2025). </w:t>
                      </w:r>
                    </w:p>
                    <w:p w14:paraId="6E2D4C9D" w14:textId="77777777" w:rsidR="002A0322" w:rsidRPr="003B1333" w:rsidRDefault="002A0322" w:rsidP="002A0322">
                      <w:pPr>
                        <w:rPr>
                          <w:sz w:val="8"/>
                          <w:szCs w:val="8"/>
                        </w:rPr>
                      </w:pPr>
                      <w:r w:rsidRPr="003B1333">
                        <w:rPr>
                          <w:sz w:val="8"/>
                          <w:szCs w:val="8"/>
                        </w:rPr>
                        <w:t>(</w:t>
                      </w:r>
                      <w:r w:rsidRPr="000A66B4">
                        <w:rPr>
                          <w:sz w:val="8"/>
                          <w:szCs w:val="8"/>
                        </w:rPr>
                        <w:t>Nuffield Trust</w:t>
                      </w:r>
                      <w:r w:rsidRPr="003B1333">
                        <w:rPr>
                          <w:sz w:val="8"/>
                          <w:szCs w:val="8"/>
                        </w:rPr>
                        <w:t xml:space="preserve">, 2025a) </w:t>
                      </w:r>
                      <w:r w:rsidRPr="000A66B4">
                        <w:rPr>
                          <w:sz w:val="8"/>
                          <w:szCs w:val="8"/>
                        </w:rPr>
                        <w:t xml:space="preserve">Ambulance handover delays. Available at: https://www.nuffieldtrust.org.uk/resource/ambulance-handover-delays (Accessed: 05 October 2025). </w:t>
                      </w:r>
                    </w:p>
                    <w:p w14:paraId="5AE10ABC" w14:textId="77777777" w:rsidR="002A0322" w:rsidRPr="001F3CD5" w:rsidRDefault="002A0322" w:rsidP="002A0322">
                      <w:pPr>
                        <w:spacing w:line="276" w:lineRule="auto"/>
                        <w:rPr>
                          <w:sz w:val="8"/>
                          <w:szCs w:val="8"/>
                        </w:rPr>
                      </w:pPr>
                      <w:r w:rsidRPr="003B1333">
                        <w:rPr>
                          <w:sz w:val="8"/>
                          <w:szCs w:val="8"/>
                        </w:rPr>
                        <w:t>(</w:t>
                      </w:r>
                      <w:r w:rsidRPr="000A66B4">
                        <w:rPr>
                          <w:sz w:val="8"/>
                          <w:szCs w:val="8"/>
                        </w:rPr>
                        <w:t>Nuffield Trust</w:t>
                      </w:r>
                      <w:r w:rsidRPr="003B1333">
                        <w:rPr>
                          <w:sz w:val="8"/>
                          <w:szCs w:val="8"/>
                        </w:rPr>
                        <w:t xml:space="preserve">, 2025b) </w:t>
                      </w:r>
                      <w:r w:rsidRPr="001F3CD5">
                        <w:rPr>
                          <w:sz w:val="8"/>
                          <w:szCs w:val="8"/>
                        </w:rPr>
                        <w:t xml:space="preserve">Ambulance response times Nuffield Trust. Available at: https://www.nuffieldtrust.org.uk/resource/ambulance-response-times (Accessed: 05 October 2025). </w:t>
                      </w:r>
                    </w:p>
                    <w:p w14:paraId="0665B720" w14:textId="77777777" w:rsidR="002A0322" w:rsidRDefault="002A0322" w:rsidP="002A0322"/>
                  </w:txbxContent>
                </v:textbox>
              </v:shape>
            </w:pict>
          </mc:Fallback>
        </mc:AlternateContent>
      </w:r>
      <w:r w:rsidR="009024FA">
        <w:rPr>
          <w:noProof/>
        </w:rPr>
        <w:drawing>
          <wp:anchor distT="0" distB="0" distL="114300" distR="114300" simplePos="0" relativeHeight="251683840" behindDoc="1" locked="0" layoutInCell="1" allowOverlap="1" wp14:anchorId="4F8221C6" wp14:editId="52D87154">
            <wp:simplePos x="0" y="0"/>
            <wp:positionH relativeFrom="page">
              <wp:align>left</wp:align>
            </wp:positionH>
            <wp:positionV relativeFrom="paragraph">
              <wp:posOffset>3834130</wp:posOffset>
            </wp:positionV>
            <wp:extent cx="10048884" cy="3069346"/>
            <wp:effectExtent l="0" t="0" r="0" b="0"/>
            <wp:wrapNone/>
            <wp:docPr id="13581419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141924" name="Picture 1358141924"/>
                    <pic:cNvPicPr/>
                  </pic:nvPicPr>
                  <pic:blipFill rotWithShape="1">
                    <a:blip r:embed="rId12"/>
                    <a:srcRect t="45933" b="-1"/>
                    <a:stretch>
                      <a:fillRect/>
                    </a:stretch>
                  </pic:blipFill>
                  <pic:spPr bwMode="auto">
                    <a:xfrm>
                      <a:off x="0" y="0"/>
                      <a:ext cx="10048884" cy="30693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1F65">
        <w:tab/>
      </w:r>
      <w:r w:rsidR="00911F65">
        <w:br w:type="page"/>
      </w:r>
    </w:p>
    <w:p w14:paraId="58994B23" w14:textId="77777777" w:rsidR="00911F65" w:rsidRPr="00911F65" w:rsidRDefault="00911F65" w:rsidP="00911F65">
      <w:pPr>
        <w:tabs>
          <w:tab w:val="left" w:pos="1108"/>
        </w:tabs>
        <w:sectPr w:rsidR="00911F65" w:rsidRPr="00911F65" w:rsidSect="00914A81">
          <w:pgSz w:w="15840" w:h="12240" w:orient="landscape"/>
          <w:pgMar w:top="720" w:right="720" w:bottom="720" w:left="720" w:header="0" w:footer="0" w:gutter="0"/>
          <w:cols w:space="720"/>
          <w:docGrid w:linePitch="360"/>
        </w:sectPr>
      </w:pPr>
    </w:p>
    <w:p w14:paraId="4AB3FE1A" w14:textId="6F5D96AE" w:rsidR="003152F7" w:rsidRDefault="00204BEC">
      <w:pPr>
        <w:rPr>
          <w:rFonts w:ascii="Arial" w:hAnsi="Arial" w:cs="Arial"/>
          <w:b/>
          <w:bCs/>
          <w:sz w:val="28"/>
          <w:szCs w:val="28"/>
          <w:u w:val="single"/>
        </w:rPr>
      </w:pPr>
      <w:r w:rsidRPr="001238AA">
        <w:rPr>
          <w:rFonts w:ascii="Arial" w:hAnsi="Arial" w:cs="Arial"/>
          <w:b/>
          <w:bCs/>
          <w:sz w:val="28"/>
          <w:szCs w:val="28"/>
          <w:u w:val="single"/>
        </w:rPr>
        <w:lastRenderedPageBreak/>
        <w:t>Task 2: Essay</w:t>
      </w:r>
    </w:p>
    <w:p w14:paraId="6159FE63" w14:textId="77777777" w:rsidR="009024FA" w:rsidRDefault="009024FA">
      <w:pPr>
        <w:rPr>
          <w:rFonts w:ascii="Arial" w:hAnsi="Arial" w:cs="Arial"/>
          <w:b/>
          <w:bCs/>
          <w:sz w:val="28"/>
          <w:szCs w:val="28"/>
          <w:u w:val="single"/>
        </w:rPr>
      </w:pPr>
    </w:p>
    <w:p w14:paraId="445743DA" w14:textId="5C67BD97" w:rsidR="00B01EFD" w:rsidRPr="00313AA7" w:rsidRDefault="00224ABB" w:rsidP="00224ABB">
      <w:pPr>
        <w:spacing w:line="360" w:lineRule="auto"/>
        <w:rPr>
          <w:rFonts w:ascii="Arial" w:hAnsi="Arial" w:cs="Arial"/>
          <w:sz w:val="22"/>
          <w:szCs w:val="22"/>
        </w:rPr>
      </w:pPr>
      <w:r w:rsidRPr="00224ABB">
        <w:rPr>
          <w:rFonts w:ascii="Arial" w:hAnsi="Arial" w:cs="Arial"/>
          <w:sz w:val="22"/>
          <w:szCs w:val="22"/>
        </w:rPr>
        <w:t>On July 5th 1948, the National Health Service (NHS) was established as Britain was being rebuilt after the war</w:t>
      </w:r>
      <w:r w:rsidR="0032355E" w:rsidRPr="00313AA7">
        <w:rPr>
          <w:rFonts w:ascii="Arial" w:hAnsi="Arial" w:cs="Arial"/>
          <w:sz w:val="22"/>
          <w:szCs w:val="22"/>
        </w:rPr>
        <w:t xml:space="preserve"> </w:t>
      </w:r>
      <w:r w:rsidR="0032355E" w:rsidRPr="00313AA7">
        <w:rPr>
          <w:rFonts w:ascii="Arial" w:hAnsi="Arial" w:cs="Arial"/>
          <w:sz w:val="22"/>
          <w:szCs w:val="22"/>
          <w:lang w:val="en-US"/>
        </w:rPr>
        <w:t>National Archives, 202</w:t>
      </w:r>
      <w:r w:rsidR="0032355E" w:rsidRPr="00313AA7">
        <w:rPr>
          <w:rFonts w:ascii="Arial" w:hAnsi="Arial" w:cs="Arial"/>
          <w:sz w:val="22"/>
          <w:szCs w:val="22"/>
        </w:rPr>
        <w:t>5)</w:t>
      </w:r>
      <w:r w:rsidRPr="00224ABB">
        <w:rPr>
          <w:rFonts w:ascii="Arial" w:hAnsi="Arial" w:cs="Arial"/>
          <w:sz w:val="22"/>
          <w:szCs w:val="22"/>
        </w:rPr>
        <w:t>. The Beveridge Report 1942, which suggested a comprehensive welfare settlement to address the "five giants" (Want, Disease, Ignorance, Squalor, and Idleness), served as the conceptual basis for it. In place of the contributory and charity reliant pre</w:t>
      </w:r>
      <w:r w:rsidR="0032355E" w:rsidRPr="00313AA7">
        <w:rPr>
          <w:rFonts w:ascii="Arial" w:hAnsi="Arial" w:cs="Arial"/>
          <w:sz w:val="22"/>
          <w:szCs w:val="22"/>
        </w:rPr>
        <w:t xml:space="preserve"> </w:t>
      </w:r>
      <w:r w:rsidRPr="00224ABB">
        <w:rPr>
          <w:rFonts w:ascii="Arial" w:hAnsi="Arial" w:cs="Arial"/>
          <w:sz w:val="22"/>
          <w:szCs w:val="22"/>
        </w:rPr>
        <w:t>NHS system, health services would be for all, comprehensive, and financed by general taxes</w:t>
      </w:r>
      <w:r w:rsidRPr="00313AA7">
        <w:rPr>
          <w:rFonts w:ascii="Arial" w:hAnsi="Arial" w:cs="Arial"/>
          <w:sz w:val="22"/>
          <w:szCs w:val="22"/>
        </w:rPr>
        <w:t xml:space="preserve"> </w:t>
      </w:r>
      <w:r w:rsidRPr="00313AA7">
        <w:rPr>
          <w:rFonts w:ascii="Arial" w:hAnsi="Arial" w:cs="Arial"/>
          <w:sz w:val="22"/>
          <w:szCs w:val="22"/>
          <w:lang w:val="en-US"/>
        </w:rPr>
        <w:t>(Parliament UK, 202</w:t>
      </w:r>
      <w:r w:rsidR="001630AC" w:rsidRPr="00313AA7">
        <w:rPr>
          <w:rFonts w:ascii="Arial" w:hAnsi="Arial" w:cs="Arial"/>
          <w:sz w:val="22"/>
          <w:szCs w:val="22"/>
        </w:rPr>
        <w:t>5</w:t>
      </w:r>
      <w:r w:rsidRPr="00313AA7">
        <w:rPr>
          <w:rFonts w:ascii="Arial" w:hAnsi="Arial" w:cs="Arial"/>
          <w:sz w:val="22"/>
          <w:szCs w:val="22"/>
          <w:lang w:val="en-US"/>
        </w:rPr>
        <w:t>)</w:t>
      </w:r>
      <w:r w:rsidRPr="00224ABB">
        <w:rPr>
          <w:rFonts w:ascii="Arial" w:hAnsi="Arial" w:cs="Arial"/>
          <w:sz w:val="22"/>
          <w:szCs w:val="22"/>
        </w:rPr>
        <w:t>. Aneurin Bevan pushed for the National Health Service Act of 1946, which established the legal basis for a free healthcare system. Britain was the first country in the West to provide this kind of care to all of its citizens. The NHS's credibility among the public is still defined by these core principles which are: equity, universality and care based on need rather than financial means</w:t>
      </w:r>
      <w:r w:rsidR="001630AC" w:rsidRPr="00313AA7">
        <w:rPr>
          <w:rFonts w:ascii="Arial" w:hAnsi="Arial" w:cs="Arial"/>
          <w:sz w:val="22"/>
          <w:szCs w:val="22"/>
        </w:rPr>
        <w:t xml:space="preserve"> (</w:t>
      </w:r>
      <w:r w:rsidR="001630AC" w:rsidRPr="001630AC">
        <w:rPr>
          <w:rFonts w:ascii="Arial" w:hAnsi="Arial" w:cs="Arial"/>
          <w:sz w:val="22"/>
          <w:szCs w:val="22"/>
        </w:rPr>
        <w:t>Clement, D.M</w:t>
      </w:r>
      <w:r w:rsidR="001630AC" w:rsidRPr="00313AA7">
        <w:rPr>
          <w:rFonts w:ascii="Arial" w:hAnsi="Arial" w:cs="Arial"/>
          <w:sz w:val="22"/>
          <w:szCs w:val="22"/>
        </w:rPr>
        <w:t xml:space="preserve">, </w:t>
      </w:r>
      <w:r w:rsidR="001630AC" w:rsidRPr="001630AC">
        <w:rPr>
          <w:rFonts w:ascii="Arial" w:hAnsi="Arial" w:cs="Arial"/>
          <w:sz w:val="22"/>
          <w:szCs w:val="22"/>
        </w:rPr>
        <w:t>2023)</w:t>
      </w:r>
      <w:r w:rsidRPr="00224ABB">
        <w:rPr>
          <w:rFonts w:ascii="Arial" w:hAnsi="Arial" w:cs="Arial"/>
          <w:sz w:val="22"/>
          <w:szCs w:val="22"/>
        </w:rPr>
        <w:t>.</w:t>
      </w:r>
    </w:p>
    <w:p w14:paraId="1446D899" w14:textId="50F439B9" w:rsidR="00224ABB" w:rsidRPr="00313AA7" w:rsidRDefault="00224ABB" w:rsidP="00224ABB">
      <w:pPr>
        <w:spacing w:line="360" w:lineRule="auto"/>
        <w:rPr>
          <w:rFonts w:ascii="Arial" w:hAnsi="Arial" w:cs="Arial"/>
          <w:sz w:val="22"/>
          <w:szCs w:val="22"/>
        </w:rPr>
      </w:pPr>
      <w:r w:rsidRPr="00224ABB">
        <w:rPr>
          <w:rFonts w:ascii="Arial" w:hAnsi="Arial" w:cs="Arial"/>
          <w:sz w:val="22"/>
          <w:szCs w:val="22"/>
        </w:rPr>
        <w:t xml:space="preserve"> </w:t>
      </w:r>
    </w:p>
    <w:p w14:paraId="6B52B1C0" w14:textId="0B41022F" w:rsidR="002724E3" w:rsidRPr="00313AA7" w:rsidRDefault="001630AC" w:rsidP="002724E3">
      <w:pPr>
        <w:spacing w:line="360" w:lineRule="auto"/>
        <w:rPr>
          <w:rFonts w:ascii="Arial" w:hAnsi="Arial" w:cs="Arial"/>
          <w:sz w:val="22"/>
          <w:szCs w:val="22"/>
        </w:rPr>
      </w:pPr>
      <w:r w:rsidRPr="001630AC">
        <w:rPr>
          <w:rFonts w:ascii="Arial" w:hAnsi="Arial" w:cs="Arial"/>
          <w:sz w:val="22"/>
          <w:szCs w:val="22"/>
        </w:rPr>
        <w:t>The NHS in England is currently a nationally operated system. NHS England sets to priorities and distributes funds while the Department of Health and Social Care (DHSC) is in charge of policy and overall funding. England is divided into 42 Integrated Care Systems (ICSs) as a result of the Health and Care Act 2022. Each ICS has an Integrated Care Partnership to link health with broader social factors and an Integrated Care Board (ICB) to plan and finance the vast majority of services</w:t>
      </w:r>
      <w:r w:rsidR="007B640D" w:rsidRPr="00313AA7">
        <w:rPr>
          <w:rFonts w:ascii="Arial" w:hAnsi="Arial" w:cs="Arial"/>
          <w:sz w:val="22"/>
          <w:szCs w:val="22"/>
        </w:rPr>
        <w:t xml:space="preserve"> </w:t>
      </w:r>
      <w:r w:rsidR="007B640D" w:rsidRPr="007B640D">
        <w:rPr>
          <w:rFonts w:ascii="Arial" w:hAnsi="Arial" w:cs="Arial"/>
          <w:sz w:val="22"/>
          <w:szCs w:val="22"/>
        </w:rPr>
        <w:t>(The King’s Fund</w:t>
      </w:r>
      <w:r w:rsidR="007B640D" w:rsidRPr="00313AA7">
        <w:rPr>
          <w:rFonts w:ascii="Arial" w:hAnsi="Arial" w:cs="Arial"/>
          <w:sz w:val="22"/>
          <w:szCs w:val="22"/>
        </w:rPr>
        <w:t xml:space="preserve">, </w:t>
      </w:r>
      <w:r w:rsidR="007B640D" w:rsidRPr="007B640D">
        <w:rPr>
          <w:rFonts w:ascii="Arial" w:hAnsi="Arial" w:cs="Arial"/>
          <w:sz w:val="22"/>
          <w:szCs w:val="22"/>
        </w:rPr>
        <w:t>2022)</w:t>
      </w:r>
      <w:r w:rsidRPr="001630AC">
        <w:rPr>
          <w:rFonts w:ascii="Arial" w:hAnsi="Arial" w:cs="Arial"/>
          <w:sz w:val="22"/>
          <w:szCs w:val="22"/>
        </w:rPr>
        <w:t>.</w:t>
      </w:r>
      <w:r w:rsidR="002724E3" w:rsidRPr="00313AA7">
        <w:rPr>
          <w:sz w:val="22"/>
          <w:szCs w:val="22"/>
        </w:rPr>
        <w:t xml:space="preserve"> </w:t>
      </w:r>
      <w:r w:rsidR="002724E3" w:rsidRPr="00313AA7">
        <w:rPr>
          <w:rFonts w:ascii="Arial" w:hAnsi="Arial" w:cs="Arial"/>
          <w:sz w:val="22"/>
          <w:szCs w:val="22"/>
        </w:rPr>
        <w:t>Care is provided by a mixture of primary care contractors (such as general practitioners' offices, dental offices, and community pharmacies), NHS trusts and foundation trusts (acute, community, mental health, and ambulance), and an independent and nonprofit sector under contract. A combination of standards, goals, and openness are used in system oversight, including clinically focused indicators and monthly access metrics (like the Ambulance Response Programme categories for 999 performance)</w:t>
      </w:r>
      <w:r w:rsidR="00590164" w:rsidRPr="00313AA7">
        <w:rPr>
          <w:rFonts w:ascii="Arial" w:hAnsi="Arial" w:cs="Arial"/>
          <w:sz w:val="22"/>
          <w:szCs w:val="22"/>
        </w:rPr>
        <w:t xml:space="preserve"> </w:t>
      </w:r>
      <w:r w:rsidR="00590164" w:rsidRPr="00590164">
        <w:rPr>
          <w:rFonts w:ascii="Arial" w:hAnsi="Arial" w:cs="Arial"/>
          <w:sz w:val="22"/>
          <w:szCs w:val="22"/>
        </w:rPr>
        <w:t>(</w:t>
      </w:r>
      <w:r w:rsidR="00590164" w:rsidRPr="00313AA7">
        <w:rPr>
          <w:rFonts w:ascii="Arial" w:hAnsi="Arial" w:cs="Arial"/>
          <w:sz w:val="22"/>
          <w:szCs w:val="22"/>
        </w:rPr>
        <w:t xml:space="preserve">NHS England, </w:t>
      </w:r>
      <w:r w:rsidR="00590164" w:rsidRPr="00590164">
        <w:rPr>
          <w:rFonts w:ascii="Arial" w:hAnsi="Arial" w:cs="Arial"/>
          <w:sz w:val="22"/>
          <w:szCs w:val="22"/>
        </w:rPr>
        <w:t>2018)</w:t>
      </w:r>
      <w:r w:rsidR="002724E3" w:rsidRPr="00313AA7">
        <w:rPr>
          <w:rFonts w:ascii="Arial" w:hAnsi="Arial" w:cs="Arial"/>
          <w:sz w:val="22"/>
          <w:szCs w:val="22"/>
        </w:rPr>
        <w:t>.</w:t>
      </w:r>
    </w:p>
    <w:p w14:paraId="4C19D06B" w14:textId="77777777" w:rsidR="00B01EFD" w:rsidRPr="00313AA7" w:rsidRDefault="00B01EFD" w:rsidP="002724E3">
      <w:pPr>
        <w:spacing w:line="360" w:lineRule="auto"/>
        <w:rPr>
          <w:rFonts w:ascii="Arial" w:hAnsi="Arial" w:cs="Arial"/>
          <w:sz w:val="22"/>
          <w:szCs w:val="22"/>
        </w:rPr>
      </w:pPr>
    </w:p>
    <w:p w14:paraId="0A34A66F" w14:textId="4D6A0E4B" w:rsidR="00590164" w:rsidRPr="00590164" w:rsidRDefault="00590164" w:rsidP="00590164">
      <w:pPr>
        <w:spacing w:after="200" w:line="360" w:lineRule="auto"/>
        <w:rPr>
          <w:rFonts w:ascii="Arial" w:hAnsi="Arial" w:cs="Arial"/>
          <w:sz w:val="22"/>
          <w:szCs w:val="22"/>
        </w:rPr>
      </w:pPr>
      <w:r w:rsidRPr="00590164">
        <w:rPr>
          <w:rFonts w:ascii="Arial" w:hAnsi="Arial" w:cs="Arial"/>
          <w:sz w:val="22"/>
          <w:szCs w:val="22"/>
        </w:rPr>
        <w:t xml:space="preserve">In terms of functionality, the NHS has been trying to move away from hospital centric care and towards primary, community and prevention care using digital tools to enhance efficiency and accessibility. Because </w:t>
      </w:r>
      <w:r w:rsidRPr="00313AA7">
        <w:rPr>
          <w:rFonts w:ascii="Arial" w:hAnsi="Arial" w:cs="Arial"/>
          <w:sz w:val="22"/>
          <w:szCs w:val="22"/>
        </w:rPr>
        <w:t xml:space="preserve">of </w:t>
      </w:r>
      <w:r w:rsidRPr="00590164">
        <w:rPr>
          <w:rFonts w:ascii="Arial" w:hAnsi="Arial" w:cs="Arial"/>
          <w:sz w:val="22"/>
          <w:szCs w:val="22"/>
        </w:rPr>
        <w:t>A&amp;E waits, ambulance handover delays and discharge bottlenecks are frequently signs of system wide capacity and coordination rather than single provider problems. ICSs aim to reduce dispersion by coordinating incentives across hospitals, community providers, social care and local government. The expansion of urgent community response services and virtual wards that keep patients safely out of hospitals are highlighted in NHS England's performance reviews</w:t>
      </w:r>
      <w:r w:rsidR="00B01EFD" w:rsidRPr="00313AA7">
        <w:rPr>
          <w:rFonts w:ascii="Arial" w:hAnsi="Arial" w:cs="Arial"/>
          <w:sz w:val="22"/>
          <w:szCs w:val="22"/>
        </w:rPr>
        <w:t xml:space="preserve"> (</w:t>
      </w:r>
      <w:r w:rsidR="00B01EFD" w:rsidRPr="00B01EFD">
        <w:rPr>
          <w:rFonts w:ascii="Arial" w:hAnsi="Arial" w:cs="Arial"/>
          <w:sz w:val="22"/>
          <w:szCs w:val="22"/>
        </w:rPr>
        <w:t>Pritchard</w:t>
      </w:r>
      <w:r w:rsidR="00B01EFD" w:rsidRPr="00313AA7">
        <w:rPr>
          <w:rFonts w:ascii="Arial" w:hAnsi="Arial" w:cs="Arial"/>
          <w:sz w:val="22"/>
          <w:szCs w:val="22"/>
        </w:rPr>
        <w:t>.</w:t>
      </w:r>
      <w:r w:rsidR="00B01EFD" w:rsidRPr="00B01EFD">
        <w:rPr>
          <w:rFonts w:ascii="Arial" w:hAnsi="Arial" w:cs="Arial"/>
          <w:sz w:val="22"/>
          <w:szCs w:val="22"/>
        </w:rPr>
        <w:t xml:space="preserve"> A</w:t>
      </w:r>
      <w:r w:rsidR="00B01EFD" w:rsidRPr="00313AA7">
        <w:rPr>
          <w:rFonts w:ascii="Arial" w:hAnsi="Arial" w:cs="Arial"/>
          <w:sz w:val="22"/>
          <w:szCs w:val="22"/>
        </w:rPr>
        <w:t xml:space="preserve">, </w:t>
      </w:r>
      <w:r w:rsidR="00B01EFD" w:rsidRPr="00B01EFD">
        <w:rPr>
          <w:rFonts w:ascii="Arial" w:hAnsi="Arial" w:cs="Arial"/>
          <w:sz w:val="22"/>
          <w:szCs w:val="22"/>
        </w:rPr>
        <w:t>2025</w:t>
      </w:r>
      <w:r w:rsidR="00B01EFD" w:rsidRPr="00313AA7">
        <w:rPr>
          <w:rFonts w:ascii="Arial" w:hAnsi="Arial" w:cs="Arial"/>
          <w:sz w:val="22"/>
          <w:szCs w:val="22"/>
        </w:rPr>
        <w:t xml:space="preserve"> &amp; </w:t>
      </w:r>
      <w:r w:rsidR="00B01EFD" w:rsidRPr="007B640D">
        <w:rPr>
          <w:rFonts w:ascii="Arial" w:hAnsi="Arial" w:cs="Arial"/>
          <w:sz w:val="22"/>
          <w:szCs w:val="22"/>
        </w:rPr>
        <w:t>The King’s Fund</w:t>
      </w:r>
      <w:r w:rsidR="00B01EFD" w:rsidRPr="00313AA7">
        <w:rPr>
          <w:rFonts w:ascii="Arial" w:hAnsi="Arial" w:cs="Arial"/>
          <w:sz w:val="22"/>
          <w:szCs w:val="22"/>
        </w:rPr>
        <w:t xml:space="preserve">, </w:t>
      </w:r>
      <w:r w:rsidR="00B01EFD" w:rsidRPr="007B640D">
        <w:rPr>
          <w:rFonts w:ascii="Arial" w:hAnsi="Arial" w:cs="Arial"/>
          <w:sz w:val="22"/>
          <w:szCs w:val="22"/>
        </w:rPr>
        <w:t>2022</w:t>
      </w:r>
      <w:r w:rsidR="00B01EFD" w:rsidRPr="00B01EFD">
        <w:rPr>
          <w:rFonts w:ascii="Arial" w:hAnsi="Arial" w:cs="Arial"/>
          <w:sz w:val="22"/>
          <w:szCs w:val="22"/>
        </w:rPr>
        <w:t>)</w:t>
      </w:r>
      <w:r w:rsidRPr="00590164">
        <w:rPr>
          <w:rFonts w:ascii="Arial" w:hAnsi="Arial" w:cs="Arial"/>
          <w:sz w:val="22"/>
          <w:szCs w:val="22"/>
        </w:rPr>
        <w:t>.</w:t>
      </w:r>
    </w:p>
    <w:p w14:paraId="4E795866" w14:textId="459C572C" w:rsidR="00B01EFD" w:rsidRDefault="00B01EFD" w:rsidP="00B01EFD">
      <w:pPr>
        <w:spacing w:after="200" w:line="360" w:lineRule="auto"/>
        <w:rPr>
          <w:rFonts w:ascii="Arial" w:eastAsiaTheme="minorEastAsia" w:hAnsi="Arial" w:cs="Arial"/>
          <w:sz w:val="22"/>
          <w:szCs w:val="22"/>
          <w:lang w:eastAsia="en-US"/>
        </w:rPr>
      </w:pPr>
      <w:r w:rsidRPr="00B01EFD">
        <w:rPr>
          <w:rFonts w:ascii="Arial" w:eastAsiaTheme="minorEastAsia" w:hAnsi="Arial" w:cs="Arial"/>
          <w:sz w:val="22"/>
          <w:szCs w:val="22"/>
          <w:lang w:eastAsia="en-US"/>
        </w:rPr>
        <w:t>However, the service is under a lot of strain. Medical waiting lists and urgent care delays continue to exist since before the pandemic and demand has increased more quickly than supply. In addition to waiting lists hitting all time highs in recent years, the 18 week constitutional standard for planned care has not been met since 2016. Four hour A&amp;E performance has also declined since the mid</w:t>
      </w:r>
      <w:r w:rsidRPr="00313AA7">
        <w:rPr>
          <w:rFonts w:ascii="Arial" w:eastAsiaTheme="minorEastAsia" w:hAnsi="Arial" w:cs="Arial"/>
          <w:sz w:val="22"/>
          <w:szCs w:val="22"/>
          <w:lang w:eastAsia="en-US"/>
        </w:rPr>
        <w:t xml:space="preserve"> </w:t>
      </w:r>
      <w:r w:rsidRPr="00B01EFD">
        <w:rPr>
          <w:rFonts w:ascii="Arial" w:eastAsiaTheme="minorEastAsia" w:hAnsi="Arial" w:cs="Arial"/>
          <w:sz w:val="22"/>
          <w:szCs w:val="22"/>
          <w:lang w:eastAsia="en-US"/>
        </w:rPr>
        <w:t>2010s</w:t>
      </w:r>
      <w:r w:rsidR="00313AA7">
        <w:rPr>
          <w:rFonts w:ascii="Arial" w:eastAsiaTheme="minorEastAsia" w:hAnsi="Arial" w:cs="Arial"/>
          <w:sz w:val="22"/>
          <w:szCs w:val="22"/>
          <w:lang w:eastAsia="en-US"/>
        </w:rPr>
        <w:t xml:space="preserve"> (</w:t>
      </w:r>
      <w:r w:rsidR="00313AA7" w:rsidRPr="00313AA7">
        <w:rPr>
          <w:rFonts w:ascii="Arial" w:hAnsi="Arial" w:cs="Arial"/>
          <w:sz w:val="22"/>
          <w:szCs w:val="22"/>
        </w:rPr>
        <w:t>Harker</w:t>
      </w:r>
      <w:r w:rsidR="00313AA7">
        <w:rPr>
          <w:rFonts w:ascii="Arial" w:hAnsi="Arial" w:cs="Arial"/>
          <w:sz w:val="22"/>
          <w:szCs w:val="22"/>
        </w:rPr>
        <w:t>.</w:t>
      </w:r>
      <w:r w:rsidR="00313AA7" w:rsidRPr="00313AA7">
        <w:rPr>
          <w:rFonts w:ascii="Arial" w:hAnsi="Arial" w:cs="Arial"/>
          <w:sz w:val="22"/>
          <w:szCs w:val="22"/>
        </w:rPr>
        <w:t xml:space="preserve"> R, Stiebahl</w:t>
      </w:r>
      <w:r w:rsidR="00313AA7">
        <w:rPr>
          <w:rFonts w:ascii="Arial" w:hAnsi="Arial" w:cs="Arial"/>
          <w:sz w:val="22"/>
          <w:szCs w:val="22"/>
        </w:rPr>
        <w:t xml:space="preserve">. </w:t>
      </w:r>
      <w:r w:rsidR="00313AA7" w:rsidRPr="00313AA7">
        <w:rPr>
          <w:rFonts w:ascii="Arial" w:hAnsi="Arial" w:cs="Arial"/>
          <w:sz w:val="22"/>
          <w:szCs w:val="22"/>
        </w:rPr>
        <w:t>S. and Danechi</w:t>
      </w:r>
      <w:r w:rsidR="00313AA7">
        <w:rPr>
          <w:rFonts w:ascii="Arial" w:hAnsi="Arial" w:cs="Arial"/>
          <w:sz w:val="22"/>
          <w:szCs w:val="22"/>
        </w:rPr>
        <w:t>.</w:t>
      </w:r>
      <w:r w:rsidR="00313AA7" w:rsidRPr="00313AA7">
        <w:rPr>
          <w:rFonts w:ascii="Arial" w:hAnsi="Arial" w:cs="Arial"/>
          <w:sz w:val="22"/>
          <w:szCs w:val="22"/>
        </w:rPr>
        <w:t xml:space="preserve"> S</w:t>
      </w:r>
      <w:r w:rsidR="00313AA7">
        <w:rPr>
          <w:rFonts w:ascii="Arial" w:hAnsi="Arial" w:cs="Arial"/>
          <w:sz w:val="22"/>
          <w:szCs w:val="22"/>
        </w:rPr>
        <w:t>, 2025</w:t>
      </w:r>
      <w:r w:rsidR="00313AA7" w:rsidRPr="00313AA7">
        <w:rPr>
          <w:rFonts w:ascii="Arial" w:hAnsi="Arial" w:cs="Arial"/>
          <w:sz w:val="22"/>
          <w:szCs w:val="22"/>
        </w:rPr>
        <w:t>)</w:t>
      </w:r>
      <w:r w:rsidRPr="00B01EFD">
        <w:rPr>
          <w:rFonts w:ascii="Arial" w:eastAsiaTheme="minorEastAsia" w:hAnsi="Arial" w:cs="Arial"/>
          <w:sz w:val="22"/>
          <w:szCs w:val="22"/>
          <w:lang w:eastAsia="en-US"/>
        </w:rPr>
        <w:t xml:space="preserve">. The workforce continues to be both a strength and an issue. Although staffing levels have increased, access and productivity are still impacted by job availability, hiring and retaining issues. These elements, in addition to financial strains, property limitations and social care shortages, lead to inconsistent performance in comparison to access standards. </w:t>
      </w:r>
    </w:p>
    <w:p w14:paraId="5B74DE88" w14:textId="4E2A7AE2" w:rsidR="00317E99" w:rsidRPr="00317E99" w:rsidRDefault="00317E99" w:rsidP="00317E99">
      <w:pPr>
        <w:spacing w:after="200" w:line="360" w:lineRule="auto"/>
        <w:rPr>
          <w:rFonts w:ascii="Arial" w:eastAsiaTheme="minorEastAsia" w:hAnsi="Arial" w:cs="Arial"/>
          <w:sz w:val="22"/>
          <w:szCs w:val="22"/>
          <w:lang w:eastAsia="en-US"/>
        </w:rPr>
      </w:pPr>
      <w:r w:rsidRPr="00317E99">
        <w:rPr>
          <w:rFonts w:ascii="Arial" w:eastAsiaTheme="minorEastAsia" w:hAnsi="Arial" w:cs="Arial"/>
          <w:sz w:val="22"/>
          <w:szCs w:val="22"/>
          <w:lang w:eastAsia="en-US"/>
        </w:rPr>
        <w:lastRenderedPageBreak/>
        <w:t>The NHS was founded on the principles of fairness and accessibility, providing free care that is financed by taxes. In order to integrate services around populations, it now strikes a balance between local decision making through ICSs and ICBCs and national oversight. Converting this design into long term improvements in experience and access in the face of growing workforce demands and demand is the main challenge. NHS improvement depends on prevention, improved community services, more efficient system operation and a robust patient supported workforce.</w:t>
      </w:r>
    </w:p>
    <w:p w14:paraId="4E5D2A96" w14:textId="77777777" w:rsidR="00313AA7" w:rsidRPr="00B01EFD" w:rsidRDefault="00313AA7" w:rsidP="00B01EFD">
      <w:pPr>
        <w:spacing w:after="200" w:line="360" w:lineRule="auto"/>
        <w:rPr>
          <w:rFonts w:ascii="Arial" w:eastAsiaTheme="minorEastAsia" w:hAnsi="Arial" w:cs="Arial"/>
          <w:sz w:val="22"/>
          <w:szCs w:val="22"/>
          <w:lang w:eastAsia="en-US"/>
        </w:rPr>
      </w:pPr>
    </w:p>
    <w:p w14:paraId="033A9CCE" w14:textId="5E79FF8B" w:rsidR="001630AC" w:rsidRPr="001630AC" w:rsidRDefault="001630AC" w:rsidP="001630AC">
      <w:pPr>
        <w:spacing w:after="200" w:line="360" w:lineRule="auto"/>
        <w:rPr>
          <w:rFonts w:ascii="Arial" w:hAnsi="Arial" w:cs="Arial"/>
        </w:rPr>
      </w:pPr>
    </w:p>
    <w:p w14:paraId="6159344F" w14:textId="77777777" w:rsidR="001630AC" w:rsidRPr="00224ABB" w:rsidRDefault="001630AC" w:rsidP="00224ABB">
      <w:pPr>
        <w:spacing w:after="200" w:line="360" w:lineRule="auto"/>
        <w:rPr>
          <w:rFonts w:ascii="Arial" w:hAnsi="Arial" w:cs="Arial"/>
        </w:rPr>
      </w:pPr>
    </w:p>
    <w:p w14:paraId="19350BCC" w14:textId="77777777" w:rsidR="001238AA" w:rsidRDefault="001238AA" w:rsidP="001238AA">
      <w:pPr>
        <w:spacing w:line="360" w:lineRule="auto"/>
        <w:rPr>
          <w:rFonts w:ascii="Arial" w:hAnsi="Arial" w:cs="Arial"/>
        </w:rPr>
      </w:pPr>
    </w:p>
    <w:p w14:paraId="6737E17D" w14:textId="77777777" w:rsidR="00224ABB" w:rsidRPr="00224ABB" w:rsidRDefault="00224ABB" w:rsidP="00224ABB">
      <w:pPr>
        <w:rPr>
          <w:rFonts w:ascii="Arial" w:hAnsi="Arial" w:cs="Arial"/>
        </w:rPr>
      </w:pPr>
    </w:p>
    <w:p w14:paraId="528D1D32" w14:textId="77777777" w:rsidR="00224ABB" w:rsidRPr="00224ABB" w:rsidRDefault="00224ABB" w:rsidP="00224ABB">
      <w:pPr>
        <w:rPr>
          <w:rFonts w:ascii="Arial" w:hAnsi="Arial" w:cs="Arial"/>
        </w:rPr>
      </w:pPr>
    </w:p>
    <w:p w14:paraId="185F78EB" w14:textId="77777777" w:rsidR="00224ABB" w:rsidRPr="00224ABB" w:rsidRDefault="00224ABB" w:rsidP="00224ABB">
      <w:pPr>
        <w:rPr>
          <w:rFonts w:ascii="Arial" w:hAnsi="Arial" w:cs="Arial"/>
        </w:rPr>
      </w:pPr>
    </w:p>
    <w:p w14:paraId="40150289" w14:textId="77777777" w:rsidR="00224ABB" w:rsidRPr="00224ABB" w:rsidRDefault="00224ABB" w:rsidP="00224ABB">
      <w:pPr>
        <w:rPr>
          <w:rFonts w:ascii="Arial" w:hAnsi="Arial" w:cs="Arial"/>
        </w:rPr>
      </w:pPr>
    </w:p>
    <w:p w14:paraId="3DDC27BD" w14:textId="77777777" w:rsidR="00224ABB" w:rsidRPr="00224ABB" w:rsidRDefault="00224ABB" w:rsidP="00224ABB">
      <w:pPr>
        <w:rPr>
          <w:rFonts w:ascii="Arial" w:hAnsi="Arial" w:cs="Arial"/>
        </w:rPr>
      </w:pPr>
    </w:p>
    <w:p w14:paraId="47A4B942" w14:textId="77777777" w:rsidR="00224ABB" w:rsidRPr="00224ABB" w:rsidRDefault="00224ABB" w:rsidP="00224ABB">
      <w:pPr>
        <w:rPr>
          <w:rFonts w:ascii="Arial" w:hAnsi="Arial" w:cs="Arial"/>
        </w:rPr>
      </w:pPr>
    </w:p>
    <w:p w14:paraId="37D41D2D" w14:textId="77777777" w:rsidR="00224ABB" w:rsidRPr="00224ABB" w:rsidRDefault="00224ABB" w:rsidP="00224ABB">
      <w:pPr>
        <w:rPr>
          <w:rFonts w:ascii="Arial" w:hAnsi="Arial" w:cs="Arial"/>
        </w:rPr>
      </w:pPr>
    </w:p>
    <w:p w14:paraId="67F30B6E" w14:textId="77777777" w:rsidR="00224ABB" w:rsidRPr="00224ABB" w:rsidRDefault="00224ABB" w:rsidP="00224ABB">
      <w:pPr>
        <w:rPr>
          <w:rFonts w:ascii="Arial" w:hAnsi="Arial" w:cs="Arial"/>
        </w:rPr>
      </w:pPr>
    </w:p>
    <w:p w14:paraId="16FE6D9D" w14:textId="77777777" w:rsidR="00224ABB" w:rsidRPr="00224ABB" w:rsidRDefault="00224ABB" w:rsidP="00224ABB">
      <w:pPr>
        <w:rPr>
          <w:rFonts w:ascii="Arial" w:hAnsi="Arial" w:cs="Arial"/>
        </w:rPr>
      </w:pPr>
    </w:p>
    <w:p w14:paraId="115B40A9" w14:textId="77777777" w:rsidR="00224ABB" w:rsidRPr="00224ABB" w:rsidRDefault="00224ABB" w:rsidP="00224ABB">
      <w:pPr>
        <w:rPr>
          <w:rFonts w:ascii="Arial" w:hAnsi="Arial" w:cs="Arial"/>
        </w:rPr>
      </w:pPr>
    </w:p>
    <w:p w14:paraId="5A29BD4E" w14:textId="77777777" w:rsidR="00224ABB" w:rsidRPr="00224ABB" w:rsidRDefault="00224ABB" w:rsidP="00224ABB">
      <w:pPr>
        <w:rPr>
          <w:rFonts w:ascii="Arial" w:hAnsi="Arial" w:cs="Arial"/>
        </w:rPr>
      </w:pPr>
    </w:p>
    <w:p w14:paraId="386E7880" w14:textId="77777777" w:rsidR="00224ABB" w:rsidRPr="00224ABB" w:rsidRDefault="00224ABB" w:rsidP="00224ABB">
      <w:pPr>
        <w:rPr>
          <w:rFonts w:ascii="Arial" w:hAnsi="Arial" w:cs="Arial"/>
        </w:rPr>
      </w:pPr>
    </w:p>
    <w:p w14:paraId="1A2A5356" w14:textId="77777777" w:rsidR="00224ABB" w:rsidRPr="00224ABB" w:rsidRDefault="00224ABB" w:rsidP="00224ABB">
      <w:pPr>
        <w:rPr>
          <w:rFonts w:ascii="Arial" w:hAnsi="Arial" w:cs="Arial"/>
        </w:rPr>
      </w:pPr>
    </w:p>
    <w:p w14:paraId="770C1B15" w14:textId="77777777" w:rsidR="00224ABB" w:rsidRPr="00224ABB" w:rsidRDefault="00224ABB" w:rsidP="00224ABB">
      <w:pPr>
        <w:rPr>
          <w:rFonts w:ascii="Arial" w:hAnsi="Arial" w:cs="Arial"/>
        </w:rPr>
      </w:pPr>
    </w:p>
    <w:p w14:paraId="6379BB3B" w14:textId="77777777" w:rsidR="00224ABB" w:rsidRPr="00224ABB" w:rsidRDefault="00224ABB" w:rsidP="00224ABB">
      <w:pPr>
        <w:rPr>
          <w:rFonts w:ascii="Arial" w:hAnsi="Arial" w:cs="Arial"/>
        </w:rPr>
      </w:pPr>
    </w:p>
    <w:p w14:paraId="69E935C6" w14:textId="7DA6DE24" w:rsidR="00224ABB" w:rsidRDefault="00224ABB" w:rsidP="00224ABB">
      <w:pPr>
        <w:tabs>
          <w:tab w:val="left" w:pos="1223"/>
        </w:tabs>
        <w:rPr>
          <w:rFonts w:ascii="Arial" w:hAnsi="Arial" w:cs="Arial"/>
        </w:rPr>
      </w:pPr>
    </w:p>
    <w:p w14:paraId="2CE333B5" w14:textId="77777777" w:rsidR="00224ABB" w:rsidRDefault="00224ABB" w:rsidP="00224ABB">
      <w:pPr>
        <w:tabs>
          <w:tab w:val="left" w:pos="1223"/>
        </w:tabs>
        <w:rPr>
          <w:rFonts w:ascii="Arial" w:hAnsi="Arial" w:cs="Arial"/>
        </w:rPr>
      </w:pPr>
    </w:p>
    <w:p w14:paraId="78FD1362" w14:textId="77777777" w:rsidR="00313AA7" w:rsidRDefault="00313AA7" w:rsidP="00224ABB">
      <w:pPr>
        <w:tabs>
          <w:tab w:val="left" w:pos="1223"/>
        </w:tabs>
        <w:rPr>
          <w:rFonts w:ascii="Arial" w:hAnsi="Arial" w:cs="Arial"/>
        </w:rPr>
      </w:pPr>
    </w:p>
    <w:p w14:paraId="112BE2F7" w14:textId="77777777" w:rsidR="00313AA7" w:rsidRDefault="00313AA7" w:rsidP="00224ABB">
      <w:pPr>
        <w:tabs>
          <w:tab w:val="left" w:pos="1223"/>
        </w:tabs>
        <w:rPr>
          <w:rFonts w:ascii="Arial" w:hAnsi="Arial" w:cs="Arial"/>
        </w:rPr>
      </w:pPr>
    </w:p>
    <w:p w14:paraId="5DDBC192" w14:textId="77777777" w:rsidR="00313AA7" w:rsidRDefault="00313AA7" w:rsidP="00224ABB">
      <w:pPr>
        <w:tabs>
          <w:tab w:val="left" w:pos="1223"/>
        </w:tabs>
        <w:rPr>
          <w:rFonts w:ascii="Arial" w:hAnsi="Arial" w:cs="Arial"/>
        </w:rPr>
      </w:pPr>
    </w:p>
    <w:p w14:paraId="0CCE8025" w14:textId="77777777" w:rsidR="00313AA7" w:rsidRDefault="00313AA7" w:rsidP="00224ABB">
      <w:pPr>
        <w:tabs>
          <w:tab w:val="left" w:pos="1223"/>
        </w:tabs>
        <w:rPr>
          <w:rFonts w:ascii="Arial" w:hAnsi="Arial" w:cs="Arial"/>
        </w:rPr>
      </w:pPr>
    </w:p>
    <w:p w14:paraId="2B3391B0" w14:textId="77777777" w:rsidR="00313AA7" w:rsidRDefault="00313AA7" w:rsidP="00224ABB">
      <w:pPr>
        <w:tabs>
          <w:tab w:val="left" w:pos="1223"/>
        </w:tabs>
        <w:rPr>
          <w:rFonts w:ascii="Arial" w:hAnsi="Arial" w:cs="Arial"/>
        </w:rPr>
      </w:pPr>
    </w:p>
    <w:p w14:paraId="7522AC37" w14:textId="77777777" w:rsidR="00313AA7" w:rsidRDefault="00313AA7" w:rsidP="00224ABB">
      <w:pPr>
        <w:tabs>
          <w:tab w:val="left" w:pos="1223"/>
        </w:tabs>
        <w:rPr>
          <w:rFonts w:ascii="Arial" w:hAnsi="Arial" w:cs="Arial"/>
        </w:rPr>
      </w:pPr>
    </w:p>
    <w:p w14:paraId="7D097C44" w14:textId="77777777" w:rsidR="00313AA7" w:rsidRDefault="00313AA7" w:rsidP="00224ABB">
      <w:pPr>
        <w:tabs>
          <w:tab w:val="left" w:pos="1223"/>
        </w:tabs>
        <w:rPr>
          <w:rFonts w:ascii="Arial" w:hAnsi="Arial" w:cs="Arial"/>
        </w:rPr>
      </w:pPr>
    </w:p>
    <w:p w14:paraId="16B16B79" w14:textId="77777777" w:rsidR="00313AA7" w:rsidRDefault="00313AA7" w:rsidP="00224ABB">
      <w:pPr>
        <w:tabs>
          <w:tab w:val="left" w:pos="1223"/>
        </w:tabs>
        <w:rPr>
          <w:rFonts w:ascii="Arial" w:hAnsi="Arial" w:cs="Arial"/>
        </w:rPr>
      </w:pPr>
    </w:p>
    <w:p w14:paraId="2E6B3345" w14:textId="77777777" w:rsidR="00313AA7" w:rsidRDefault="00313AA7" w:rsidP="00224ABB">
      <w:pPr>
        <w:tabs>
          <w:tab w:val="left" w:pos="1223"/>
        </w:tabs>
        <w:rPr>
          <w:rFonts w:ascii="Arial" w:hAnsi="Arial" w:cs="Arial"/>
        </w:rPr>
      </w:pPr>
    </w:p>
    <w:p w14:paraId="0491735C" w14:textId="77777777" w:rsidR="00313AA7" w:rsidRDefault="00313AA7" w:rsidP="00224ABB">
      <w:pPr>
        <w:tabs>
          <w:tab w:val="left" w:pos="1223"/>
        </w:tabs>
        <w:rPr>
          <w:rFonts w:ascii="Arial" w:hAnsi="Arial" w:cs="Arial"/>
        </w:rPr>
      </w:pPr>
    </w:p>
    <w:p w14:paraId="24CCBD33" w14:textId="77777777" w:rsidR="00313AA7" w:rsidRDefault="00313AA7" w:rsidP="00224ABB">
      <w:pPr>
        <w:tabs>
          <w:tab w:val="left" w:pos="1223"/>
        </w:tabs>
        <w:rPr>
          <w:rFonts w:ascii="Arial" w:hAnsi="Arial" w:cs="Arial"/>
        </w:rPr>
      </w:pPr>
    </w:p>
    <w:p w14:paraId="061511AD" w14:textId="77777777" w:rsidR="00313AA7" w:rsidRDefault="00313AA7" w:rsidP="00224ABB">
      <w:pPr>
        <w:tabs>
          <w:tab w:val="left" w:pos="1223"/>
        </w:tabs>
        <w:rPr>
          <w:rFonts w:ascii="Arial" w:hAnsi="Arial" w:cs="Arial"/>
        </w:rPr>
      </w:pPr>
    </w:p>
    <w:p w14:paraId="38182DE4" w14:textId="77777777" w:rsidR="00313AA7" w:rsidRDefault="00313AA7" w:rsidP="00224ABB">
      <w:pPr>
        <w:tabs>
          <w:tab w:val="left" w:pos="1223"/>
        </w:tabs>
        <w:rPr>
          <w:rFonts w:ascii="Arial" w:hAnsi="Arial" w:cs="Arial"/>
        </w:rPr>
      </w:pPr>
    </w:p>
    <w:p w14:paraId="6E772A3D" w14:textId="77777777" w:rsidR="00313AA7" w:rsidRDefault="00313AA7" w:rsidP="00224ABB">
      <w:pPr>
        <w:tabs>
          <w:tab w:val="left" w:pos="1223"/>
        </w:tabs>
        <w:rPr>
          <w:rFonts w:ascii="Arial" w:hAnsi="Arial" w:cs="Arial"/>
        </w:rPr>
      </w:pPr>
    </w:p>
    <w:p w14:paraId="42AEC1F8" w14:textId="77777777" w:rsidR="00313AA7" w:rsidRDefault="00313AA7" w:rsidP="00224ABB">
      <w:pPr>
        <w:tabs>
          <w:tab w:val="left" w:pos="1223"/>
        </w:tabs>
        <w:rPr>
          <w:rFonts w:ascii="Arial" w:hAnsi="Arial" w:cs="Arial"/>
        </w:rPr>
      </w:pPr>
    </w:p>
    <w:p w14:paraId="47E1FE19" w14:textId="77777777" w:rsidR="00313AA7" w:rsidRDefault="00313AA7" w:rsidP="00224ABB">
      <w:pPr>
        <w:tabs>
          <w:tab w:val="left" w:pos="1223"/>
        </w:tabs>
        <w:rPr>
          <w:rFonts w:ascii="Arial" w:hAnsi="Arial" w:cs="Arial"/>
        </w:rPr>
      </w:pPr>
    </w:p>
    <w:p w14:paraId="33AC3F2A" w14:textId="77777777" w:rsidR="00313AA7" w:rsidRDefault="00313AA7" w:rsidP="00224ABB">
      <w:pPr>
        <w:tabs>
          <w:tab w:val="left" w:pos="1223"/>
        </w:tabs>
        <w:rPr>
          <w:rFonts w:ascii="Arial" w:hAnsi="Arial" w:cs="Arial"/>
        </w:rPr>
      </w:pPr>
    </w:p>
    <w:p w14:paraId="0374D917" w14:textId="36959966" w:rsidR="00313AA7" w:rsidRDefault="00313AA7" w:rsidP="00224ABB">
      <w:pPr>
        <w:tabs>
          <w:tab w:val="left" w:pos="1223"/>
        </w:tabs>
        <w:rPr>
          <w:rFonts w:ascii="Arial" w:hAnsi="Arial" w:cs="Arial"/>
        </w:rPr>
      </w:pPr>
    </w:p>
    <w:p w14:paraId="1376798B" w14:textId="77777777" w:rsidR="00313AA7" w:rsidRDefault="00313AA7" w:rsidP="00224ABB">
      <w:pPr>
        <w:tabs>
          <w:tab w:val="left" w:pos="1223"/>
        </w:tabs>
        <w:rPr>
          <w:rFonts w:ascii="Arial" w:hAnsi="Arial" w:cs="Arial"/>
        </w:rPr>
      </w:pPr>
    </w:p>
    <w:p w14:paraId="6EC6031B" w14:textId="73DB69BB" w:rsidR="00224ABB" w:rsidRDefault="00224ABB" w:rsidP="00224ABB">
      <w:pPr>
        <w:tabs>
          <w:tab w:val="left" w:pos="1223"/>
        </w:tabs>
        <w:rPr>
          <w:rFonts w:ascii="Arial" w:hAnsi="Arial" w:cs="Arial"/>
          <w:b/>
          <w:bCs/>
          <w:sz w:val="28"/>
          <w:szCs w:val="28"/>
          <w:u w:val="single"/>
        </w:rPr>
      </w:pPr>
      <w:r>
        <w:rPr>
          <w:rFonts w:ascii="Arial" w:hAnsi="Arial" w:cs="Arial"/>
          <w:b/>
          <w:bCs/>
          <w:sz w:val="28"/>
          <w:szCs w:val="28"/>
          <w:u w:val="single"/>
        </w:rPr>
        <w:t>R</w:t>
      </w:r>
      <w:r w:rsidRPr="00224ABB">
        <w:rPr>
          <w:rFonts w:ascii="Arial" w:hAnsi="Arial" w:cs="Arial"/>
          <w:b/>
          <w:bCs/>
          <w:sz w:val="28"/>
          <w:szCs w:val="28"/>
          <w:u w:val="single"/>
        </w:rPr>
        <w:t>eference</w:t>
      </w:r>
    </w:p>
    <w:p w14:paraId="47AF3CFE" w14:textId="77777777" w:rsidR="00313AA7" w:rsidRDefault="00313AA7" w:rsidP="00224ABB">
      <w:pPr>
        <w:tabs>
          <w:tab w:val="left" w:pos="1223"/>
        </w:tabs>
        <w:rPr>
          <w:rFonts w:ascii="Arial" w:hAnsi="Arial" w:cs="Arial"/>
          <w:b/>
          <w:bCs/>
          <w:sz w:val="28"/>
          <w:szCs w:val="28"/>
          <w:u w:val="single"/>
        </w:rPr>
      </w:pPr>
    </w:p>
    <w:p w14:paraId="7BBC10E9" w14:textId="77777777" w:rsidR="00313AA7" w:rsidRDefault="001630AC" w:rsidP="0032355E">
      <w:pPr>
        <w:tabs>
          <w:tab w:val="left" w:pos="1223"/>
        </w:tabs>
        <w:rPr>
          <w:rFonts w:ascii="Arial" w:hAnsi="Arial" w:cs="Arial"/>
          <w:sz w:val="22"/>
          <w:szCs w:val="22"/>
        </w:rPr>
      </w:pPr>
      <w:r w:rsidRPr="00313AA7">
        <w:rPr>
          <w:rFonts w:ascii="Arial" w:hAnsi="Arial" w:cs="Arial"/>
          <w:sz w:val="22"/>
          <w:szCs w:val="22"/>
        </w:rPr>
        <w:t>(</w:t>
      </w:r>
      <w:r w:rsidRPr="001630AC">
        <w:rPr>
          <w:rFonts w:ascii="Arial" w:hAnsi="Arial" w:cs="Arial"/>
          <w:sz w:val="22"/>
          <w:szCs w:val="22"/>
        </w:rPr>
        <w:t>Clement</w:t>
      </w:r>
      <w:r w:rsidR="00B01EFD" w:rsidRPr="00313AA7">
        <w:rPr>
          <w:rFonts w:ascii="Arial" w:hAnsi="Arial" w:cs="Arial"/>
          <w:sz w:val="22"/>
          <w:szCs w:val="22"/>
        </w:rPr>
        <w:t>.</w:t>
      </w:r>
      <w:r w:rsidRPr="001630AC">
        <w:rPr>
          <w:rFonts w:ascii="Arial" w:hAnsi="Arial" w:cs="Arial"/>
          <w:sz w:val="22"/>
          <w:szCs w:val="22"/>
        </w:rPr>
        <w:t xml:space="preserve"> D.M</w:t>
      </w:r>
      <w:r w:rsidRPr="00313AA7">
        <w:rPr>
          <w:rFonts w:ascii="Arial" w:hAnsi="Arial" w:cs="Arial"/>
          <w:sz w:val="22"/>
          <w:szCs w:val="22"/>
        </w:rPr>
        <w:t xml:space="preserve">, </w:t>
      </w:r>
      <w:r w:rsidRPr="001630AC">
        <w:rPr>
          <w:rFonts w:ascii="Arial" w:hAnsi="Arial" w:cs="Arial"/>
          <w:sz w:val="22"/>
          <w:szCs w:val="22"/>
        </w:rPr>
        <w:t>2023) The founding of the NHS: 75 Years on, History of government. Available at: https://history.blog.gov.uk/2023/07/13/the-founding-of-the-nhs-75-years-on/ (Accessed: 12 October 2025).</w:t>
      </w:r>
    </w:p>
    <w:p w14:paraId="04518509" w14:textId="77777777" w:rsidR="00313AA7" w:rsidRDefault="00313AA7" w:rsidP="0032355E">
      <w:pPr>
        <w:tabs>
          <w:tab w:val="left" w:pos="1223"/>
        </w:tabs>
        <w:rPr>
          <w:rFonts w:ascii="Arial" w:hAnsi="Arial" w:cs="Arial"/>
          <w:sz w:val="22"/>
          <w:szCs w:val="22"/>
        </w:rPr>
      </w:pPr>
    </w:p>
    <w:p w14:paraId="6EBA0CB3" w14:textId="568C653A" w:rsidR="00313AA7" w:rsidRPr="00313AA7" w:rsidRDefault="00313AA7" w:rsidP="00313AA7">
      <w:pPr>
        <w:tabs>
          <w:tab w:val="left" w:pos="1223"/>
        </w:tabs>
        <w:rPr>
          <w:rFonts w:ascii="Arial" w:hAnsi="Arial" w:cs="Arial"/>
          <w:sz w:val="22"/>
          <w:szCs w:val="22"/>
        </w:rPr>
      </w:pPr>
      <w:r>
        <w:rPr>
          <w:rFonts w:ascii="Arial" w:hAnsi="Arial" w:cs="Arial"/>
          <w:sz w:val="22"/>
          <w:szCs w:val="22"/>
        </w:rPr>
        <w:t>(</w:t>
      </w:r>
      <w:r w:rsidRPr="00313AA7">
        <w:rPr>
          <w:rFonts w:ascii="Arial" w:hAnsi="Arial" w:cs="Arial"/>
          <w:sz w:val="22"/>
          <w:szCs w:val="22"/>
        </w:rPr>
        <w:t>Harker</w:t>
      </w:r>
      <w:r>
        <w:rPr>
          <w:rFonts w:ascii="Arial" w:hAnsi="Arial" w:cs="Arial"/>
          <w:sz w:val="22"/>
          <w:szCs w:val="22"/>
        </w:rPr>
        <w:t>.</w:t>
      </w:r>
      <w:r w:rsidRPr="00313AA7">
        <w:rPr>
          <w:rFonts w:ascii="Arial" w:hAnsi="Arial" w:cs="Arial"/>
          <w:sz w:val="22"/>
          <w:szCs w:val="22"/>
        </w:rPr>
        <w:t xml:space="preserve"> R, Stiebahl</w:t>
      </w:r>
      <w:r>
        <w:rPr>
          <w:rFonts w:ascii="Arial" w:hAnsi="Arial" w:cs="Arial"/>
          <w:sz w:val="22"/>
          <w:szCs w:val="22"/>
        </w:rPr>
        <w:t xml:space="preserve">. </w:t>
      </w:r>
      <w:r w:rsidRPr="00313AA7">
        <w:rPr>
          <w:rFonts w:ascii="Arial" w:hAnsi="Arial" w:cs="Arial"/>
          <w:sz w:val="22"/>
          <w:szCs w:val="22"/>
        </w:rPr>
        <w:t>S. and Danechi</w:t>
      </w:r>
      <w:r>
        <w:rPr>
          <w:rFonts w:ascii="Arial" w:hAnsi="Arial" w:cs="Arial"/>
          <w:sz w:val="22"/>
          <w:szCs w:val="22"/>
        </w:rPr>
        <w:t>.</w:t>
      </w:r>
      <w:r w:rsidRPr="00313AA7">
        <w:rPr>
          <w:rFonts w:ascii="Arial" w:hAnsi="Arial" w:cs="Arial"/>
          <w:sz w:val="22"/>
          <w:szCs w:val="22"/>
        </w:rPr>
        <w:t xml:space="preserve"> S</w:t>
      </w:r>
      <w:r>
        <w:rPr>
          <w:rFonts w:ascii="Arial" w:hAnsi="Arial" w:cs="Arial"/>
          <w:sz w:val="22"/>
          <w:szCs w:val="22"/>
        </w:rPr>
        <w:t>, 2025</w:t>
      </w:r>
      <w:r w:rsidRPr="00313AA7">
        <w:rPr>
          <w:rFonts w:ascii="Arial" w:hAnsi="Arial" w:cs="Arial"/>
          <w:sz w:val="22"/>
          <w:szCs w:val="22"/>
        </w:rPr>
        <w:t xml:space="preserve">) NHS Key Statistics: England - House of Commons Library, NHS key statistics: England. Available at: https://commonslibrary.parliament.uk/research-briefings/cbp-7281/ (Accessed: 12 October 2025). </w:t>
      </w:r>
    </w:p>
    <w:p w14:paraId="573EE57A" w14:textId="72862A48" w:rsidR="001630AC" w:rsidRPr="00313AA7" w:rsidRDefault="001630AC" w:rsidP="0032355E">
      <w:pPr>
        <w:tabs>
          <w:tab w:val="left" w:pos="1223"/>
        </w:tabs>
        <w:rPr>
          <w:rFonts w:ascii="Arial" w:hAnsi="Arial" w:cs="Arial"/>
          <w:sz w:val="22"/>
          <w:szCs w:val="22"/>
        </w:rPr>
      </w:pPr>
    </w:p>
    <w:p w14:paraId="42F257B1" w14:textId="57FD7E8B" w:rsidR="00590164" w:rsidRDefault="00590164" w:rsidP="0032355E">
      <w:pPr>
        <w:tabs>
          <w:tab w:val="left" w:pos="1223"/>
        </w:tabs>
        <w:rPr>
          <w:rFonts w:ascii="Arial" w:hAnsi="Arial" w:cs="Arial"/>
          <w:sz w:val="22"/>
          <w:szCs w:val="22"/>
        </w:rPr>
      </w:pPr>
      <w:r w:rsidRPr="00590164">
        <w:rPr>
          <w:rFonts w:ascii="Arial" w:hAnsi="Arial" w:cs="Arial"/>
          <w:sz w:val="22"/>
          <w:szCs w:val="22"/>
        </w:rPr>
        <w:t>(</w:t>
      </w:r>
      <w:r w:rsidRPr="00313AA7">
        <w:rPr>
          <w:rFonts w:ascii="Arial" w:hAnsi="Arial" w:cs="Arial"/>
          <w:sz w:val="22"/>
          <w:szCs w:val="22"/>
        </w:rPr>
        <w:t xml:space="preserve">NHS England, </w:t>
      </w:r>
      <w:r w:rsidRPr="00590164">
        <w:rPr>
          <w:rFonts w:ascii="Arial" w:hAnsi="Arial" w:cs="Arial"/>
          <w:sz w:val="22"/>
          <w:szCs w:val="22"/>
        </w:rPr>
        <w:t>2018) Ambulance response programme review</w:t>
      </w:r>
      <w:r w:rsidRPr="00313AA7">
        <w:rPr>
          <w:rFonts w:ascii="Arial" w:hAnsi="Arial" w:cs="Arial"/>
          <w:sz w:val="22"/>
          <w:szCs w:val="22"/>
        </w:rPr>
        <w:t>, Page 2.</w:t>
      </w:r>
      <w:r w:rsidRPr="00590164">
        <w:rPr>
          <w:rFonts w:ascii="Arial" w:hAnsi="Arial" w:cs="Arial"/>
          <w:sz w:val="22"/>
          <w:szCs w:val="22"/>
        </w:rPr>
        <w:t xml:space="preserve"> Available at: https://www.england.nhs.uk/wp-content/uploads/2018/10/ambulance-response-programme-review.pdf (Accessed: 12 October 2025). </w:t>
      </w:r>
    </w:p>
    <w:p w14:paraId="1A879F9B" w14:textId="77777777" w:rsidR="00313AA7" w:rsidRPr="00313AA7" w:rsidRDefault="00313AA7" w:rsidP="0032355E">
      <w:pPr>
        <w:tabs>
          <w:tab w:val="left" w:pos="1223"/>
        </w:tabs>
        <w:rPr>
          <w:rFonts w:ascii="Arial" w:hAnsi="Arial" w:cs="Arial"/>
          <w:sz w:val="22"/>
          <w:szCs w:val="22"/>
        </w:rPr>
      </w:pPr>
    </w:p>
    <w:p w14:paraId="651EFFD7" w14:textId="77777777" w:rsidR="00313AA7" w:rsidRDefault="0032355E" w:rsidP="0032355E">
      <w:pPr>
        <w:tabs>
          <w:tab w:val="left" w:pos="1223"/>
        </w:tabs>
        <w:rPr>
          <w:rFonts w:ascii="Arial" w:hAnsi="Arial" w:cs="Arial"/>
          <w:sz w:val="22"/>
          <w:szCs w:val="22"/>
        </w:rPr>
      </w:pPr>
      <w:r w:rsidRPr="0032355E">
        <w:rPr>
          <w:rFonts w:ascii="Arial" w:hAnsi="Arial" w:cs="Arial"/>
          <w:sz w:val="22"/>
          <w:szCs w:val="22"/>
        </w:rPr>
        <w:t>(</w:t>
      </w:r>
      <w:r w:rsidR="001630AC" w:rsidRPr="00313AA7">
        <w:rPr>
          <w:rFonts w:ascii="Arial" w:hAnsi="Arial" w:cs="Arial"/>
          <w:sz w:val="22"/>
          <w:szCs w:val="22"/>
          <w:lang w:val="en-US"/>
        </w:rPr>
        <w:t>Parliament UK</w:t>
      </w:r>
      <w:r w:rsidRPr="00313AA7">
        <w:rPr>
          <w:rFonts w:ascii="Arial" w:hAnsi="Arial" w:cs="Arial"/>
          <w:sz w:val="22"/>
          <w:szCs w:val="22"/>
        </w:rPr>
        <w:t xml:space="preserve">, </w:t>
      </w:r>
      <w:r w:rsidRPr="0032355E">
        <w:rPr>
          <w:rFonts w:ascii="Arial" w:hAnsi="Arial" w:cs="Arial"/>
          <w:sz w:val="22"/>
          <w:szCs w:val="22"/>
        </w:rPr>
        <w:t>2025) 1942 Beveridge report. Available at: https://www.parliament.uk/about/living-heritage/transformingsociety/livinglearning/coll-9-health1/coll-9-health/ (Accessed: 12 October 2025).</w:t>
      </w:r>
    </w:p>
    <w:p w14:paraId="5DA0FD85" w14:textId="6002C3D1" w:rsidR="0032355E" w:rsidRPr="00313AA7" w:rsidRDefault="0032355E" w:rsidP="0032355E">
      <w:pPr>
        <w:tabs>
          <w:tab w:val="left" w:pos="1223"/>
        </w:tabs>
        <w:rPr>
          <w:rFonts w:ascii="Arial" w:hAnsi="Arial" w:cs="Arial"/>
          <w:sz w:val="22"/>
          <w:szCs w:val="22"/>
        </w:rPr>
      </w:pPr>
      <w:r w:rsidRPr="0032355E">
        <w:rPr>
          <w:rFonts w:ascii="Arial" w:hAnsi="Arial" w:cs="Arial"/>
          <w:sz w:val="22"/>
          <w:szCs w:val="22"/>
        </w:rPr>
        <w:t xml:space="preserve"> </w:t>
      </w:r>
    </w:p>
    <w:p w14:paraId="37BA4B08" w14:textId="77777777" w:rsidR="00313AA7" w:rsidRDefault="00B01EFD" w:rsidP="0032355E">
      <w:pPr>
        <w:tabs>
          <w:tab w:val="left" w:pos="1223"/>
        </w:tabs>
        <w:rPr>
          <w:rFonts w:ascii="Arial" w:hAnsi="Arial" w:cs="Arial"/>
          <w:sz w:val="22"/>
          <w:szCs w:val="22"/>
        </w:rPr>
      </w:pPr>
      <w:r w:rsidRPr="00313AA7">
        <w:rPr>
          <w:rFonts w:ascii="Arial" w:hAnsi="Arial" w:cs="Arial"/>
          <w:sz w:val="22"/>
          <w:szCs w:val="22"/>
        </w:rPr>
        <w:t>(</w:t>
      </w:r>
      <w:r w:rsidRPr="00B01EFD">
        <w:rPr>
          <w:rFonts w:ascii="Arial" w:hAnsi="Arial" w:cs="Arial"/>
          <w:sz w:val="22"/>
          <w:szCs w:val="22"/>
        </w:rPr>
        <w:t>Pritchard</w:t>
      </w:r>
      <w:r w:rsidRPr="00313AA7">
        <w:rPr>
          <w:rFonts w:ascii="Arial" w:hAnsi="Arial" w:cs="Arial"/>
          <w:sz w:val="22"/>
          <w:szCs w:val="22"/>
        </w:rPr>
        <w:t>.</w:t>
      </w:r>
      <w:r w:rsidRPr="00B01EFD">
        <w:rPr>
          <w:rFonts w:ascii="Arial" w:hAnsi="Arial" w:cs="Arial"/>
          <w:sz w:val="22"/>
          <w:szCs w:val="22"/>
        </w:rPr>
        <w:t xml:space="preserve"> A</w:t>
      </w:r>
      <w:r w:rsidRPr="00313AA7">
        <w:rPr>
          <w:rFonts w:ascii="Arial" w:hAnsi="Arial" w:cs="Arial"/>
          <w:sz w:val="22"/>
          <w:szCs w:val="22"/>
        </w:rPr>
        <w:t xml:space="preserve">, </w:t>
      </w:r>
      <w:r w:rsidRPr="00B01EFD">
        <w:rPr>
          <w:rFonts w:ascii="Arial" w:hAnsi="Arial" w:cs="Arial"/>
          <w:sz w:val="22"/>
          <w:szCs w:val="22"/>
        </w:rPr>
        <w:t>2025) NHS choices. Available at: https://www.england.nhs.uk/long-read/review-of-nhs-performance-and-delivery/ (Accessed: 12 October 2025).</w:t>
      </w:r>
    </w:p>
    <w:p w14:paraId="7D879E27" w14:textId="7149CFEA" w:rsidR="00B01EFD" w:rsidRPr="00313AA7" w:rsidRDefault="00B01EFD" w:rsidP="0032355E">
      <w:pPr>
        <w:tabs>
          <w:tab w:val="left" w:pos="1223"/>
        </w:tabs>
        <w:rPr>
          <w:rFonts w:ascii="Arial" w:hAnsi="Arial" w:cs="Arial"/>
          <w:sz w:val="22"/>
          <w:szCs w:val="22"/>
        </w:rPr>
      </w:pPr>
      <w:r w:rsidRPr="00B01EFD">
        <w:rPr>
          <w:rFonts w:ascii="Arial" w:hAnsi="Arial" w:cs="Arial"/>
          <w:sz w:val="22"/>
          <w:szCs w:val="22"/>
        </w:rPr>
        <w:t xml:space="preserve"> </w:t>
      </w:r>
    </w:p>
    <w:p w14:paraId="40C75D10" w14:textId="77777777" w:rsidR="00313AA7" w:rsidRDefault="007B640D" w:rsidP="0032355E">
      <w:pPr>
        <w:tabs>
          <w:tab w:val="left" w:pos="1223"/>
        </w:tabs>
        <w:rPr>
          <w:rFonts w:ascii="Arial" w:hAnsi="Arial" w:cs="Arial"/>
          <w:sz w:val="22"/>
          <w:szCs w:val="22"/>
        </w:rPr>
      </w:pPr>
      <w:r w:rsidRPr="007B640D">
        <w:rPr>
          <w:rFonts w:ascii="Arial" w:hAnsi="Arial" w:cs="Arial"/>
          <w:sz w:val="22"/>
          <w:szCs w:val="22"/>
        </w:rPr>
        <w:t>(The King’s Fund</w:t>
      </w:r>
      <w:r w:rsidRPr="00313AA7">
        <w:rPr>
          <w:rFonts w:ascii="Arial" w:hAnsi="Arial" w:cs="Arial"/>
          <w:sz w:val="22"/>
          <w:szCs w:val="22"/>
        </w:rPr>
        <w:t xml:space="preserve">, </w:t>
      </w:r>
      <w:r w:rsidRPr="007B640D">
        <w:rPr>
          <w:rFonts w:ascii="Arial" w:hAnsi="Arial" w:cs="Arial"/>
          <w:sz w:val="22"/>
          <w:szCs w:val="22"/>
        </w:rPr>
        <w:t>2022) How does the NHS in england work?. Available at: https://www.kingsfund.org.uk/insight-and-analysis/animations/how-does-nhs-england-work (Accessed: 12 October 2025).</w:t>
      </w:r>
    </w:p>
    <w:p w14:paraId="1100D639" w14:textId="00DD31AD" w:rsidR="007B640D" w:rsidRPr="00313AA7" w:rsidRDefault="007B640D" w:rsidP="0032355E">
      <w:pPr>
        <w:tabs>
          <w:tab w:val="left" w:pos="1223"/>
        </w:tabs>
        <w:rPr>
          <w:rFonts w:ascii="Arial" w:hAnsi="Arial" w:cs="Arial"/>
          <w:sz w:val="22"/>
          <w:szCs w:val="22"/>
        </w:rPr>
      </w:pPr>
      <w:r w:rsidRPr="007B640D">
        <w:rPr>
          <w:rFonts w:ascii="Arial" w:hAnsi="Arial" w:cs="Arial"/>
          <w:sz w:val="22"/>
          <w:szCs w:val="22"/>
        </w:rPr>
        <w:t xml:space="preserve"> </w:t>
      </w:r>
    </w:p>
    <w:p w14:paraId="0B0DF11A" w14:textId="3E6AEFBC" w:rsidR="0032355E" w:rsidRPr="0032355E" w:rsidRDefault="0032355E" w:rsidP="0032355E">
      <w:pPr>
        <w:tabs>
          <w:tab w:val="left" w:pos="1223"/>
        </w:tabs>
        <w:spacing w:after="200" w:line="276" w:lineRule="auto"/>
        <w:rPr>
          <w:rFonts w:ascii="Arial" w:hAnsi="Arial" w:cs="Arial"/>
          <w:sz w:val="22"/>
          <w:szCs w:val="22"/>
        </w:rPr>
      </w:pPr>
      <w:r w:rsidRPr="0032355E">
        <w:rPr>
          <w:rFonts w:ascii="Arial" w:hAnsi="Arial" w:cs="Arial"/>
          <w:sz w:val="22"/>
          <w:szCs w:val="22"/>
        </w:rPr>
        <w:t>(The National Archives</w:t>
      </w:r>
      <w:r w:rsidRPr="00313AA7">
        <w:rPr>
          <w:rFonts w:ascii="Arial" w:hAnsi="Arial" w:cs="Arial"/>
          <w:sz w:val="22"/>
          <w:szCs w:val="22"/>
        </w:rPr>
        <w:t xml:space="preserve">, 2025) </w:t>
      </w:r>
      <w:r w:rsidRPr="0032355E">
        <w:rPr>
          <w:rFonts w:ascii="Arial" w:hAnsi="Arial" w:cs="Arial"/>
          <w:sz w:val="22"/>
          <w:szCs w:val="22"/>
        </w:rPr>
        <w:t xml:space="preserve">The foundation of the NHS. Available at: https://www.nationalarchives.gov.uk/explore-the-collection/stories/the-foundation-of-the-nhs (Accessed: 12 October 2025). </w:t>
      </w:r>
    </w:p>
    <w:p w14:paraId="5B2349F9" w14:textId="77777777" w:rsidR="00224ABB" w:rsidRPr="00224ABB" w:rsidRDefault="00224ABB" w:rsidP="00224ABB">
      <w:pPr>
        <w:tabs>
          <w:tab w:val="left" w:pos="1223"/>
        </w:tabs>
        <w:rPr>
          <w:rFonts w:ascii="Arial" w:hAnsi="Arial" w:cs="Arial"/>
          <w:sz w:val="22"/>
          <w:szCs w:val="22"/>
          <w:u w:val="single"/>
        </w:rPr>
      </w:pPr>
    </w:p>
    <w:sectPr w:rsidR="00224ABB" w:rsidRPr="00224ABB" w:rsidSect="003152F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98649" w14:textId="77777777" w:rsidR="008A0F4E" w:rsidRDefault="008A0F4E" w:rsidP="00914A81">
      <w:r>
        <w:separator/>
      </w:r>
    </w:p>
  </w:endnote>
  <w:endnote w:type="continuationSeparator" w:id="0">
    <w:p w14:paraId="139882C3" w14:textId="77777777" w:rsidR="008A0F4E" w:rsidRDefault="008A0F4E" w:rsidP="00914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D4D34" w14:textId="77777777" w:rsidR="008A0F4E" w:rsidRDefault="008A0F4E" w:rsidP="00914A81">
      <w:r>
        <w:separator/>
      </w:r>
    </w:p>
  </w:footnote>
  <w:footnote w:type="continuationSeparator" w:id="0">
    <w:p w14:paraId="6157633F" w14:textId="77777777" w:rsidR="008A0F4E" w:rsidRDefault="008A0F4E" w:rsidP="00914A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6D81B8A"/>
    <w:multiLevelType w:val="hybridMultilevel"/>
    <w:tmpl w:val="88467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056241">
    <w:abstractNumId w:val="8"/>
  </w:num>
  <w:num w:numId="2" w16cid:durableId="1288203140">
    <w:abstractNumId w:val="6"/>
  </w:num>
  <w:num w:numId="3" w16cid:durableId="1152797146">
    <w:abstractNumId w:val="5"/>
  </w:num>
  <w:num w:numId="4" w16cid:durableId="1271280266">
    <w:abstractNumId w:val="4"/>
  </w:num>
  <w:num w:numId="5" w16cid:durableId="1620800713">
    <w:abstractNumId w:val="7"/>
  </w:num>
  <w:num w:numId="6" w16cid:durableId="1691222919">
    <w:abstractNumId w:val="3"/>
  </w:num>
  <w:num w:numId="7" w16cid:durableId="1446577940">
    <w:abstractNumId w:val="2"/>
  </w:num>
  <w:num w:numId="8" w16cid:durableId="1018577874">
    <w:abstractNumId w:val="1"/>
  </w:num>
  <w:num w:numId="9" w16cid:durableId="1011295616">
    <w:abstractNumId w:val="0"/>
  </w:num>
  <w:num w:numId="10" w16cid:durableId="10901970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5694"/>
    <w:rsid w:val="000A2FC4"/>
    <w:rsid w:val="000A319A"/>
    <w:rsid w:val="000A66B4"/>
    <w:rsid w:val="000B2ED0"/>
    <w:rsid w:val="000B63E6"/>
    <w:rsid w:val="001238AA"/>
    <w:rsid w:val="00136313"/>
    <w:rsid w:val="0015074B"/>
    <w:rsid w:val="001630AC"/>
    <w:rsid w:val="0019525D"/>
    <w:rsid w:val="001B2F10"/>
    <w:rsid w:val="001F3CD5"/>
    <w:rsid w:val="00204BEC"/>
    <w:rsid w:val="00224ABB"/>
    <w:rsid w:val="002724E3"/>
    <w:rsid w:val="0029639D"/>
    <w:rsid w:val="002A0322"/>
    <w:rsid w:val="002B5F90"/>
    <w:rsid w:val="002D2DFD"/>
    <w:rsid w:val="002E4DF3"/>
    <w:rsid w:val="003047EC"/>
    <w:rsid w:val="00312D1C"/>
    <w:rsid w:val="00313AA7"/>
    <w:rsid w:val="003152F7"/>
    <w:rsid w:val="00317E99"/>
    <w:rsid w:val="0032355E"/>
    <w:rsid w:val="00326F90"/>
    <w:rsid w:val="00361115"/>
    <w:rsid w:val="003B1333"/>
    <w:rsid w:val="003B46BA"/>
    <w:rsid w:val="00423642"/>
    <w:rsid w:val="00427B81"/>
    <w:rsid w:val="00460A86"/>
    <w:rsid w:val="005412EE"/>
    <w:rsid w:val="00590164"/>
    <w:rsid w:val="005A79EF"/>
    <w:rsid w:val="006040BF"/>
    <w:rsid w:val="00617D49"/>
    <w:rsid w:val="006218D3"/>
    <w:rsid w:val="00630C28"/>
    <w:rsid w:val="00700D76"/>
    <w:rsid w:val="00712831"/>
    <w:rsid w:val="007204D3"/>
    <w:rsid w:val="007460F3"/>
    <w:rsid w:val="0075506B"/>
    <w:rsid w:val="007B640D"/>
    <w:rsid w:val="008A0F4E"/>
    <w:rsid w:val="008C70CA"/>
    <w:rsid w:val="009024FA"/>
    <w:rsid w:val="00911F65"/>
    <w:rsid w:val="00914A81"/>
    <w:rsid w:val="009C574A"/>
    <w:rsid w:val="009D6743"/>
    <w:rsid w:val="00A158A9"/>
    <w:rsid w:val="00A4618C"/>
    <w:rsid w:val="00AA1D8D"/>
    <w:rsid w:val="00B01EFD"/>
    <w:rsid w:val="00B435B5"/>
    <w:rsid w:val="00B47730"/>
    <w:rsid w:val="00B73CFD"/>
    <w:rsid w:val="00C6010C"/>
    <w:rsid w:val="00CB0664"/>
    <w:rsid w:val="00CC34AB"/>
    <w:rsid w:val="00D05829"/>
    <w:rsid w:val="00D25C87"/>
    <w:rsid w:val="00DA75CE"/>
    <w:rsid w:val="00DE410D"/>
    <w:rsid w:val="00DF27B5"/>
    <w:rsid w:val="00E74021"/>
    <w:rsid w:val="00EF5134"/>
    <w:rsid w:val="00F64ADA"/>
    <w:rsid w:val="00FC5A9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270FDE"/>
  <w14:defaultImageDpi w14:val="300"/>
  <w15:docId w15:val="{237C8AF4-4D87-4D62-98E6-34375B9C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EFD"/>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412EE"/>
    <w:rPr>
      <w:color w:val="0000FF" w:themeColor="hyperlink"/>
      <w:u w:val="single"/>
    </w:rPr>
  </w:style>
  <w:style w:type="character" w:styleId="UnresolvedMention">
    <w:name w:val="Unresolved Mention"/>
    <w:basedOn w:val="DefaultParagraphFont"/>
    <w:uiPriority w:val="99"/>
    <w:semiHidden/>
    <w:unhideWhenUsed/>
    <w:rsid w:val="005412EE"/>
    <w:rPr>
      <w:color w:val="605E5C"/>
      <w:shd w:val="clear" w:color="auto" w:fill="E1DFDD"/>
    </w:rPr>
  </w:style>
  <w:style w:type="paragraph" w:styleId="NormalWeb">
    <w:name w:val="Normal (Web)"/>
    <w:basedOn w:val="Normal"/>
    <w:uiPriority w:val="99"/>
    <w:semiHidden/>
    <w:unhideWhenUsed/>
    <w:rsid w:val="00313A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Fatema Khatun</cp:lastModifiedBy>
  <cp:revision>2</cp:revision>
  <dcterms:created xsi:type="dcterms:W3CDTF">2025-10-18T15:42:00Z</dcterms:created>
  <dcterms:modified xsi:type="dcterms:W3CDTF">2025-10-18T15:42:00Z</dcterms:modified>
  <cp:category/>
</cp:coreProperties>
</file>