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93BC6E" w14:textId="77777777" w:rsidR="00861D7D" w:rsidRDefault="00861D7D" w:rsidP="00CF2B05">
      <w:pPr>
        <w:jc w:val="center"/>
      </w:pPr>
      <w:r>
        <w:rPr>
          <w:noProof/>
        </w:rPr>
        <w:drawing>
          <wp:inline distT="0" distB="0" distL="0" distR="0" wp14:anchorId="6A9C3D00" wp14:editId="5F4D9215">
            <wp:extent cx="3387090" cy="1351915"/>
            <wp:effectExtent l="0" t="0" r="3810" b="635"/>
            <wp:docPr id="1922037522"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7090" cy="1351915"/>
                    </a:xfrm>
                    <a:prstGeom prst="rect">
                      <a:avLst/>
                    </a:prstGeom>
                    <a:noFill/>
                    <a:ln>
                      <a:noFill/>
                    </a:ln>
                  </pic:spPr>
                </pic:pic>
              </a:graphicData>
            </a:graphic>
          </wp:inline>
        </w:drawing>
      </w:r>
    </w:p>
    <w:p w14:paraId="7F408A89" w14:textId="77777777" w:rsidR="00D04192" w:rsidRDefault="00D04192" w:rsidP="00CF2B05">
      <w:pPr>
        <w:jc w:val="center"/>
        <w:rPr>
          <w:b/>
          <w:bCs/>
          <w:sz w:val="28"/>
          <w:szCs w:val="28"/>
        </w:rPr>
      </w:pPr>
    </w:p>
    <w:p w14:paraId="75E7535E" w14:textId="77777777" w:rsidR="00D04192" w:rsidRDefault="00D04192" w:rsidP="00CF2B05">
      <w:pPr>
        <w:jc w:val="center"/>
        <w:rPr>
          <w:b/>
          <w:bCs/>
          <w:sz w:val="28"/>
          <w:szCs w:val="28"/>
        </w:rPr>
      </w:pPr>
    </w:p>
    <w:p w14:paraId="3DCC7D85" w14:textId="77777777" w:rsidR="00D04192" w:rsidRDefault="00D04192" w:rsidP="00CF2B05">
      <w:pPr>
        <w:jc w:val="center"/>
        <w:rPr>
          <w:b/>
          <w:bCs/>
          <w:sz w:val="28"/>
          <w:szCs w:val="28"/>
        </w:rPr>
      </w:pPr>
    </w:p>
    <w:p w14:paraId="00535037" w14:textId="4676273F" w:rsidR="00861D7D" w:rsidRPr="00D04192" w:rsidRDefault="00861D7D" w:rsidP="00CF2B05">
      <w:pPr>
        <w:jc w:val="center"/>
        <w:rPr>
          <w:b/>
          <w:bCs/>
          <w:sz w:val="28"/>
          <w:szCs w:val="28"/>
        </w:rPr>
      </w:pPr>
      <w:r w:rsidRPr="00D04192">
        <w:rPr>
          <w:b/>
          <w:bCs/>
          <w:sz w:val="28"/>
          <w:szCs w:val="28"/>
        </w:rPr>
        <w:t>LCMB7002 Financial Management</w:t>
      </w:r>
    </w:p>
    <w:p w14:paraId="18AAF777" w14:textId="662CC3B3" w:rsidR="00D04192" w:rsidRPr="00D04192" w:rsidRDefault="00D04192" w:rsidP="00D04192">
      <w:pPr>
        <w:spacing w:after="0" w:line="240" w:lineRule="auto"/>
        <w:rPr>
          <w:rFonts w:ascii="Times New Roman" w:eastAsia="Times New Roman" w:hAnsi="Times New Roman" w:cs="Times New Roman"/>
          <w:kern w:val="0"/>
          <w14:ligatures w14:val="none"/>
        </w:rPr>
      </w:pPr>
    </w:p>
    <w:p w14:paraId="71E43C23" w14:textId="77777777" w:rsidR="00D04192" w:rsidRPr="00D04192" w:rsidRDefault="00D04192" w:rsidP="00D04192">
      <w:pPr>
        <w:spacing w:after="0"/>
        <w:jc w:val="center"/>
        <w:rPr>
          <w:rFonts w:ascii="Times New Roman" w:eastAsia="Times New Roman" w:hAnsi="Times New Roman" w:cs="Times New Roman"/>
          <w:kern w:val="0"/>
          <w:sz w:val="28"/>
          <w:szCs w:val="28"/>
          <w14:ligatures w14:val="none"/>
        </w:rPr>
      </w:pPr>
      <w:r w:rsidRPr="00D04192">
        <w:rPr>
          <w:rFonts w:eastAsia="Times New Roman"/>
          <w:b/>
          <w:bCs/>
          <w:color w:val="000000"/>
          <w:kern w:val="0"/>
          <w:sz w:val="28"/>
          <w:szCs w:val="28"/>
          <w14:ligatures w14:val="none"/>
        </w:rPr>
        <w:t>Student Name: Mohammed Nur Navi Jahin</w:t>
      </w:r>
    </w:p>
    <w:p w14:paraId="5BE3F57C" w14:textId="77777777" w:rsidR="00D04192" w:rsidRPr="00D04192" w:rsidRDefault="00D04192" w:rsidP="00D04192">
      <w:pPr>
        <w:spacing w:after="0"/>
        <w:jc w:val="center"/>
        <w:rPr>
          <w:rFonts w:ascii="Times New Roman" w:eastAsia="Times New Roman" w:hAnsi="Times New Roman" w:cs="Times New Roman"/>
          <w:kern w:val="0"/>
          <w:sz w:val="28"/>
          <w:szCs w:val="28"/>
          <w14:ligatures w14:val="none"/>
        </w:rPr>
      </w:pPr>
      <w:r w:rsidRPr="00D04192">
        <w:rPr>
          <w:rFonts w:eastAsia="Times New Roman"/>
          <w:b/>
          <w:bCs/>
          <w:color w:val="000000"/>
          <w:kern w:val="0"/>
          <w:sz w:val="28"/>
          <w:szCs w:val="28"/>
          <w14:ligatures w14:val="none"/>
        </w:rPr>
        <w:t> </w:t>
      </w:r>
    </w:p>
    <w:p w14:paraId="534D901B" w14:textId="77777777" w:rsidR="00D04192" w:rsidRPr="00D04192" w:rsidRDefault="00D04192" w:rsidP="00D04192">
      <w:pPr>
        <w:spacing w:after="0"/>
        <w:jc w:val="center"/>
        <w:rPr>
          <w:rFonts w:eastAsia="Times New Roman"/>
          <w:b/>
          <w:bCs/>
          <w:color w:val="000000"/>
          <w:kern w:val="0"/>
          <w:sz w:val="28"/>
          <w:szCs w:val="28"/>
          <w14:ligatures w14:val="none"/>
        </w:rPr>
      </w:pPr>
      <w:r w:rsidRPr="00D04192">
        <w:rPr>
          <w:rFonts w:eastAsia="Times New Roman"/>
          <w:b/>
          <w:bCs/>
          <w:color w:val="000000"/>
          <w:kern w:val="0"/>
          <w:sz w:val="28"/>
          <w:szCs w:val="28"/>
          <w14:ligatures w14:val="none"/>
        </w:rPr>
        <w:t>Student ID: 2503765</w:t>
      </w:r>
    </w:p>
    <w:p w14:paraId="20A98D12" w14:textId="77777777" w:rsidR="00D04192" w:rsidRPr="00D04192" w:rsidRDefault="00D04192" w:rsidP="00D04192">
      <w:pPr>
        <w:jc w:val="center"/>
        <w:rPr>
          <w:rFonts w:ascii="Times New Roman" w:eastAsia="Times New Roman" w:hAnsi="Times New Roman" w:cs="Times New Roman"/>
          <w:kern w:val="0"/>
          <w:sz w:val="28"/>
          <w:szCs w:val="28"/>
          <w14:ligatures w14:val="none"/>
        </w:rPr>
      </w:pPr>
      <w:r w:rsidRPr="00D04192">
        <w:rPr>
          <w:rFonts w:eastAsia="Times New Roman"/>
          <w:b/>
          <w:bCs/>
          <w:color w:val="000000"/>
          <w:kern w:val="0"/>
          <w:sz w:val="28"/>
          <w:szCs w:val="28"/>
          <w14:ligatures w14:val="none"/>
        </w:rPr>
        <w:t>Assessment component: Financial performance and management</w:t>
      </w:r>
    </w:p>
    <w:p w14:paraId="2395BAF7" w14:textId="77777777" w:rsidR="00D04192" w:rsidRPr="00D04192" w:rsidRDefault="00D04192" w:rsidP="00D04192">
      <w:pPr>
        <w:jc w:val="center"/>
        <w:rPr>
          <w:rFonts w:ascii="Times New Roman" w:eastAsia="Times New Roman" w:hAnsi="Times New Roman" w:cs="Times New Roman"/>
          <w:kern w:val="0"/>
          <w:sz w:val="28"/>
          <w:szCs w:val="28"/>
          <w14:ligatures w14:val="none"/>
        </w:rPr>
      </w:pPr>
      <w:r w:rsidRPr="00D04192">
        <w:rPr>
          <w:rFonts w:eastAsia="Times New Roman"/>
          <w:b/>
          <w:bCs/>
          <w:color w:val="000000"/>
          <w:kern w:val="0"/>
          <w:sz w:val="28"/>
          <w:szCs w:val="28"/>
          <w14:ligatures w14:val="none"/>
        </w:rPr>
        <w:t>Lecturer: Shengfeng Mei (London)</w:t>
      </w:r>
    </w:p>
    <w:p w14:paraId="619E3186" w14:textId="77777777" w:rsidR="00D04192" w:rsidRPr="00D04192" w:rsidRDefault="00D04192" w:rsidP="00D04192">
      <w:pPr>
        <w:spacing w:after="0" w:line="240" w:lineRule="auto"/>
        <w:jc w:val="left"/>
        <w:rPr>
          <w:rFonts w:ascii="Times New Roman" w:eastAsia="Times New Roman" w:hAnsi="Times New Roman" w:cs="Times New Roman"/>
          <w:b/>
          <w:bCs/>
          <w:kern w:val="0"/>
          <w:sz w:val="28"/>
          <w:szCs w:val="28"/>
          <w14:ligatures w14:val="none"/>
        </w:rPr>
      </w:pPr>
    </w:p>
    <w:p w14:paraId="027893A1" w14:textId="0A06387A" w:rsidR="00266F61" w:rsidRPr="00D04192" w:rsidRDefault="00266F61" w:rsidP="00CF2B05">
      <w:pPr>
        <w:jc w:val="center"/>
        <w:rPr>
          <w:b/>
          <w:bCs/>
          <w:sz w:val="28"/>
          <w:szCs w:val="28"/>
        </w:rPr>
      </w:pPr>
      <w:r w:rsidRPr="00D04192">
        <w:rPr>
          <w:b/>
          <w:bCs/>
          <w:sz w:val="28"/>
          <w:szCs w:val="28"/>
        </w:rPr>
        <w:t>Word count:</w:t>
      </w:r>
      <w:r w:rsidR="00CA3C4D" w:rsidRPr="00D04192">
        <w:rPr>
          <w:b/>
          <w:bCs/>
          <w:sz w:val="28"/>
          <w:szCs w:val="28"/>
        </w:rPr>
        <w:t xml:space="preserve"> 5</w:t>
      </w:r>
      <w:r w:rsidR="00D31F54" w:rsidRPr="00D04192">
        <w:rPr>
          <w:b/>
          <w:bCs/>
          <w:sz w:val="28"/>
          <w:szCs w:val="28"/>
        </w:rPr>
        <w:t>105</w:t>
      </w:r>
    </w:p>
    <w:p w14:paraId="7D7352B9" w14:textId="73D1F7E5" w:rsidR="00044DB3" w:rsidRDefault="00266F61" w:rsidP="00CF2B05">
      <w:pPr>
        <w:jc w:val="center"/>
        <w:rPr>
          <w:sz w:val="32"/>
          <w:szCs w:val="32"/>
        </w:rPr>
      </w:pPr>
      <w:r w:rsidRPr="00D04192">
        <w:rPr>
          <w:b/>
          <w:bCs/>
          <w:sz w:val="28"/>
          <w:szCs w:val="28"/>
        </w:rPr>
        <w:t>Submission date:</w:t>
      </w:r>
      <w:r w:rsidR="00F85B21">
        <w:rPr>
          <w:b/>
          <w:bCs/>
          <w:sz w:val="28"/>
          <w:szCs w:val="28"/>
        </w:rPr>
        <w:t xml:space="preserve"> 22</w:t>
      </w:r>
      <w:r w:rsidR="00D04192" w:rsidRPr="00D04192">
        <w:rPr>
          <w:b/>
          <w:bCs/>
          <w:sz w:val="28"/>
          <w:szCs w:val="28"/>
        </w:rPr>
        <w:t xml:space="preserve"> December, 2025</w:t>
      </w:r>
      <w:r w:rsidR="00861D7D">
        <w:rPr>
          <w:sz w:val="32"/>
          <w:szCs w:val="32"/>
        </w:rPr>
        <w:br w:type="page"/>
      </w:r>
    </w:p>
    <w:sdt>
      <w:sdtPr>
        <w:rPr>
          <w:rFonts w:ascii="Arial" w:eastAsiaTheme="minorHAnsi" w:hAnsi="Arial" w:cs="Arial"/>
          <w:color w:val="auto"/>
          <w:kern w:val="2"/>
          <w:sz w:val="24"/>
          <w:szCs w:val="24"/>
          <w14:ligatures w14:val="standardContextual"/>
        </w:rPr>
        <w:id w:val="-1137947040"/>
        <w:docPartObj>
          <w:docPartGallery w:val="Table of Contents"/>
          <w:docPartUnique/>
        </w:docPartObj>
      </w:sdtPr>
      <w:sdtEndPr>
        <w:rPr>
          <w:noProof/>
        </w:rPr>
      </w:sdtEndPr>
      <w:sdtContent>
        <w:p w14:paraId="578CD515" w14:textId="274E510E" w:rsidR="001372B6" w:rsidRDefault="001372B6" w:rsidP="005E5909">
          <w:pPr>
            <w:pStyle w:val="TOCHeading"/>
            <w:spacing w:line="360" w:lineRule="auto"/>
            <w:jc w:val="both"/>
          </w:pPr>
          <w:r>
            <w:t>Table of Contents</w:t>
          </w:r>
        </w:p>
        <w:p w14:paraId="13A90D4B" w14:textId="3E752367" w:rsidR="005E5909" w:rsidRDefault="001372B6" w:rsidP="005E5909">
          <w:pPr>
            <w:pStyle w:val="TOC1"/>
            <w:tabs>
              <w:tab w:val="right" w:leader="dot" w:pos="9019"/>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216707179" w:history="1">
            <w:r w:rsidR="005E5909" w:rsidRPr="00C24375">
              <w:rPr>
                <w:rStyle w:val="Hyperlink"/>
                <w:noProof/>
              </w:rPr>
              <w:t>Introduction</w:t>
            </w:r>
            <w:r w:rsidR="005E5909">
              <w:rPr>
                <w:noProof/>
                <w:webHidden/>
              </w:rPr>
              <w:tab/>
            </w:r>
            <w:r w:rsidR="005E5909">
              <w:rPr>
                <w:noProof/>
                <w:webHidden/>
              </w:rPr>
              <w:fldChar w:fldCharType="begin"/>
            </w:r>
            <w:r w:rsidR="005E5909">
              <w:rPr>
                <w:noProof/>
                <w:webHidden/>
              </w:rPr>
              <w:instrText xml:space="preserve"> PAGEREF _Toc216707179 \h </w:instrText>
            </w:r>
            <w:r w:rsidR="005E5909">
              <w:rPr>
                <w:noProof/>
                <w:webHidden/>
              </w:rPr>
            </w:r>
            <w:r w:rsidR="005E5909">
              <w:rPr>
                <w:noProof/>
                <w:webHidden/>
              </w:rPr>
              <w:fldChar w:fldCharType="separate"/>
            </w:r>
            <w:r w:rsidR="0044216B">
              <w:rPr>
                <w:noProof/>
                <w:webHidden/>
              </w:rPr>
              <w:t>4</w:t>
            </w:r>
            <w:r w:rsidR="005E5909">
              <w:rPr>
                <w:noProof/>
                <w:webHidden/>
              </w:rPr>
              <w:fldChar w:fldCharType="end"/>
            </w:r>
          </w:hyperlink>
        </w:p>
        <w:p w14:paraId="576FC24C" w14:textId="0C353522" w:rsidR="005E5909" w:rsidRDefault="00E11F48" w:rsidP="005E5909">
          <w:pPr>
            <w:pStyle w:val="TOC1"/>
            <w:tabs>
              <w:tab w:val="right" w:leader="dot" w:pos="9019"/>
            </w:tabs>
            <w:rPr>
              <w:rFonts w:asciiTheme="minorHAnsi" w:eastAsiaTheme="minorEastAsia" w:hAnsiTheme="minorHAnsi" w:cstheme="minorBidi"/>
              <w:noProof/>
            </w:rPr>
          </w:pPr>
          <w:hyperlink w:anchor="_Toc216707180" w:history="1">
            <w:r w:rsidR="005E5909" w:rsidRPr="00C24375">
              <w:rPr>
                <w:rStyle w:val="Hyperlink"/>
                <w:noProof/>
              </w:rPr>
              <w:t>Financial Health Check</w:t>
            </w:r>
            <w:r w:rsidR="005E5909">
              <w:rPr>
                <w:noProof/>
                <w:webHidden/>
              </w:rPr>
              <w:tab/>
            </w:r>
            <w:r w:rsidR="005E5909">
              <w:rPr>
                <w:noProof/>
                <w:webHidden/>
              </w:rPr>
              <w:fldChar w:fldCharType="begin"/>
            </w:r>
            <w:r w:rsidR="005E5909">
              <w:rPr>
                <w:noProof/>
                <w:webHidden/>
              </w:rPr>
              <w:instrText xml:space="preserve"> PAGEREF _Toc216707180 \h </w:instrText>
            </w:r>
            <w:r w:rsidR="005E5909">
              <w:rPr>
                <w:noProof/>
                <w:webHidden/>
              </w:rPr>
            </w:r>
            <w:r w:rsidR="005E5909">
              <w:rPr>
                <w:noProof/>
                <w:webHidden/>
              </w:rPr>
              <w:fldChar w:fldCharType="separate"/>
            </w:r>
            <w:r w:rsidR="0044216B">
              <w:rPr>
                <w:noProof/>
                <w:webHidden/>
              </w:rPr>
              <w:t>5</w:t>
            </w:r>
            <w:r w:rsidR="005E5909">
              <w:rPr>
                <w:noProof/>
                <w:webHidden/>
              </w:rPr>
              <w:fldChar w:fldCharType="end"/>
            </w:r>
          </w:hyperlink>
        </w:p>
        <w:p w14:paraId="757DC575" w14:textId="7D14998A" w:rsidR="005E5909" w:rsidRDefault="00E11F48" w:rsidP="005E5909">
          <w:pPr>
            <w:pStyle w:val="TOC2"/>
            <w:tabs>
              <w:tab w:val="right" w:leader="dot" w:pos="9019"/>
            </w:tabs>
            <w:rPr>
              <w:rFonts w:asciiTheme="minorHAnsi" w:eastAsiaTheme="minorEastAsia" w:hAnsiTheme="minorHAnsi" w:cstheme="minorBidi"/>
              <w:noProof/>
            </w:rPr>
          </w:pPr>
          <w:hyperlink w:anchor="_Toc216707181" w:history="1">
            <w:r w:rsidR="005E5909" w:rsidRPr="00C24375">
              <w:rPr>
                <w:rStyle w:val="Hyperlink"/>
                <w:noProof/>
              </w:rPr>
              <w:t>Profitability Analysis</w:t>
            </w:r>
            <w:r w:rsidR="005E5909">
              <w:rPr>
                <w:noProof/>
                <w:webHidden/>
              </w:rPr>
              <w:tab/>
            </w:r>
            <w:r w:rsidR="005E5909">
              <w:rPr>
                <w:noProof/>
                <w:webHidden/>
              </w:rPr>
              <w:fldChar w:fldCharType="begin"/>
            </w:r>
            <w:r w:rsidR="005E5909">
              <w:rPr>
                <w:noProof/>
                <w:webHidden/>
              </w:rPr>
              <w:instrText xml:space="preserve"> PAGEREF _Toc216707181 \h </w:instrText>
            </w:r>
            <w:r w:rsidR="005E5909">
              <w:rPr>
                <w:noProof/>
                <w:webHidden/>
              </w:rPr>
            </w:r>
            <w:r w:rsidR="005E5909">
              <w:rPr>
                <w:noProof/>
                <w:webHidden/>
              </w:rPr>
              <w:fldChar w:fldCharType="separate"/>
            </w:r>
            <w:r w:rsidR="0044216B">
              <w:rPr>
                <w:noProof/>
                <w:webHidden/>
              </w:rPr>
              <w:t>5</w:t>
            </w:r>
            <w:r w:rsidR="005E5909">
              <w:rPr>
                <w:noProof/>
                <w:webHidden/>
              </w:rPr>
              <w:fldChar w:fldCharType="end"/>
            </w:r>
          </w:hyperlink>
        </w:p>
        <w:p w14:paraId="750D1043" w14:textId="057960F2" w:rsidR="005E5909" w:rsidRDefault="00E11F48" w:rsidP="005E5909">
          <w:pPr>
            <w:pStyle w:val="TOC2"/>
            <w:tabs>
              <w:tab w:val="right" w:leader="dot" w:pos="9019"/>
            </w:tabs>
            <w:rPr>
              <w:rFonts w:asciiTheme="minorHAnsi" w:eastAsiaTheme="minorEastAsia" w:hAnsiTheme="minorHAnsi" w:cstheme="minorBidi"/>
              <w:noProof/>
            </w:rPr>
          </w:pPr>
          <w:hyperlink w:anchor="_Toc216707182" w:history="1">
            <w:r w:rsidR="005E5909" w:rsidRPr="00C24375">
              <w:rPr>
                <w:rStyle w:val="Hyperlink"/>
                <w:noProof/>
              </w:rPr>
              <w:t>Liquidity Analysis</w:t>
            </w:r>
            <w:r w:rsidR="005E5909">
              <w:rPr>
                <w:noProof/>
                <w:webHidden/>
              </w:rPr>
              <w:tab/>
            </w:r>
            <w:r w:rsidR="005E5909">
              <w:rPr>
                <w:noProof/>
                <w:webHidden/>
              </w:rPr>
              <w:fldChar w:fldCharType="begin"/>
            </w:r>
            <w:r w:rsidR="005E5909">
              <w:rPr>
                <w:noProof/>
                <w:webHidden/>
              </w:rPr>
              <w:instrText xml:space="preserve"> PAGEREF _Toc216707182 \h </w:instrText>
            </w:r>
            <w:r w:rsidR="005E5909">
              <w:rPr>
                <w:noProof/>
                <w:webHidden/>
              </w:rPr>
            </w:r>
            <w:r w:rsidR="005E5909">
              <w:rPr>
                <w:noProof/>
                <w:webHidden/>
              </w:rPr>
              <w:fldChar w:fldCharType="separate"/>
            </w:r>
            <w:r w:rsidR="0044216B">
              <w:rPr>
                <w:noProof/>
                <w:webHidden/>
              </w:rPr>
              <w:t>6</w:t>
            </w:r>
            <w:r w:rsidR="005E5909">
              <w:rPr>
                <w:noProof/>
                <w:webHidden/>
              </w:rPr>
              <w:fldChar w:fldCharType="end"/>
            </w:r>
          </w:hyperlink>
        </w:p>
        <w:p w14:paraId="1135D6CD" w14:textId="46466553" w:rsidR="005E5909" w:rsidRDefault="00E11F48" w:rsidP="005E5909">
          <w:pPr>
            <w:pStyle w:val="TOC2"/>
            <w:tabs>
              <w:tab w:val="right" w:leader="dot" w:pos="9019"/>
            </w:tabs>
            <w:rPr>
              <w:rFonts w:asciiTheme="minorHAnsi" w:eastAsiaTheme="minorEastAsia" w:hAnsiTheme="minorHAnsi" w:cstheme="minorBidi"/>
              <w:noProof/>
            </w:rPr>
          </w:pPr>
          <w:hyperlink w:anchor="_Toc216707183" w:history="1">
            <w:r w:rsidR="005E5909" w:rsidRPr="00C24375">
              <w:rPr>
                <w:rStyle w:val="Hyperlink"/>
                <w:noProof/>
              </w:rPr>
              <w:t>Efficiency and Working Capital Analysis.</w:t>
            </w:r>
            <w:r w:rsidR="005E5909">
              <w:rPr>
                <w:noProof/>
                <w:webHidden/>
              </w:rPr>
              <w:tab/>
            </w:r>
            <w:r w:rsidR="005E5909">
              <w:rPr>
                <w:noProof/>
                <w:webHidden/>
              </w:rPr>
              <w:fldChar w:fldCharType="begin"/>
            </w:r>
            <w:r w:rsidR="005E5909">
              <w:rPr>
                <w:noProof/>
                <w:webHidden/>
              </w:rPr>
              <w:instrText xml:space="preserve"> PAGEREF _Toc216707183 \h </w:instrText>
            </w:r>
            <w:r w:rsidR="005E5909">
              <w:rPr>
                <w:noProof/>
                <w:webHidden/>
              </w:rPr>
            </w:r>
            <w:r w:rsidR="005E5909">
              <w:rPr>
                <w:noProof/>
                <w:webHidden/>
              </w:rPr>
              <w:fldChar w:fldCharType="separate"/>
            </w:r>
            <w:r w:rsidR="0044216B">
              <w:rPr>
                <w:noProof/>
                <w:webHidden/>
              </w:rPr>
              <w:t>7</w:t>
            </w:r>
            <w:r w:rsidR="005E5909">
              <w:rPr>
                <w:noProof/>
                <w:webHidden/>
              </w:rPr>
              <w:fldChar w:fldCharType="end"/>
            </w:r>
          </w:hyperlink>
        </w:p>
        <w:p w14:paraId="597E1EB5" w14:textId="3242F426" w:rsidR="005E5909" w:rsidRDefault="00E11F48" w:rsidP="005E5909">
          <w:pPr>
            <w:pStyle w:val="TOC2"/>
            <w:tabs>
              <w:tab w:val="right" w:leader="dot" w:pos="9019"/>
            </w:tabs>
            <w:rPr>
              <w:rFonts w:asciiTheme="minorHAnsi" w:eastAsiaTheme="minorEastAsia" w:hAnsiTheme="minorHAnsi" w:cstheme="minorBidi"/>
              <w:noProof/>
            </w:rPr>
          </w:pPr>
          <w:hyperlink w:anchor="_Toc216707184" w:history="1">
            <w:r w:rsidR="005E5909" w:rsidRPr="00C24375">
              <w:rPr>
                <w:rStyle w:val="Hyperlink"/>
                <w:noProof/>
              </w:rPr>
              <w:t>Gearing and Financial Risk</w:t>
            </w:r>
            <w:r w:rsidR="005E5909">
              <w:rPr>
                <w:noProof/>
                <w:webHidden/>
              </w:rPr>
              <w:tab/>
            </w:r>
            <w:r w:rsidR="005E5909">
              <w:rPr>
                <w:noProof/>
                <w:webHidden/>
              </w:rPr>
              <w:fldChar w:fldCharType="begin"/>
            </w:r>
            <w:r w:rsidR="005E5909">
              <w:rPr>
                <w:noProof/>
                <w:webHidden/>
              </w:rPr>
              <w:instrText xml:space="preserve"> PAGEREF _Toc216707184 \h </w:instrText>
            </w:r>
            <w:r w:rsidR="005E5909">
              <w:rPr>
                <w:noProof/>
                <w:webHidden/>
              </w:rPr>
            </w:r>
            <w:r w:rsidR="005E5909">
              <w:rPr>
                <w:noProof/>
                <w:webHidden/>
              </w:rPr>
              <w:fldChar w:fldCharType="separate"/>
            </w:r>
            <w:r w:rsidR="0044216B">
              <w:rPr>
                <w:noProof/>
                <w:webHidden/>
              </w:rPr>
              <w:t>8</w:t>
            </w:r>
            <w:r w:rsidR="005E5909">
              <w:rPr>
                <w:noProof/>
                <w:webHidden/>
              </w:rPr>
              <w:fldChar w:fldCharType="end"/>
            </w:r>
          </w:hyperlink>
        </w:p>
        <w:p w14:paraId="566CF459" w14:textId="20B59013" w:rsidR="005E5909" w:rsidRDefault="00E11F48" w:rsidP="005E5909">
          <w:pPr>
            <w:pStyle w:val="TOC2"/>
            <w:tabs>
              <w:tab w:val="right" w:leader="dot" w:pos="9019"/>
            </w:tabs>
            <w:rPr>
              <w:rFonts w:asciiTheme="minorHAnsi" w:eastAsiaTheme="minorEastAsia" w:hAnsiTheme="minorHAnsi" w:cstheme="minorBidi"/>
              <w:noProof/>
            </w:rPr>
          </w:pPr>
          <w:hyperlink w:anchor="_Toc216707185" w:history="1">
            <w:r w:rsidR="005E5909" w:rsidRPr="00C24375">
              <w:rPr>
                <w:rStyle w:val="Hyperlink"/>
                <w:noProof/>
              </w:rPr>
              <w:t>Cash Flow Performance</w:t>
            </w:r>
            <w:r w:rsidR="005E5909">
              <w:rPr>
                <w:noProof/>
                <w:webHidden/>
              </w:rPr>
              <w:tab/>
            </w:r>
            <w:r w:rsidR="005E5909">
              <w:rPr>
                <w:noProof/>
                <w:webHidden/>
              </w:rPr>
              <w:fldChar w:fldCharType="begin"/>
            </w:r>
            <w:r w:rsidR="005E5909">
              <w:rPr>
                <w:noProof/>
                <w:webHidden/>
              </w:rPr>
              <w:instrText xml:space="preserve"> PAGEREF _Toc216707185 \h </w:instrText>
            </w:r>
            <w:r w:rsidR="005E5909">
              <w:rPr>
                <w:noProof/>
                <w:webHidden/>
              </w:rPr>
            </w:r>
            <w:r w:rsidR="005E5909">
              <w:rPr>
                <w:noProof/>
                <w:webHidden/>
              </w:rPr>
              <w:fldChar w:fldCharType="separate"/>
            </w:r>
            <w:r w:rsidR="0044216B">
              <w:rPr>
                <w:noProof/>
                <w:webHidden/>
              </w:rPr>
              <w:t>8</w:t>
            </w:r>
            <w:r w:rsidR="005E5909">
              <w:rPr>
                <w:noProof/>
                <w:webHidden/>
              </w:rPr>
              <w:fldChar w:fldCharType="end"/>
            </w:r>
          </w:hyperlink>
        </w:p>
        <w:p w14:paraId="2CE6D812" w14:textId="6B38C672" w:rsidR="005E5909" w:rsidRDefault="00E11F48" w:rsidP="005E5909">
          <w:pPr>
            <w:pStyle w:val="TOC2"/>
            <w:tabs>
              <w:tab w:val="right" w:leader="dot" w:pos="9019"/>
            </w:tabs>
            <w:rPr>
              <w:rFonts w:asciiTheme="minorHAnsi" w:eastAsiaTheme="minorEastAsia" w:hAnsiTheme="minorHAnsi" w:cstheme="minorBidi"/>
              <w:noProof/>
            </w:rPr>
          </w:pPr>
          <w:hyperlink w:anchor="_Toc216707186" w:history="1">
            <w:r w:rsidR="005E5909" w:rsidRPr="00C24375">
              <w:rPr>
                <w:rStyle w:val="Hyperlink"/>
                <w:noProof/>
              </w:rPr>
              <w:t>Altman Z-Score: Default Risk Assessment.</w:t>
            </w:r>
            <w:r w:rsidR="005E5909">
              <w:rPr>
                <w:noProof/>
                <w:webHidden/>
              </w:rPr>
              <w:tab/>
            </w:r>
            <w:r w:rsidR="005E5909">
              <w:rPr>
                <w:noProof/>
                <w:webHidden/>
              </w:rPr>
              <w:fldChar w:fldCharType="begin"/>
            </w:r>
            <w:r w:rsidR="005E5909">
              <w:rPr>
                <w:noProof/>
                <w:webHidden/>
              </w:rPr>
              <w:instrText xml:space="preserve"> PAGEREF _Toc216707186 \h </w:instrText>
            </w:r>
            <w:r w:rsidR="005E5909">
              <w:rPr>
                <w:noProof/>
                <w:webHidden/>
              </w:rPr>
            </w:r>
            <w:r w:rsidR="005E5909">
              <w:rPr>
                <w:noProof/>
                <w:webHidden/>
              </w:rPr>
              <w:fldChar w:fldCharType="separate"/>
            </w:r>
            <w:r w:rsidR="0044216B">
              <w:rPr>
                <w:noProof/>
                <w:webHidden/>
              </w:rPr>
              <w:t>9</w:t>
            </w:r>
            <w:r w:rsidR="005E5909">
              <w:rPr>
                <w:noProof/>
                <w:webHidden/>
              </w:rPr>
              <w:fldChar w:fldCharType="end"/>
            </w:r>
          </w:hyperlink>
        </w:p>
        <w:p w14:paraId="2EFBE6EF" w14:textId="4019D456" w:rsidR="005E5909" w:rsidRDefault="00E11F48" w:rsidP="005E5909">
          <w:pPr>
            <w:pStyle w:val="TOC2"/>
            <w:tabs>
              <w:tab w:val="right" w:leader="dot" w:pos="9019"/>
            </w:tabs>
            <w:rPr>
              <w:rFonts w:asciiTheme="minorHAnsi" w:eastAsiaTheme="minorEastAsia" w:hAnsiTheme="minorHAnsi" w:cstheme="minorBidi"/>
              <w:noProof/>
            </w:rPr>
          </w:pPr>
          <w:hyperlink w:anchor="_Toc216707187" w:history="1">
            <w:r w:rsidR="005E5909" w:rsidRPr="00C24375">
              <w:rPr>
                <w:rStyle w:val="Hyperlink"/>
                <w:noProof/>
              </w:rPr>
              <w:t>Strengths and Threats Summary.</w:t>
            </w:r>
            <w:r w:rsidR="005E5909">
              <w:rPr>
                <w:noProof/>
                <w:webHidden/>
              </w:rPr>
              <w:tab/>
            </w:r>
            <w:r w:rsidR="005E5909">
              <w:rPr>
                <w:noProof/>
                <w:webHidden/>
              </w:rPr>
              <w:fldChar w:fldCharType="begin"/>
            </w:r>
            <w:r w:rsidR="005E5909">
              <w:rPr>
                <w:noProof/>
                <w:webHidden/>
              </w:rPr>
              <w:instrText xml:space="preserve"> PAGEREF _Toc216707187 \h </w:instrText>
            </w:r>
            <w:r w:rsidR="005E5909">
              <w:rPr>
                <w:noProof/>
                <w:webHidden/>
              </w:rPr>
            </w:r>
            <w:r w:rsidR="005E5909">
              <w:rPr>
                <w:noProof/>
                <w:webHidden/>
              </w:rPr>
              <w:fldChar w:fldCharType="separate"/>
            </w:r>
            <w:r w:rsidR="0044216B">
              <w:rPr>
                <w:noProof/>
                <w:webHidden/>
              </w:rPr>
              <w:t>10</w:t>
            </w:r>
            <w:r w:rsidR="005E5909">
              <w:rPr>
                <w:noProof/>
                <w:webHidden/>
              </w:rPr>
              <w:fldChar w:fldCharType="end"/>
            </w:r>
          </w:hyperlink>
        </w:p>
        <w:p w14:paraId="10D721BD" w14:textId="555A6A49" w:rsidR="005E5909" w:rsidRDefault="00E11F48" w:rsidP="005E5909">
          <w:pPr>
            <w:pStyle w:val="TOC1"/>
            <w:tabs>
              <w:tab w:val="right" w:leader="dot" w:pos="9019"/>
            </w:tabs>
            <w:rPr>
              <w:rFonts w:asciiTheme="minorHAnsi" w:eastAsiaTheme="minorEastAsia" w:hAnsiTheme="minorHAnsi" w:cstheme="minorBidi"/>
              <w:noProof/>
            </w:rPr>
          </w:pPr>
          <w:hyperlink w:anchor="_Toc216707188" w:history="1">
            <w:r w:rsidR="005E5909" w:rsidRPr="00C24375">
              <w:rPr>
                <w:rStyle w:val="Hyperlink"/>
                <w:noProof/>
              </w:rPr>
              <w:t>Working Capital Management Analysis</w:t>
            </w:r>
            <w:r w:rsidR="005E5909">
              <w:rPr>
                <w:noProof/>
                <w:webHidden/>
              </w:rPr>
              <w:tab/>
            </w:r>
            <w:r w:rsidR="005E5909">
              <w:rPr>
                <w:noProof/>
                <w:webHidden/>
              </w:rPr>
              <w:fldChar w:fldCharType="begin"/>
            </w:r>
            <w:r w:rsidR="005E5909">
              <w:rPr>
                <w:noProof/>
                <w:webHidden/>
              </w:rPr>
              <w:instrText xml:space="preserve"> PAGEREF _Toc216707188 \h </w:instrText>
            </w:r>
            <w:r w:rsidR="005E5909">
              <w:rPr>
                <w:noProof/>
                <w:webHidden/>
              </w:rPr>
            </w:r>
            <w:r w:rsidR="005E5909">
              <w:rPr>
                <w:noProof/>
                <w:webHidden/>
              </w:rPr>
              <w:fldChar w:fldCharType="separate"/>
            </w:r>
            <w:r w:rsidR="0044216B">
              <w:rPr>
                <w:noProof/>
                <w:webHidden/>
              </w:rPr>
              <w:t>11</w:t>
            </w:r>
            <w:r w:rsidR="005E5909">
              <w:rPr>
                <w:noProof/>
                <w:webHidden/>
              </w:rPr>
              <w:fldChar w:fldCharType="end"/>
            </w:r>
          </w:hyperlink>
        </w:p>
        <w:p w14:paraId="28360B01" w14:textId="566A268A" w:rsidR="005E5909" w:rsidRDefault="00E11F48" w:rsidP="005E5909">
          <w:pPr>
            <w:pStyle w:val="TOC2"/>
            <w:tabs>
              <w:tab w:val="right" w:leader="dot" w:pos="9019"/>
            </w:tabs>
            <w:rPr>
              <w:rFonts w:asciiTheme="minorHAnsi" w:eastAsiaTheme="minorEastAsia" w:hAnsiTheme="minorHAnsi" w:cstheme="minorBidi"/>
              <w:noProof/>
            </w:rPr>
          </w:pPr>
          <w:hyperlink w:anchor="_Toc216707189" w:history="1">
            <w:r w:rsidR="005E5909" w:rsidRPr="00C24375">
              <w:rPr>
                <w:rStyle w:val="Hyperlink"/>
                <w:noProof/>
              </w:rPr>
              <w:t>Cash Operating Cycle Evaluation.</w:t>
            </w:r>
            <w:r w:rsidR="005E5909">
              <w:rPr>
                <w:noProof/>
                <w:webHidden/>
              </w:rPr>
              <w:tab/>
            </w:r>
            <w:r w:rsidR="005E5909">
              <w:rPr>
                <w:noProof/>
                <w:webHidden/>
              </w:rPr>
              <w:fldChar w:fldCharType="begin"/>
            </w:r>
            <w:r w:rsidR="005E5909">
              <w:rPr>
                <w:noProof/>
                <w:webHidden/>
              </w:rPr>
              <w:instrText xml:space="preserve"> PAGEREF _Toc216707189 \h </w:instrText>
            </w:r>
            <w:r w:rsidR="005E5909">
              <w:rPr>
                <w:noProof/>
                <w:webHidden/>
              </w:rPr>
            </w:r>
            <w:r w:rsidR="005E5909">
              <w:rPr>
                <w:noProof/>
                <w:webHidden/>
              </w:rPr>
              <w:fldChar w:fldCharType="separate"/>
            </w:r>
            <w:r w:rsidR="0044216B">
              <w:rPr>
                <w:noProof/>
                <w:webHidden/>
              </w:rPr>
              <w:t>11</w:t>
            </w:r>
            <w:r w:rsidR="005E5909">
              <w:rPr>
                <w:noProof/>
                <w:webHidden/>
              </w:rPr>
              <w:fldChar w:fldCharType="end"/>
            </w:r>
          </w:hyperlink>
        </w:p>
        <w:p w14:paraId="3C50F9CF" w14:textId="032EB35B" w:rsidR="005E5909" w:rsidRDefault="00E11F48" w:rsidP="005E5909">
          <w:pPr>
            <w:pStyle w:val="TOC2"/>
            <w:tabs>
              <w:tab w:val="right" w:leader="dot" w:pos="9019"/>
            </w:tabs>
            <w:rPr>
              <w:rFonts w:asciiTheme="minorHAnsi" w:eastAsiaTheme="minorEastAsia" w:hAnsiTheme="minorHAnsi" w:cstheme="minorBidi"/>
              <w:noProof/>
            </w:rPr>
          </w:pPr>
          <w:hyperlink w:anchor="_Toc216707190" w:history="1">
            <w:r w:rsidR="005E5909" w:rsidRPr="00C24375">
              <w:rPr>
                <w:rStyle w:val="Hyperlink"/>
                <w:noProof/>
              </w:rPr>
              <w:t>Policies to Enhance Liquidity using Working Capital Reforms.</w:t>
            </w:r>
            <w:r w:rsidR="005E5909">
              <w:rPr>
                <w:noProof/>
                <w:webHidden/>
              </w:rPr>
              <w:tab/>
            </w:r>
            <w:r w:rsidR="005E5909">
              <w:rPr>
                <w:noProof/>
                <w:webHidden/>
              </w:rPr>
              <w:fldChar w:fldCharType="begin"/>
            </w:r>
            <w:r w:rsidR="005E5909">
              <w:rPr>
                <w:noProof/>
                <w:webHidden/>
              </w:rPr>
              <w:instrText xml:space="preserve"> PAGEREF _Toc216707190 \h </w:instrText>
            </w:r>
            <w:r w:rsidR="005E5909">
              <w:rPr>
                <w:noProof/>
                <w:webHidden/>
              </w:rPr>
            </w:r>
            <w:r w:rsidR="005E5909">
              <w:rPr>
                <w:noProof/>
                <w:webHidden/>
              </w:rPr>
              <w:fldChar w:fldCharType="separate"/>
            </w:r>
            <w:r w:rsidR="0044216B">
              <w:rPr>
                <w:noProof/>
                <w:webHidden/>
              </w:rPr>
              <w:t>12</w:t>
            </w:r>
            <w:r w:rsidR="005E5909">
              <w:rPr>
                <w:noProof/>
                <w:webHidden/>
              </w:rPr>
              <w:fldChar w:fldCharType="end"/>
            </w:r>
          </w:hyperlink>
        </w:p>
        <w:p w14:paraId="098C48E1" w14:textId="629BAA34" w:rsidR="005E5909" w:rsidRDefault="00E11F48" w:rsidP="005E5909">
          <w:pPr>
            <w:pStyle w:val="TOC2"/>
            <w:tabs>
              <w:tab w:val="right" w:leader="dot" w:pos="9019"/>
            </w:tabs>
            <w:rPr>
              <w:rFonts w:asciiTheme="minorHAnsi" w:eastAsiaTheme="minorEastAsia" w:hAnsiTheme="minorHAnsi" w:cstheme="minorBidi"/>
              <w:noProof/>
            </w:rPr>
          </w:pPr>
          <w:hyperlink w:anchor="_Toc216707191" w:history="1">
            <w:r w:rsidR="005E5909" w:rsidRPr="00C24375">
              <w:rPr>
                <w:rStyle w:val="Hyperlink"/>
                <w:noProof/>
              </w:rPr>
              <w:t>Short-Term vs Long-Term Financing Options</w:t>
            </w:r>
            <w:r w:rsidR="005E5909">
              <w:rPr>
                <w:noProof/>
                <w:webHidden/>
              </w:rPr>
              <w:tab/>
            </w:r>
            <w:r w:rsidR="005E5909">
              <w:rPr>
                <w:noProof/>
                <w:webHidden/>
              </w:rPr>
              <w:fldChar w:fldCharType="begin"/>
            </w:r>
            <w:r w:rsidR="005E5909">
              <w:rPr>
                <w:noProof/>
                <w:webHidden/>
              </w:rPr>
              <w:instrText xml:space="preserve"> PAGEREF _Toc216707191 \h </w:instrText>
            </w:r>
            <w:r w:rsidR="005E5909">
              <w:rPr>
                <w:noProof/>
                <w:webHidden/>
              </w:rPr>
            </w:r>
            <w:r w:rsidR="005E5909">
              <w:rPr>
                <w:noProof/>
                <w:webHidden/>
              </w:rPr>
              <w:fldChar w:fldCharType="separate"/>
            </w:r>
            <w:r w:rsidR="0044216B">
              <w:rPr>
                <w:noProof/>
                <w:webHidden/>
              </w:rPr>
              <w:t>13</w:t>
            </w:r>
            <w:r w:rsidR="005E5909">
              <w:rPr>
                <w:noProof/>
                <w:webHidden/>
              </w:rPr>
              <w:fldChar w:fldCharType="end"/>
            </w:r>
          </w:hyperlink>
        </w:p>
        <w:p w14:paraId="65D48892" w14:textId="30EBC368" w:rsidR="005E5909" w:rsidRDefault="00E11F48" w:rsidP="005E5909">
          <w:pPr>
            <w:pStyle w:val="TOC2"/>
            <w:tabs>
              <w:tab w:val="right" w:leader="dot" w:pos="9019"/>
            </w:tabs>
            <w:rPr>
              <w:rFonts w:asciiTheme="minorHAnsi" w:eastAsiaTheme="minorEastAsia" w:hAnsiTheme="minorHAnsi" w:cstheme="minorBidi"/>
              <w:noProof/>
            </w:rPr>
          </w:pPr>
          <w:hyperlink w:anchor="_Toc216707192" w:history="1">
            <w:r w:rsidR="005E5909" w:rsidRPr="00C24375">
              <w:rPr>
                <w:rStyle w:val="Hyperlink"/>
                <w:noProof/>
              </w:rPr>
              <w:t>Summary of Recommendations</w:t>
            </w:r>
            <w:r w:rsidR="005E5909">
              <w:rPr>
                <w:noProof/>
                <w:webHidden/>
              </w:rPr>
              <w:tab/>
            </w:r>
            <w:r w:rsidR="005E5909">
              <w:rPr>
                <w:noProof/>
                <w:webHidden/>
              </w:rPr>
              <w:fldChar w:fldCharType="begin"/>
            </w:r>
            <w:r w:rsidR="005E5909">
              <w:rPr>
                <w:noProof/>
                <w:webHidden/>
              </w:rPr>
              <w:instrText xml:space="preserve"> PAGEREF _Toc216707192 \h </w:instrText>
            </w:r>
            <w:r w:rsidR="005E5909">
              <w:rPr>
                <w:noProof/>
                <w:webHidden/>
              </w:rPr>
            </w:r>
            <w:r w:rsidR="005E5909">
              <w:rPr>
                <w:noProof/>
                <w:webHidden/>
              </w:rPr>
              <w:fldChar w:fldCharType="separate"/>
            </w:r>
            <w:r w:rsidR="0044216B">
              <w:rPr>
                <w:noProof/>
                <w:webHidden/>
              </w:rPr>
              <w:t>14</w:t>
            </w:r>
            <w:r w:rsidR="005E5909">
              <w:rPr>
                <w:noProof/>
                <w:webHidden/>
              </w:rPr>
              <w:fldChar w:fldCharType="end"/>
            </w:r>
          </w:hyperlink>
        </w:p>
        <w:p w14:paraId="25884905" w14:textId="22F4A8B4" w:rsidR="005E5909" w:rsidRDefault="00E11F48" w:rsidP="005E5909">
          <w:pPr>
            <w:pStyle w:val="TOC1"/>
            <w:tabs>
              <w:tab w:val="right" w:leader="dot" w:pos="9019"/>
            </w:tabs>
            <w:rPr>
              <w:rFonts w:asciiTheme="minorHAnsi" w:eastAsiaTheme="minorEastAsia" w:hAnsiTheme="minorHAnsi" w:cstheme="minorBidi"/>
              <w:noProof/>
            </w:rPr>
          </w:pPr>
          <w:hyperlink w:anchor="_Toc216707193" w:history="1">
            <w:r w:rsidR="005E5909" w:rsidRPr="00C24375">
              <w:rPr>
                <w:rStyle w:val="Hyperlink"/>
                <w:noProof/>
              </w:rPr>
              <w:t>Strategic Financial Restructuring Plan</w:t>
            </w:r>
            <w:r w:rsidR="005E5909">
              <w:rPr>
                <w:noProof/>
                <w:webHidden/>
              </w:rPr>
              <w:tab/>
            </w:r>
            <w:r w:rsidR="005E5909">
              <w:rPr>
                <w:noProof/>
                <w:webHidden/>
              </w:rPr>
              <w:fldChar w:fldCharType="begin"/>
            </w:r>
            <w:r w:rsidR="005E5909">
              <w:rPr>
                <w:noProof/>
                <w:webHidden/>
              </w:rPr>
              <w:instrText xml:space="preserve"> PAGEREF _Toc216707193 \h </w:instrText>
            </w:r>
            <w:r w:rsidR="005E5909">
              <w:rPr>
                <w:noProof/>
                <w:webHidden/>
              </w:rPr>
            </w:r>
            <w:r w:rsidR="005E5909">
              <w:rPr>
                <w:noProof/>
                <w:webHidden/>
              </w:rPr>
              <w:fldChar w:fldCharType="separate"/>
            </w:r>
            <w:r w:rsidR="0044216B">
              <w:rPr>
                <w:noProof/>
                <w:webHidden/>
              </w:rPr>
              <w:t>15</w:t>
            </w:r>
            <w:r w:rsidR="005E5909">
              <w:rPr>
                <w:noProof/>
                <w:webHidden/>
              </w:rPr>
              <w:fldChar w:fldCharType="end"/>
            </w:r>
          </w:hyperlink>
        </w:p>
        <w:p w14:paraId="78660195" w14:textId="46A9D589" w:rsidR="005E5909" w:rsidRDefault="00E11F48" w:rsidP="005E5909">
          <w:pPr>
            <w:pStyle w:val="TOC2"/>
            <w:tabs>
              <w:tab w:val="right" w:leader="dot" w:pos="9019"/>
            </w:tabs>
            <w:rPr>
              <w:rFonts w:asciiTheme="minorHAnsi" w:eastAsiaTheme="minorEastAsia" w:hAnsiTheme="minorHAnsi" w:cstheme="minorBidi"/>
              <w:noProof/>
            </w:rPr>
          </w:pPr>
          <w:hyperlink w:anchor="_Toc216707194" w:history="1">
            <w:r w:rsidR="005E5909" w:rsidRPr="00C24375">
              <w:rPr>
                <w:rStyle w:val="Hyperlink"/>
                <w:noProof/>
              </w:rPr>
              <w:t>Introduction to Restructuring issues.</w:t>
            </w:r>
            <w:r w:rsidR="005E5909">
              <w:rPr>
                <w:noProof/>
                <w:webHidden/>
              </w:rPr>
              <w:tab/>
            </w:r>
            <w:r w:rsidR="005E5909">
              <w:rPr>
                <w:noProof/>
                <w:webHidden/>
              </w:rPr>
              <w:fldChar w:fldCharType="begin"/>
            </w:r>
            <w:r w:rsidR="005E5909">
              <w:rPr>
                <w:noProof/>
                <w:webHidden/>
              </w:rPr>
              <w:instrText xml:space="preserve"> PAGEREF _Toc216707194 \h </w:instrText>
            </w:r>
            <w:r w:rsidR="005E5909">
              <w:rPr>
                <w:noProof/>
                <w:webHidden/>
              </w:rPr>
            </w:r>
            <w:r w:rsidR="005E5909">
              <w:rPr>
                <w:noProof/>
                <w:webHidden/>
              </w:rPr>
              <w:fldChar w:fldCharType="separate"/>
            </w:r>
            <w:r w:rsidR="0044216B">
              <w:rPr>
                <w:noProof/>
                <w:webHidden/>
              </w:rPr>
              <w:t>15</w:t>
            </w:r>
            <w:r w:rsidR="005E5909">
              <w:rPr>
                <w:noProof/>
                <w:webHidden/>
              </w:rPr>
              <w:fldChar w:fldCharType="end"/>
            </w:r>
          </w:hyperlink>
        </w:p>
        <w:p w14:paraId="7C5796E1" w14:textId="3357CB71" w:rsidR="005E5909" w:rsidRDefault="00E11F48" w:rsidP="005E5909">
          <w:pPr>
            <w:pStyle w:val="TOC2"/>
            <w:tabs>
              <w:tab w:val="right" w:leader="dot" w:pos="9019"/>
            </w:tabs>
            <w:rPr>
              <w:rFonts w:asciiTheme="minorHAnsi" w:eastAsiaTheme="minorEastAsia" w:hAnsiTheme="minorHAnsi" w:cstheme="minorBidi"/>
              <w:noProof/>
            </w:rPr>
          </w:pPr>
          <w:hyperlink w:anchor="_Toc216707195" w:history="1">
            <w:r w:rsidR="005E5909" w:rsidRPr="00C24375">
              <w:rPr>
                <w:rStyle w:val="Hyperlink"/>
                <w:noProof/>
              </w:rPr>
              <w:t>Major Financial Restructuring Alternatives.</w:t>
            </w:r>
            <w:r w:rsidR="005E5909">
              <w:rPr>
                <w:noProof/>
                <w:webHidden/>
              </w:rPr>
              <w:tab/>
            </w:r>
            <w:r w:rsidR="005E5909">
              <w:rPr>
                <w:noProof/>
                <w:webHidden/>
              </w:rPr>
              <w:fldChar w:fldCharType="begin"/>
            </w:r>
            <w:r w:rsidR="005E5909">
              <w:rPr>
                <w:noProof/>
                <w:webHidden/>
              </w:rPr>
              <w:instrText xml:space="preserve"> PAGEREF _Toc216707195 \h </w:instrText>
            </w:r>
            <w:r w:rsidR="005E5909">
              <w:rPr>
                <w:noProof/>
                <w:webHidden/>
              </w:rPr>
            </w:r>
            <w:r w:rsidR="005E5909">
              <w:rPr>
                <w:noProof/>
                <w:webHidden/>
              </w:rPr>
              <w:fldChar w:fldCharType="separate"/>
            </w:r>
            <w:r w:rsidR="0044216B">
              <w:rPr>
                <w:noProof/>
                <w:webHidden/>
              </w:rPr>
              <w:t>15</w:t>
            </w:r>
            <w:r w:rsidR="005E5909">
              <w:rPr>
                <w:noProof/>
                <w:webHidden/>
              </w:rPr>
              <w:fldChar w:fldCharType="end"/>
            </w:r>
          </w:hyperlink>
        </w:p>
        <w:p w14:paraId="4744295A" w14:textId="721CF9EF" w:rsidR="005E5909" w:rsidRDefault="00E11F48" w:rsidP="005E5909">
          <w:pPr>
            <w:pStyle w:val="TOC2"/>
            <w:tabs>
              <w:tab w:val="right" w:leader="dot" w:pos="9019"/>
            </w:tabs>
            <w:rPr>
              <w:rFonts w:asciiTheme="minorHAnsi" w:eastAsiaTheme="minorEastAsia" w:hAnsiTheme="minorHAnsi" w:cstheme="minorBidi"/>
              <w:noProof/>
            </w:rPr>
          </w:pPr>
          <w:hyperlink w:anchor="_Toc216707196" w:history="1">
            <w:r w:rsidR="005E5909" w:rsidRPr="00C24375">
              <w:rPr>
                <w:rStyle w:val="Hyperlink"/>
                <w:noProof/>
              </w:rPr>
              <w:t>Restructuring Alternatives Comparison.</w:t>
            </w:r>
            <w:r w:rsidR="005E5909">
              <w:rPr>
                <w:noProof/>
                <w:webHidden/>
              </w:rPr>
              <w:tab/>
            </w:r>
            <w:r w:rsidR="005E5909">
              <w:rPr>
                <w:noProof/>
                <w:webHidden/>
              </w:rPr>
              <w:fldChar w:fldCharType="begin"/>
            </w:r>
            <w:r w:rsidR="005E5909">
              <w:rPr>
                <w:noProof/>
                <w:webHidden/>
              </w:rPr>
              <w:instrText xml:space="preserve"> PAGEREF _Toc216707196 \h </w:instrText>
            </w:r>
            <w:r w:rsidR="005E5909">
              <w:rPr>
                <w:noProof/>
                <w:webHidden/>
              </w:rPr>
            </w:r>
            <w:r w:rsidR="005E5909">
              <w:rPr>
                <w:noProof/>
                <w:webHidden/>
              </w:rPr>
              <w:fldChar w:fldCharType="separate"/>
            </w:r>
            <w:r w:rsidR="0044216B">
              <w:rPr>
                <w:noProof/>
                <w:webHidden/>
              </w:rPr>
              <w:t>17</w:t>
            </w:r>
            <w:r w:rsidR="005E5909">
              <w:rPr>
                <w:noProof/>
                <w:webHidden/>
              </w:rPr>
              <w:fldChar w:fldCharType="end"/>
            </w:r>
          </w:hyperlink>
        </w:p>
        <w:p w14:paraId="1CF34607" w14:textId="7DB7D40C" w:rsidR="005E5909" w:rsidRDefault="00E11F48" w:rsidP="005E5909">
          <w:pPr>
            <w:pStyle w:val="TOC2"/>
            <w:tabs>
              <w:tab w:val="right" w:leader="dot" w:pos="9019"/>
            </w:tabs>
            <w:rPr>
              <w:rFonts w:asciiTheme="minorHAnsi" w:eastAsiaTheme="minorEastAsia" w:hAnsiTheme="minorHAnsi" w:cstheme="minorBidi"/>
              <w:noProof/>
            </w:rPr>
          </w:pPr>
          <w:hyperlink w:anchor="_Toc216707197" w:history="1">
            <w:r w:rsidR="005E5909" w:rsidRPr="00C24375">
              <w:rPr>
                <w:rStyle w:val="Hyperlink"/>
                <w:noProof/>
              </w:rPr>
              <w:t>Visual Overview: Capital Structure Effects.</w:t>
            </w:r>
            <w:r w:rsidR="005E5909">
              <w:rPr>
                <w:noProof/>
                <w:webHidden/>
              </w:rPr>
              <w:tab/>
            </w:r>
            <w:r w:rsidR="005E5909">
              <w:rPr>
                <w:noProof/>
                <w:webHidden/>
              </w:rPr>
              <w:fldChar w:fldCharType="begin"/>
            </w:r>
            <w:r w:rsidR="005E5909">
              <w:rPr>
                <w:noProof/>
                <w:webHidden/>
              </w:rPr>
              <w:instrText xml:space="preserve"> PAGEREF _Toc216707197 \h </w:instrText>
            </w:r>
            <w:r w:rsidR="005E5909">
              <w:rPr>
                <w:noProof/>
                <w:webHidden/>
              </w:rPr>
            </w:r>
            <w:r w:rsidR="005E5909">
              <w:rPr>
                <w:noProof/>
                <w:webHidden/>
              </w:rPr>
              <w:fldChar w:fldCharType="separate"/>
            </w:r>
            <w:r w:rsidR="0044216B">
              <w:rPr>
                <w:noProof/>
                <w:webHidden/>
              </w:rPr>
              <w:t>18</w:t>
            </w:r>
            <w:r w:rsidR="005E5909">
              <w:rPr>
                <w:noProof/>
                <w:webHidden/>
              </w:rPr>
              <w:fldChar w:fldCharType="end"/>
            </w:r>
          </w:hyperlink>
        </w:p>
        <w:p w14:paraId="3BD23656" w14:textId="386DAF9D" w:rsidR="005E5909" w:rsidRDefault="00E11F48" w:rsidP="005E5909">
          <w:pPr>
            <w:pStyle w:val="TOC2"/>
            <w:tabs>
              <w:tab w:val="right" w:leader="dot" w:pos="9019"/>
            </w:tabs>
            <w:rPr>
              <w:rFonts w:asciiTheme="minorHAnsi" w:eastAsiaTheme="minorEastAsia" w:hAnsiTheme="minorHAnsi" w:cstheme="minorBidi"/>
              <w:noProof/>
            </w:rPr>
          </w:pPr>
          <w:hyperlink w:anchor="_Toc216707198" w:history="1">
            <w:r w:rsidR="005E5909" w:rsidRPr="00C24375">
              <w:rPr>
                <w:rStyle w:val="Hyperlink"/>
                <w:noProof/>
              </w:rPr>
              <w:t>Impact Assessment</w:t>
            </w:r>
            <w:r w:rsidR="005E5909">
              <w:rPr>
                <w:noProof/>
                <w:webHidden/>
              </w:rPr>
              <w:tab/>
            </w:r>
            <w:r w:rsidR="005E5909">
              <w:rPr>
                <w:noProof/>
                <w:webHidden/>
              </w:rPr>
              <w:fldChar w:fldCharType="begin"/>
            </w:r>
            <w:r w:rsidR="005E5909">
              <w:rPr>
                <w:noProof/>
                <w:webHidden/>
              </w:rPr>
              <w:instrText xml:space="preserve"> PAGEREF _Toc216707198 \h </w:instrText>
            </w:r>
            <w:r w:rsidR="005E5909">
              <w:rPr>
                <w:noProof/>
                <w:webHidden/>
              </w:rPr>
            </w:r>
            <w:r w:rsidR="005E5909">
              <w:rPr>
                <w:noProof/>
                <w:webHidden/>
              </w:rPr>
              <w:fldChar w:fldCharType="separate"/>
            </w:r>
            <w:r w:rsidR="0044216B">
              <w:rPr>
                <w:noProof/>
                <w:webHidden/>
              </w:rPr>
              <w:t>18</w:t>
            </w:r>
            <w:r w:rsidR="005E5909">
              <w:rPr>
                <w:noProof/>
                <w:webHidden/>
              </w:rPr>
              <w:fldChar w:fldCharType="end"/>
            </w:r>
          </w:hyperlink>
        </w:p>
        <w:p w14:paraId="0A7B5923" w14:textId="342AEA40" w:rsidR="005E5909" w:rsidRDefault="00E11F48" w:rsidP="005E5909">
          <w:pPr>
            <w:pStyle w:val="TOC1"/>
            <w:tabs>
              <w:tab w:val="right" w:leader="dot" w:pos="9019"/>
            </w:tabs>
            <w:rPr>
              <w:rFonts w:asciiTheme="minorHAnsi" w:eastAsiaTheme="minorEastAsia" w:hAnsiTheme="minorHAnsi" w:cstheme="minorBidi"/>
              <w:noProof/>
            </w:rPr>
          </w:pPr>
          <w:hyperlink w:anchor="_Toc216707199" w:history="1">
            <w:r w:rsidR="005E5909" w:rsidRPr="00C24375">
              <w:rPr>
                <w:rStyle w:val="Hyperlink"/>
                <w:noProof/>
              </w:rPr>
              <w:t>Investment Appraisal and Capital Budgeting</w:t>
            </w:r>
            <w:r w:rsidR="005E5909">
              <w:rPr>
                <w:noProof/>
                <w:webHidden/>
              </w:rPr>
              <w:tab/>
            </w:r>
            <w:r w:rsidR="005E5909">
              <w:rPr>
                <w:noProof/>
                <w:webHidden/>
              </w:rPr>
              <w:fldChar w:fldCharType="begin"/>
            </w:r>
            <w:r w:rsidR="005E5909">
              <w:rPr>
                <w:noProof/>
                <w:webHidden/>
              </w:rPr>
              <w:instrText xml:space="preserve"> PAGEREF _Toc216707199 \h </w:instrText>
            </w:r>
            <w:r w:rsidR="005E5909">
              <w:rPr>
                <w:noProof/>
                <w:webHidden/>
              </w:rPr>
            </w:r>
            <w:r w:rsidR="005E5909">
              <w:rPr>
                <w:noProof/>
                <w:webHidden/>
              </w:rPr>
              <w:fldChar w:fldCharType="separate"/>
            </w:r>
            <w:r w:rsidR="0044216B">
              <w:rPr>
                <w:noProof/>
                <w:webHidden/>
              </w:rPr>
              <w:t>21</w:t>
            </w:r>
            <w:r w:rsidR="005E5909">
              <w:rPr>
                <w:noProof/>
                <w:webHidden/>
              </w:rPr>
              <w:fldChar w:fldCharType="end"/>
            </w:r>
          </w:hyperlink>
        </w:p>
        <w:p w14:paraId="391749AA" w14:textId="7FECFC7C" w:rsidR="005E5909" w:rsidRDefault="00E11F48" w:rsidP="005E5909">
          <w:pPr>
            <w:pStyle w:val="TOC2"/>
            <w:tabs>
              <w:tab w:val="right" w:leader="dot" w:pos="9019"/>
            </w:tabs>
            <w:rPr>
              <w:rFonts w:asciiTheme="minorHAnsi" w:eastAsiaTheme="minorEastAsia" w:hAnsiTheme="minorHAnsi" w:cstheme="minorBidi"/>
              <w:noProof/>
            </w:rPr>
          </w:pPr>
          <w:hyperlink w:anchor="_Toc216707200" w:history="1">
            <w:r w:rsidR="005E5909" w:rsidRPr="00C24375">
              <w:rPr>
                <w:rStyle w:val="Hyperlink"/>
                <w:noProof/>
              </w:rPr>
              <w:t>Project Cash Flow Summary</w:t>
            </w:r>
            <w:r w:rsidR="005E5909">
              <w:rPr>
                <w:noProof/>
                <w:webHidden/>
              </w:rPr>
              <w:tab/>
            </w:r>
            <w:r w:rsidR="005E5909">
              <w:rPr>
                <w:noProof/>
                <w:webHidden/>
              </w:rPr>
              <w:fldChar w:fldCharType="begin"/>
            </w:r>
            <w:r w:rsidR="005E5909">
              <w:rPr>
                <w:noProof/>
                <w:webHidden/>
              </w:rPr>
              <w:instrText xml:space="preserve"> PAGEREF _Toc216707200 \h </w:instrText>
            </w:r>
            <w:r w:rsidR="005E5909">
              <w:rPr>
                <w:noProof/>
                <w:webHidden/>
              </w:rPr>
            </w:r>
            <w:r w:rsidR="005E5909">
              <w:rPr>
                <w:noProof/>
                <w:webHidden/>
              </w:rPr>
              <w:fldChar w:fldCharType="separate"/>
            </w:r>
            <w:r w:rsidR="0044216B">
              <w:rPr>
                <w:noProof/>
                <w:webHidden/>
              </w:rPr>
              <w:t>21</w:t>
            </w:r>
            <w:r w:rsidR="005E5909">
              <w:rPr>
                <w:noProof/>
                <w:webHidden/>
              </w:rPr>
              <w:fldChar w:fldCharType="end"/>
            </w:r>
          </w:hyperlink>
        </w:p>
        <w:p w14:paraId="4D71D034" w14:textId="0DE007A0" w:rsidR="005E5909" w:rsidRDefault="00E11F48" w:rsidP="005E5909">
          <w:pPr>
            <w:pStyle w:val="TOC2"/>
            <w:tabs>
              <w:tab w:val="right" w:leader="dot" w:pos="9019"/>
            </w:tabs>
            <w:rPr>
              <w:rFonts w:asciiTheme="minorHAnsi" w:eastAsiaTheme="minorEastAsia" w:hAnsiTheme="minorHAnsi" w:cstheme="minorBidi"/>
              <w:noProof/>
            </w:rPr>
          </w:pPr>
          <w:hyperlink w:anchor="_Toc216707201" w:history="1">
            <w:r w:rsidR="005E5909" w:rsidRPr="00C24375">
              <w:rPr>
                <w:rStyle w:val="Hyperlink"/>
                <w:noProof/>
              </w:rPr>
              <w:t>Payback Period (PBP)</w:t>
            </w:r>
            <w:r w:rsidR="005E5909">
              <w:rPr>
                <w:noProof/>
                <w:webHidden/>
              </w:rPr>
              <w:tab/>
            </w:r>
            <w:r w:rsidR="005E5909">
              <w:rPr>
                <w:noProof/>
                <w:webHidden/>
              </w:rPr>
              <w:fldChar w:fldCharType="begin"/>
            </w:r>
            <w:r w:rsidR="005E5909">
              <w:rPr>
                <w:noProof/>
                <w:webHidden/>
              </w:rPr>
              <w:instrText xml:space="preserve"> PAGEREF _Toc216707201 \h </w:instrText>
            </w:r>
            <w:r w:rsidR="005E5909">
              <w:rPr>
                <w:noProof/>
                <w:webHidden/>
              </w:rPr>
            </w:r>
            <w:r w:rsidR="005E5909">
              <w:rPr>
                <w:noProof/>
                <w:webHidden/>
              </w:rPr>
              <w:fldChar w:fldCharType="separate"/>
            </w:r>
            <w:r w:rsidR="0044216B">
              <w:rPr>
                <w:noProof/>
                <w:webHidden/>
              </w:rPr>
              <w:t>22</w:t>
            </w:r>
            <w:r w:rsidR="005E5909">
              <w:rPr>
                <w:noProof/>
                <w:webHidden/>
              </w:rPr>
              <w:fldChar w:fldCharType="end"/>
            </w:r>
          </w:hyperlink>
        </w:p>
        <w:p w14:paraId="224D45BE" w14:textId="6CC7D705" w:rsidR="005E5909" w:rsidRDefault="00E11F48" w:rsidP="005E5909">
          <w:pPr>
            <w:pStyle w:val="TOC2"/>
            <w:tabs>
              <w:tab w:val="right" w:leader="dot" w:pos="9019"/>
            </w:tabs>
            <w:rPr>
              <w:rFonts w:asciiTheme="minorHAnsi" w:eastAsiaTheme="minorEastAsia" w:hAnsiTheme="minorHAnsi" w:cstheme="minorBidi"/>
              <w:noProof/>
            </w:rPr>
          </w:pPr>
          <w:hyperlink w:anchor="_Toc216707202" w:history="1">
            <w:r w:rsidR="005E5909" w:rsidRPr="00C24375">
              <w:rPr>
                <w:rStyle w:val="Hyperlink"/>
                <w:noProof/>
              </w:rPr>
              <w:t>Accounting rate of Return (ARR).</w:t>
            </w:r>
            <w:r w:rsidR="005E5909">
              <w:rPr>
                <w:noProof/>
                <w:webHidden/>
              </w:rPr>
              <w:tab/>
            </w:r>
            <w:r w:rsidR="005E5909">
              <w:rPr>
                <w:noProof/>
                <w:webHidden/>
              </w:rPr>
              <w:fldChar w:fldCharType="begin"/>
            </w:r>
            <w:r w:rsidR="005E5909">
              <w:rPr>
                <w:noProof/>
                <w:webHidden/>
              </w:rPr>
              <w:instrText xml:space="preserve"> PAGEREF _Toc216707202 \h </w:instrText>
            </w:r>
            <w:r w:rsidR="005E5909">
              <w:rPr>
                <w:noProof/>
                <w:webHidden/>
              </w:rPr>
            </w:r>
            <w:r w:rsidR="005E5909">
              <w:rPr>
                <w:noProof/>
                <w:webHidden/>
              </w:rPr>
              <w:fldChar w:fldCharType="separate"/>
            </w:r>
            <w:r w:rsidR="0044216B">
              <w:rPr>
                <w:noProof/>
                <w:webHidden/>
              </w:rPr>
              <w:t>23</w:t>
            </w:r>
            <w:r w:rsidR="005E5909">
              <w:rPr>
                <w:noProof/>
                <w:webHidden/>
              </w:rPr>
              <w:fldChar w:fldCharType="end"/>
            </w:r>
          </w:hyperlink>
        </w:p>
        <w:p w14:paraId="09793E41" w14:textId="525DA0F3" w:rsidR="005E5909" w:rsidRDefault="00E11F48" w:rsidP="005E5909">
          <w:pPr>
            <w:pStyle w:val="TOC2"/>
            <w:tabs>
              <w:tab w:val="right" w:leader="dot" w:pos="9019"/>
            </w:tabs>
            <w:rPr>
              <w:rFonts w:asciiTheme="minorHAnsi" w:eastAsiaTheme="minorEastAsia" w:hAnsiTheme="minorHAnsi" w:cstheme="minorBidi"/>
              <w:noProof/>
            </w:rPr>
          </w:pPr>
          <w:hyperlink w:anchor="_Toc216707203" w:history="1">
            <w:r w:rsidR="005E5909" w:rsidRPr="00C24375">
              <w:rPr>
                <w:rStyle w:val="Hyperlink"/>
                <w:noProof/>
              </w:rPr>
              <w:t>Net Present Value (NPV)</w:t>
            </w:r>
            <w:r w:rsidR="005E5909">
              <w:rPr>
                <w:noProof/>
                <w:webHidden/>
              </w:rPr>
              <w:tab/>
            </w:r>
            <w:r w:rsidR="005E5909">
              <w:rPr>
                <w:noProof/>
                <w:webHidden/>
              </w:rPr>
              <w:fldChar w:fldCharType="begin"/>
            </w:r>
            <w:r w:rsidR="005E5909">
              <w:rPr>
                <w:noProof/>
                <w:webHidden/>
              </w:rPr>
              <w:instrText xml:space="preserve"> PAGEREF _Toc216707203 \h </w:instrText>
            </w:r>
            <w:r w:rsidR="005E5909">
              <w:rPr>
                <w:noProof/>
                <w:webHidden/>
              </w:rPr>
            </w:r>
            <w:r w:rsidR="005E5909">
              <w:rPr>
                <w:noProof/>
                <w:webHidden/>
              </w:rPr>
              <w:fldChar w:fldCharType="separate"/>
            </w:r>
            <w:r w:rsidR="0044216B">
              <w:rPr>
                <w:noProof/>
                <w:webHidden/>
              </w:rPr>
              <w:t>24</w:t>
            </w:r>
            <w:r w:rsidR="005E5909">
              <w:rPr>
                <w:noProof/>
                <w:webHidden/>
              </w:rPr>
              <w:fldChar w:fldCharType="end"/>
            </w:r>
          </w:hyperlink>
        </w:p>
        <w:p w14:paraId="0B55E7E2" w14:textId="7669C7CD" w:rsidR="005E5909" w:rsidRDefault="00E11F48" w:rsidP="005E5909">
          <w:pPr>
            <w:pStyle w:val="TOC2"/>
            <w:tabs>
              <w:tab w:val="right" w:leader="dot" w:pos="9019"/>
            </w:tabs>
            <w:rPr>
              <w:rFonts w:asciiTheme="minorHAnsi" w:eastAsiaTheme="minorEastAsia" w:hAnsiTheme="minorHAnsi" w:cstheme="minorBidi"/>
              <w:noProof/>
            </w:rPr>
          </w:pPr>
          <w:hyperlink w:anchor="_Toc216707204" w:history="1">
            <w:r w:rsidR="005E5909" w:rsidRPr="00C24375">
              <w:rPr>
                <w:rStyle w:val="Hyperlink"/>
                <w:noProof/>
              </w:rPr>
              <w:t>Profitability Index (PI)</w:t>
            </w:r>
            <w:r w:rsidR="005E5909">
              <w:rPr>
                <w:noProof/>
                <w:webHidden/>
              </w:rPr>
              <w:tab/>
            </w:r>
            <w:r w:rsidR="005E5909">
              <w:rPr>
                <w:noProof/>
                <w:webHidden/>
              </w:rPr>
              <w:fldChar w:fldCharType="begin"/>
            </w:r>
            <w:r w:rsidR="005E5909">
              <w:rPr>
                <w:noProof/>
                <w:webHidden/>
              </w:rPr>
              <w:instrText xml:space="preserve"> PAGEREF _Toc216707204 \h </w:instrText>
            </w:r>
            <w:r w:rsidR="005E5909">
              <w:rPr>
                <w:noProof/>
                <w:webHidden/>
              </w:rPr>
            </w:r>
            <w:r w:rsidR="005E5909">
              <w:rPr>
                <w:noProof/>
                <w:webHidden/>
              </w:rPr>
              <w:fldChar w:fldCharType="separate"/>
            </w:r>
            <w:r w:rsidR="0044216B">
              <w:rPr>
                <w:noProof/>
                <w:webHidden/>
              </w:rPr>
              <w:t>25</w:t>
            </w:r>
            <w:r w:rsidR="005E5909">
              <w:rPr>
                <w:noProof/>
                <w:webHidden/>
              </w:rPr>
              <w:fldChar w:fldCharType="end"/>
            </w:r>
          </w:hyperlink>
        </w:p>
        <w:p w14:paraId="79AD7947" w14:textId="7F73AB0F" w:rsidR="005E5909" w:rsidRDefault="00E11F48" w:rsidP="005E5909">
          <w:pPr>
            <w:pStyle w:val="TOC2"/>
            <w:tabs>
              <w:tab w:val="right" w:leader="dot" w:pos="9019"/>
            </w:tabs>
            <w:rPr>
              <w:rFonts w:asciiTheme="minorHAnsi" w:eastAsiaTheme="minorEastAsia" w:hAnsiTheme="minorHAnsi" w:cstheme="minorBidi"/>
              <w:noProof/>
            </w:rPr>
          </w:pPr>
          <w:hyperlink w:anchor="_Toc216707205" w:history="1">
            <w:r w:rsidR="005E5909" w:rsidRPr="00C24375">
              <w:rPr>
                <w:rStyle w:val="Hyperlink"/>
                <w:noProof/>
              </w:rPr>
              <w:t>Internal Rate of Return (IRR)</w:t>
            </w:r>
            <w:r w:rsidR="005E5909">
              <w:rPr>
                <w:noProof/>
                <w:webHidden/>
              </w:rPr>
              <w:tab/>
            </w:r>
            <w:r w:rsidR="005E5909">
              <w:rPr>
                <w:noProof/>
                <w:webHidden/>
              </w:rPr>
              <w:fldChar w:fldCharType="begin"/>
            </w:r>
            <w:r w:rsidR="005E5909">
              <w:rPr>
                <w:noProof/>
                <w:webHidden/>
              </w:rPr>
              <w:instrText xml:space="preserve"> PAGEREF _Toc216707205 \h </w:instrText>
            </w:r>
            <w:r w:rsidR="005E5909">
              <w:rPr>
                <w:noProof/>
                <w:webHidden/>
              </w:rPr>
            </w:r>
            <w:r w:rsidR="005E5909">
              <w:rPr>
                <w:noProof/>
                <w:webHidden/>
              </w:rPr>
              <w:fldChar w:fldCharType="separate"/>
            </w:r>
            <w:r w:rsidR="0044216B">
              <w:rPr>
                <w:noProof/>
                <w:webHidden/>
              </w:rPr>
              <w:t>26</w:t>
            </w:r>
            <w:r w:rsidR="005E5909">
              <w:rPr>
                <w:noProof/>
                <w:webHidden/>
              </w:rPr>
              <w:fldChar w:fldCharType="end"/>
            </w:r>
          </w:hyperlink>
        </w:p>
        <w:p w14:paraId="0F129122" w14:textId="3F1CDE36" w:rsidR="005E5909" w:rsidRDefault="00E11F48" w:rsidP="005E5909">
          <w:pPr>
            <w:pStyle w:val="TOC2"/>
            <w:tabs>
              <w:tab w:val="right" w:leader="dot" w:pos="9019"/>
            </w:tabs>
            <w:rPr>
              <w:rFonts w:asciiTheme="minorHAnsi" w:eastAsiaTheme="minorEastAsia" w:hAnsiTheme="minorHAnsi" w:cstheme="minorBidi"/>
              <w:noProof/>
            </w:rPr>
          </w:pPr>
          <w:hyperlink w:anchor="_Toc216707206" w:history="1">
            <w:r w:rsidR="005E5909" w:rsidRPr="00C24375">
              <w:rPr>
                <w:rStyle w:val="Hyperlink"/>
                <w:noProof/>
              </w:rPr>
              <w:t>Compliance with the Financial Situation of General Electronics.</w:t>
            </w:r>
            <w:r w:rsidR="005E5909">
              <w:rPr>
                <w:noProof/>
                <w:webHidden/>
              </w:rPr>
              <w:tab/>
            </w:r>
            <w:r w:rsidR="005E5909">
              <w:rPr>
                <w:noProof/>
                <w:webHidden/>
              </w:rPr>
              <w:fldChar w:fldCharType="begin"/>
            </w:r>
            <w:r w:rsidR="005E5909">
              <w:rPr>
                <w:noProof/>
                <w:webHidden/>
              </w:rPr>
              <w:instrText xml:space="preserve"> PAGEREF _Toc216707206 \h </w:instrText>
            </w:r>
            <w:r w:rsidR="005E5909">
              <w:rPr>
                <w:noProof/>
                <w:webHidden/>
              </w:rPr>
            </w:r>
            <w:r w:rsidR="005E5909">
              <w:rPr>
                <w:noProof/>
                <w:webHidden/>
              </w:rPr>
              <w:fldChar w:fldCharType="separate"/>
            </w:r>
            <w:r w:rsidR="0044216B">
              <w:rPr>
                <w:noProof/>
                <w:webHidden/>
              </w:rPr>
              <w:t>28</w:t>
            </w:r>
            <w:r w:rsidR="005E5909">
              <w:rPr>
                <w:noProof/>
                <w:webHidden/>
              </w:rPr>
              <w:fldChar w:fldCharType="end"/>
            </w:r>
          </w:hyperlink>
        </w:p>
        <w:p w14:paraId="56566E09" w14:textId="0C60DD11" w:rsidR="005E5909" w:rsidRDefault="00E11F48" w:rsidP="005E5909">
          <w:pPr>
            <w:pStyle w:val="TOC2"/>
            <w:tabs>
              <w:tab w:val="right" w:leader="dot" w:pos="9019"/>
            </w:tabs>
            <w:rPr>
              <w:rFonts w:asciiTheme="minorHAnsi" w:eastAsiaTheme="minorEastAsia" w:hAnsiTheme="minorHAnsi" w:cstheme="minorBidi"/>
              <w:noProof/>
            </w:rPr>
          </w:pPr>
          <w:hyperlink w:anchor="_Toc216707207" w:history="1">
            <w:r w:rsidR="005E5909" w:rsidRPr="00C24375">
              <w:rPr>
                <w:rStyle w:val="Hyperlink"/>
                <w:noProof/>
              </w:rPr>
              <w:t>Capital Rationing (at least 60m) Final Recommendation</w:t>
            </w:r>
            <w:r w:rsidR="005E5909">
              <w:rPr>
                <w:noProof/>
                <w:webHidden/>
              </w:rPr>
              <w:tab/>
            </w:r>
            <w:r w:rsidR="005E5909">
              <w:rPr>
                <w:noProof/>
                <w:webHidden/>
              </w:rPr>
              <w:fldChar w:fldCharType="begin"/>
            </w:r>
            <w:r w:rsidR="005E5909">
              <w:rPr>
                <w:noProof/>
                <w:webHidden/>
              </w:rPr>
              <w:instrText xml:space="preserve"> PAGEREF _Toc216707207 \h </w:instrText>
            </w:r>
            <w:r w:rsidR="005E5909">
              <w:rPr>
                <w:noProof/>
                <w:webHidden/>
              </w:rPr>
            </w:r>
            <w:r w:rsidR="005E5909">
              <w:rPr>
                <w:noProof/>
                <w:webHidden/>
              </w:rPr>
              <w:fldChar w:fldCharType="separate"/>
            </w:r>
            <w:r w:rsidR="0044216B">
              <w:rPr>
                <w:noProof/>
                <w:webHidden/>
              </w:rPr>
              <w:t>28</w:t>
            </w:r>
            <w:r w:rsidR="005E5909">
              <w:rPr>
                <w:noProof/>
                <w:webHidden/>
              </w:rPr>
              <w:fldChar w:fldCharType="end"/>
            </w:r>
          </w:hyperlink>
        </w:p>
        <w:p w14:paraId="4CC8414F" w14:textId="545C7C84" w:rsidR="005E5909" w:rsidRDefault="00E11F48" w:rsidP="005E5909">
          <w:pPr>
            <w:pStyle w:val="TOC2"/>
            <w:tabs>
              <w:tab w:val="right" w:leader="dot" w:pos="9019"/>
            </w:tabs>
            <w:rPr>
              <w:rFonts w:asciiTheme="minorHAnsi" w:eastAsiaTheme="minorEastAsia" w:hAnsiTheme="minorHAnsi" w:cstheme="minorBidi"/>
              <w:noProof/>
            </w:rPr>
          </w:pPr>
          <w:hyperlink w:anchor="_Toc216707208" w:history="1">
            <w:r w:rsidR="005E5909" w:rsidRPr="00C24375">
              <w:rPr>
                <w:rStyle w:val="Hyperlink"/>
                <w:noProof/>
              </w:rPr>
              <w:t>Recommended Project: Project C</w:t>
            </w:r>
            <w:r w:rsidR="005E5909">
              <w:rPr>
                <w:noProof/>
                <w:webHidden/>
              </w:rPr>
              <w:tab/>
            </w:r>
            <w:r w:rsidR="005E5909">
              <w:rPr>
                <w:noProof/>
                <w:webHidden/>
              </w:rPr>
              <w:fldChar w:fldCharType="begin"/>
            </w:r>
            <w:r w:rsidR="005E5909">
              <w:rPr>
                <w:noProof/>
                <w:webHidden/>
              </w:rPr>
              <w:instrText xml:space="preserve"> PAGEREF _Toc216707208 \h </w:instrText>
            </w:r>
            <w:r w:rsidR="005E5909">
              <w:rPr>
                <w:noProof/>
                <w:webHidden/>
              </w:rPr>
            </w:r>
            <w:r w:rsidR="005E5909">
              <w:rPr>
                <w:noProof/>
                <w:webHidden/>
              </w:rPr>
              <w:fldChar w:fldCharType="separate"/>
            </w:r>
            <w:r w:rsidR="0044216B">
              <w:rPr>
                <w:noProof/>
                <w:webHidden/>
              </w:rPr>
              <w:t>29</w:t>
            </w:r>
            <w:r w:rsidR="005E5909">
              <w:rPr>
                <w:noProof/>
                <w:webHidden/>
              </w:rPr>
              <w:fldChar w:fldCharType="end"/>
            </w:r>
          </w:hyperlink>
        </w:p>
        <w:p w14:paraId="397E5F12" w14:textId="576E06E6" w:rsidR="005E5909" w:rsidRDefault="00E11F48" w:rsidP="005E5909">
          <w:pPr>
            <w:pStyle w:val="TOC1"/>
            <w:tabs>
              <w:tab w:val="right" w:leader="dot" w:pos="9019"/>
            </w:tabs>
            <w:rPr>
              <w:rFonts w:asciiTheme="minorHAnsi" w:eastAsiaTheme="minorEastAsia" w:hAnsiTheme="minorHAnsi" w:cstheme="minorBidi"/>
              <w:noProof/>
            </w:rPr>
          </w:pPr>
          <w:hyperlink w:anchor="_Toc216707209" w:history="1">
            <w:r w:rsidR="005E5909" w:rsidRPr="00C24375">
              <w:rPr>
                <w:rStyle w:val="Hyperlink"/>
                <w:noProof/>
              </w:rPr>
              <w:t>Conclusion</w:t>
            </w:r>
            <w:r w:rsidR="005E5909">
              <w:rPr>
                <w:noProof/>
                <w:webHidden/>
              </w:rPr>
              <w:tab/>
            </w:r>
            <w:r w:rsidR="005E5909">
              <w:rPr>
                <w:noProof/>
                <w:webHidden/>
              </w:rPr>
              <w:fldChar w:fldCharType="begin"/>
            </w:r>
            <w:r w:rsidR="005E5909">
              <w:rPr>
                <w:noProof/>
                <w:webHidden/>
              </w:rPr>
              <w:instrText xml:space="preserve"> PAGEREF _Toc216707209 \h </w:instrText>
            </w:r>
            <w:r w:rsidR="005E5909">
              <w:rPr>
                <w:noProof/>
                <w:webHidden/>
              </w:rPr>
            </w:r>
            <w:r w:rsidR="005E5909">
              <w:rPr>
                <w:noProof/>
                <w:webHidden/>
              </w:rPr>
              <w:fldChar w:fldCharType="separate"/>
            </w:r>
            <w:r w:rsidR="0044216B">
              <w:rPr>
                <w:noProof/>
                <w:webHidden/>
              </w:rPr>
              <w:t>31</w:t>
            </w:r>
            <w:r w:rsidR="005E5909">
              <w:rPr>
                <w:noProof/>
                <w:webHidden/>
              </w:rPr>
              <w:fldChar w:fldCharType="end"/>
            </w:r>
          </w:hyperlink>
        </w:p>
        <w:p w14:paraId="40121A8B" w14:textId="5BB890A3" w:rsidR="005E5909" w:rsidRDefault="00E11F48" w:rsidP="005E5909">
          <w:pPr>
            <w:pStyle w:val="TOC1"/>
            <w:tabs>
              <w:tab w:val="right" w:leader="dot" w:pos="9019"/>
            </w:tabs>
            <w:rPr>
              <w:rFonts w:asciiTheme="minorHAnsi" w:eastAsiaTheme="minorEastAsia" w:hAnsiTheme="minorHAnsi" w:cstheme="minorBidi"/>
              <w:noProof/>
            </w:rPr>
          </w:pPr>
          <w:hyperlink w:anchor="_Toc216707210" w:history="1">
            <w:r w:rsidR="005E5909" w:rsidRPr="00C24375">
              <w:rPr>
                <w:rStyle w:val="Hyperlink"/>
                <w:noProof/>
              </w:rPr>
              <w:t>References</w:t>
            </w:r>
            <w:r w:rsidR="005E5909">
              <w:rPr>
                <w:noProof/>
                <w:webHidden/>
              </w:rPr>
              <w:tab/>
            </w:r>
            <w:r w:rsidR="005E5909">
              <w:rPr>
                <w:noProof/>
                <w:webHidden/>
              </w:rPr>
              <w:fldChar w:fldCharType="begin"/>
            </w:r>
            <w:r w:rsidR="005E5909">
              <w:rPr>
                <w:noProof/>
                <w:webHidden/>
              </w:rPr>
              <w:instrText xml:space="preserve"> PAGEREF _Toc216707210 \h </w:instrText>
            </w:r>
            <w:r w:rsidR="005E5909">
              <w:rPr>
                <w:noProof/>
                <w:webHidden/>
              </w:rPr>
            </w:r>
            <w:r w:rsidR="005E5909">
              <w:rPr>
                <w:noProof/>
                <w:webHidden/>
              </w:rPr>
              <w:fldChar w:fldCharType="separate"/>
            </w:r>
            <w:r w:rsidR="0044216B">
              <w:rPr>
                <w:noProof/>
                <w:webHidden/>
              </w:rPr>
              <w:t>32</w:t>
            </w:r>
            <w:r w:rsidR="005E5909">
              <w:rPr>
                <w:noProof/>
                <w:webHidden/>
              </w:rPr>
              <w:fldChar w:fldCharType="end"/>
            </w:r>
          </w:hyperlink>
        </w:p>
        <w:p w14:paraId="11911AA5" w14:textId="38ACEB1E" w:rsidR="005E5909" w:rsidRDefault="00E11F48" w:rsidP="005E5909">
          <w:pPr>
            <w:pStyle w:val="TOC1"/>
            <w:tabs>
              <w:tab w:val="right" w:leader="dot" w:pos="9019"/>
            </w:tabs>
            <w:rPr>
              <w:rFonts w:asciiTheme="minorHAnsi" w:eastAsiaTheme="minorEastAsia" w:hAnsiTheme="minorHAnsi" w:cstheme="minorBidi"/>
              <w:noProof/>
            </w:rPr>
          </w:pPr>
          <w:hyperlink w:anchor="_Toc216707211" w:history="1">
            <w:r w:rsidR="005E5909" w:rsidRPr="00C24375">
              <w:rPr>
                <w:rStyle w:val="Hyperlink"/>
                <w:noProof/>
              </w:rPr>
              <w:t>Appendix</w:t>
            </w:r>
            <w:r w:rsidR="005E5909">
              <w:rPr>
                <w:noProof/>
                <w:webHidden/>
              </w:rPr>
              <w:tab/>
            </w:r>
            <w:r w:rsidR="005E5909">
              <w:rPr>
                <w:noProof/>
                <w:webHidden/>
              </w:rPr>
              <w:fldChar w:fldCharType="begin"/>
            </w:r>
            <w:r w:rsidR="005E5909">
              <w:rPr>
                <w:noProof/>
                <w:webHidden/>
              </w:rPr>
              <w:instrText xml:space="preserve"> PAGEREF _Toc216707211 \h </w:instrText>
            </w:r>
            <w:r w:rsidR="005E5909">
              <w:rPr>
                <w:noProof/>
                <w:webHidden/>
              </w:rPr>
            </w:r>
            <w:r w:rsidR="005E5909">
              <w:rPr>
                <w:noProof/>
                <w:webHidden/>
              </w:rPr>
              <w:fldChar w:fldCharType="separate"/>
            </w:r>
            <w:r w:rsidR="0044216B">
              <w:rPr>
                <w:noProof/>
                <w:webHidden/>
              </w:rPr>
              <w:t>35</w:t>
            </w:r>
            <w:r w:rsidR="005E5909">
              <w:rPr>
                <w:noProof/>
                <w:webHidden/>
              </w:rPr>
              <w:fldChar w:fldCharType="end"/>
            </w:r>
          </w:hyperlink>
        </w:p>
        <w:p w14:paraId="3928047B" w14:textId="77777777" w:rsidR="005E5909" w:rsidRDefault="001372B6" w:rsidP="005E5909">
          <w:pPr>
            <w:rPr>
              <w:noProof/>
            </w:rPr>
          </w:pPr>
          <w:r>
            <w:rPr>
              <w:noProof/>
            </w:rPr>
            <w:fldChar w:fldCharType="end"/>
          </w:r>
        </w:p>
      </w:sdtContent>
    </w:sdt>
    <w:p w14:paraId="3D7E2C38" w14:textId="1C63BBCA" w:rsidR="004A272B" w:rsidRPr="005E5909" w:rsidRDefault="004A272B" w:rsidP="005E5909">
      <w:pPr>
        <w:rPr>
          <w:noProof/>
        </w:rPr>
      </w:pPr>
      <w:r w:rsidRPr="004A272B">
        <w:rPr>
          <w:color w:val="0F4761" w:themeColor="accent1" w:themeShade="BF"/>
          <w:sz w:val="32"/>
          <w:szCs w:val="32"/>
        </w:rPr>
        <w:t>List of Figures</w:t>
      </w:r>
    </w:p>
    <w:p w14:paraId="0671219B" w14:textId="6C20079B" w:rsidR="005E5909" w:rsidRDefault="005E5909" w:rsidP="005E5909">
      <w:pPr>
        <w:pStyle w:val="TableofFigures"/>
        <w:tabs>
          <w:tab w:val="right" w:leader="dot" w:pos="9019"/>
        </w:tabs>
        <w:rPr>
          <w:rFonts w:asciiTheme="minorHAnsi" w:eastAsiaTheme="minorEastAsia" w:hAnsiTheme="minorHAnsi" w:cstheme="minorBidi"/>
          <w:noProof/>
        </w:rPr>
      </w:pPr>
      <w:r>
        <w:rPr>
          <w:color w:val="0F4761" w:themeColor="accent1" w:themeShade="BF"/>
          <w:sz w:val="32"/>
          <w:szCs w:val="32"/>
        </w:rPr>
        <w:fldChar w:fldCharType="begin"/>
      </w:r>
      <w:r>
        <w:rPr>
          <w:color w:val="0F4761" w:themeColor="accent1" w:themeShade="BF"/>
          <w:sz w:val="32"/>
          <w:szCs w:val="32"/>
        </w:rPr>
        <w:instrText xml:space="preserve"> TOC \h \z \c "Figure" </w:instrText>
      </w:r>
      <w:r>
        <w:rPr>
          <w:color w:val="0F4761" w:themeColor="accent1" w:themeShade="BF"/>
          <w:sz w:val="32"/>
          <w:szCs w:val="32"/>
        </w:rPr>
        <w:fldChar w:fldCharType="separate"/>
      </w:r>
      <w:hyperlink w:anchor="_Toc216707212" w:history="1">
        <w:r w:rsidRPr="005435EB">
          <w:rPr>
            <w:rStyle w:val="Hyperlink"/>
            <w:noProof/>
          </w:rPr>
          <w:t>Figure 1Impact of Restructuring Options on Leverage</w:t>
        </w:r>
        <w:r>
          <w:rPr>
            <w:noProof/>
            <w:webHidden/>
          </w:rPr>
          <w:tab/>
        </w:r>
        <w:r>
          <w:rPr>
            <w:noProof/>
            <w:webHidden/>
          </w:rPr>
          <w:fldChar w:fldCharType="begin"/>
        </w:r>
        <w:r>
          <w:rPr>
            <w:noProof/>
            <w:webHidden/>
          </w:rPr>
          <w:instrText xml:space="preserve"> PAGEREF _Toc216707212 \h </w:instrText>
        </w:r>
        <w:r>
          <w:rPr>
            <w:noProof/>
            <w:webHidden/>
          </w:rPr>
        </w:r>
        <w:r>
          <w:rPr>
            <w:noProof/>
            <w:webHidden/>
          </w:rPr>
          <w:fldChar w:fldCharType="separate"/>
        </w:r>
        <w:r w:rsidR="0044216B">
          <w:rPr>
            <w:noProof/>
            <w:webHidden/>
          </w:rPr>
          <w:t>18</w:t>
        </w:r>
        <w:r>
          <w:rPr>
            <w:noProof/>
            <w:webHidden/>
          </w:rPr>
          <w:fldChar w:fldCharType="end"/>
        </w:r>
      </w:hyperlink>
    </w:p>
    <w:p w14:paraId="3D22EB02" w14:textId="19C614E5" w:rsidR="005E5909" w:rsidRDefault="00E11F48" w:rsidP="005E5909">
      <w:pPr>
        <w:pStyle w:val="TableofFigures"/>
        <w:tabs>
          <w:tab w:val="right" w:leader="dot" w:pos="9019"/>
        </w:tabs>
        <w:rPr>
          <w:rFonts w:asciiTheme="minorHAnsi" w:eastAsiaTheme="minorEastAsia" w:hAnsiTheme="minorHAnsi" w:cstheme="minorBidi"/>
          <w:noProof/>
        </w:rPr>
      </w:pPr>
      <w:hyperlink w:anchor="_Toc216707213" w:history="1">
        <w:r w:rsidR="005E5909" w:rsidRPr="005435EB">
          <w:rPr>
            <w:rStyle w:val="Hyperlink"/>
            <w:noProof/>
          </w:rPr>
          <w:t>Figure 2Project Cash Flow Profiles (Years 1–5)</w:t>
        </w:r>
        <w:r w:rsidR="005E5909">
          <w:rPr>
            <w:noProof/>
            <w:webHidden/>
          </w:rPr>
          <w:tab/>
        </w:r>
        <w:r w:rsidR="005E5909">
          <w:rPr>
            <w:noProof/>
            <w:webHidden/>
          </w:rPr>
          <w:fldChar w:fldCharType="begin"/>
        </w:r>
        <w:r w:rsidR="005E5909">
          <w:rPr>
            <w:noProof/>
            <w:webHidden/>
          </w:rPr>
          <w:instrText xml:space="preserve"> PAGEREF _Toc216707213 \h </w:instrText>
        </w:r>
        <w:r w:rsidR="005E5909">
          <w:rPr>
            <w:noProof/>
            <w:webHidden/>
          </w:rPr>
        </w:r>
        <w:r w:rsidR="005E5909">
          <w:rPr>
            <w:noProof/>
            <w:webHidden/>
          </w:rPr>
          <w:fldChar w:fldCharType="separate"/>
        </w:r>
        <w:r w:rsidR="0044216B">
          <w:rPr>
            <w:noProof/>
            <w:webHidden/>
          </w:rPr>
          <w:t>21</w:t>
        </w:r>
        <w:r w:rsidR="005E5909">
          <w:rPr>
            <w:noProof/>
            <w:webHidden/>
          </w:rPr>
          <w:fldChar w:fldCharType="end"/>
        </w:r>
      </w:hyperlink>
    </w:p>
    <w:p w14:paraId="7F9E924D" w14:textId="5AA6BF18" w:rsidR="005E5909" w:rsidRDefault="00E11F48" w:rsidP="005E5909">
      <w:pPr>
        <w:pStyle w:val="TableofFigures"/>
        <w:tabs>
          <w:tab w:val="right" w:leader="dot" w:pos="9019"/>
        </w:tabs>
        <w:rPr>
          <w:rFonts w:asciiTheme="minorHAnsi" w:eastAsiaTheme="minorEastAsia" w:hAnsiTheme="minorHAnsi" w:cstheme="minorBidi"/>
          <w:noProof/>
        </w:rPr>
      </w:pPr>
      <w:hyperlink w:anchor="_Toc216707214" w:history="1">
        <w:r w:rsidR="005E5909" w:rsidRPr="005435EB">
          <w:rPr>
            <w:rStyle w:val="Hyperlink"/>
            <w:noProof/>
          </w:rPr>
          <w:t>Figure 3PBP Comparison</w:t>
        </w:r>
        <w:r w:rsidR="005E5909">
          <w:rPr>
            <w:noProof/>
            <w:webHidden/>
          </w:rPr>
          <w:tab/>
        </w:r>
        <w:r w:rsidR="005E5909">
          <w:rPr>
            <w:noProof/>
            <w:webHidden/>
          </w:rPr>
          <w:fldChar w:fldCharType="begin"/>
        </w:r>
        <w:r w:rsidR="005E5909">
          <w:rPr>
            <w:noProof/>
            <w:webHidden/>
          </w:rPr>
          <w:instrText xml:space="preserve"> PAGEREF _Toc216707214 \h </w:instrText>
        </w:r>
        <w:r w:rsidR="005E5909">
          <w:rPr>
            <w:noProof/>
            <w:webHidden/>
          </w:rPr>
        </w:r>
        <w:r w:rsidR="005E5909">
          <w:rPr>
            <w:noProof/>
            <w:webHidden/>
          </w:rPr>
          <w:fldChar w:fldCharType="separate"/>
        </w:r>
        <w:r w:rsidR="0044216B">
          <w:rPr>
            <w:noProof/>
            <w:webHidden/>
          </w:rPr>
          <w:t>23</w:t>
        </w:r>
        <w:r w:rsidR="005E5909">
          <w:rPr>
            <w:noProof/>
            <w:webHidden/>
          </w:rPr>
          <w:fldChar w:fldCharType="end"/>
        </w:r>
      </w:hyperlink>
    </w:p>
    <w:p w14:paraId="015F875E" w14:textId="2C3866A1" w:rsidR="005E5909" w:rsidRDefault="00E11F48" w:rsidP="005E5909">
      <w:pPr>
        <w:pStyle w:val="TableofFigures"/>
        <w:tabs>
          <w:tab w:val="right" w:leader="dot" w:pos="9019"/>
        </w:tabs>
        <w:rPr>
          <w:rFonts w:asciiTheme="minorHAnsi" w:eastAsiaTheme="minorEastAsia" w:hAnsiTheme="minorHAnsi" w:cstheme="minorBidi"/>
          <w:noProof/>
        </w:rPr>
      </w:pPr>
      <w:hyperlink w:anchor="_Toc216707215" w:history="1">
        <w:r w:rsidR="005E5909" w:rsidRPr="005435EB">
          <w:rPr>
            <w:rStyle w:val="Hyperlink"/>
            <w:noProof/>
          </w:rPr>
          <w:t>Figure 4ARR Comparison</w:t>
        </w:r>
        <w:r w:rsidR="005E5909">
          <w:rPr>
            <w:noProof/>
            <w:webHidden/>
          </w:rPr>
          <w:tab/>
        </w:r>
        <w:r w:rsidR="005E5909">
          <w:rPr>
            <w:noProof/>
            <w:webHidden/>
          </w:rPr>
          <w:fldChar w:fldCharType="begin"/>
        </w:r>
        <w:r w:rsidR="005E5909">
          <w:rPr>
            <w:noProof/>
            <w:webHidden/>
          </w:rPr>
          <w:instrText xml:space="preserve"> PAGEREF _Toc216707215 \h </w:instrText>
        </w:r>
        <w:r w:rsidR="005E5909">
          <w:rPr>
            <w:noProof/>
            <w:webHidden/>
          </w:rPr>
        </w:r>
        <w:r w:rsidR="005E5909">
          <w:rPr>
            <w:noProof/>
            <w:webHidden/>
          </w:rPr>
          <w:fldChar w:fldCharType="separate"/>
        </w:r>
        <w:r w:rsidR="0044216B">
          <w:rPr>
            <w:noProof/>
            <w:webHidden/>
          </w:rPr>
          <w:t>24</w:t>
        </w:r>
        <w:r w:rsidR="005E5909">
          <w:rPr>
            <w:noProof/>
            <w:webHidden/>
          </w:rPr>
          <w:fldChar w:fldCharType="end"/>
        </w:r>
      </w:hyperlink>
    </w:p>
    <w:p w14:paraId="48D8CA22" w14:textId="66C21826" w:rsidR="005E5909" w:rsidRDefault="00E11F48" w:rsidP="005E5909">
      <w:pPr>
        <w:pStyle w:val="TableofFigures"/>
        <w:tabs>
          <w:tab w:val="right" w:leader="dot" w:pos="9019"/>
        </w:tabs>
        <w:rPr>
          <w:rFonts w:asciiTheme="minorHAnsi" w:eastAsiaTheme="minorEastAsia" w:hAnsiTheme="minorHAnsi" w:cstheme="minorBidi"/>
          <w:noProof/>
        </w:rPr>
      </w:pPr>
      <w:hyperlink w:anchor="_Toc216707216" w:history="1">
        <w:r w:rsidR="005E5909" w:rsidRPr="005435EB">
          <w:rPr>
            <w:rStyle w:val="Hyperlink"/>
            <w:noProof/>
          </w:rPr>
          <w:t>Figure 5NPV (£m)</w:t>
        </w:r>
        <w:r w:rsidR="005E5909">
          <w:rPr>
            <w:noProof/>
            <w:webHidden/>
          </w:rPr>
          <w:tab/>
        </w:r>
        <w:r w:rsidR="005E5909">
          <w:rPr>
            <w:noProof/>
            <w:webHidden/>
          </w:rPr>
          <w:fldChar w:fldCharType="begin"/>
        </w:r>
        <w:r w:rsidR="005E5909">
          <w:rPr>
            <w:noProof/>
            <w:webHidden/>
          </w:rPr>
          <w:instrText xml:space="preserve"> PAGEREF _Toc216707216 \h </w:instrText>
        </w:r>
        <w:r w:rsidR="005E5909">
          <w:rPr>
            <w:noProof/>
            <w:webHidden/>
          </w:rPr>
        </w:r>
        <w:r w:rsidR="005E5909">
          <w:rPr>
            <w:noProof/>
            <w:webHidden/>
          </w:rPr>
          <w:fldChar w:fldCharType="separate"/>
        </w:r>
        <w:r w:rsidR="0044216B">
          <w:rPr>
            <w:noProof/>
            <w:webHidden/>
          </w:rPr>
          <w:t>25</w:t>
        </w:r>
        <w:r w:rsidR="005E5909">
          <w:rPr>
            <w:noProof/>
            <w:webHidden/>
          </w:rPr>
          <w:fldChar w:fldCharType="end"/>
        </w:r>
      </w:hyperlink>
    </w:p>
    <w:p w14:paraId="3FCF61E7" w14:textId="14AC3697" w:rsidR="005E5909" w:rsidRDefault="00E11F48" w:rsidP="005E5909">
      <w:pPr>
        <w:pStyle w:val="TableofFigures"/>
        <w:tabs>
          <w:tab w:val="right" w:leader="dot" w:pos="9019"/>
        </w:tabs>
        <w:rPr>
          <w:rFonts w:asciiTheme="minorHAnsi" w:eastAsiaTheme="minorEastAsia" w:hAnsiTheme="minorHAnsi" w:cstheme="minorBidi"/>
          <w:noProof/>
        </w:rPr>
      </w:pPr>
      <w:hyperlink w:anchor="_Toc216707217" w:history="1">
        <w:r w:rsidR="005E5909" w:rsidRPr="005435EB">
          <w:rPr>
            <w:rStyle w:val="Hyperlink"/>
            <w:noProof/>
          </w:rPr>
          <w:t>Figure 6Profitability Index (PI) Comparison</w:t>
        </w:r>
        <w:r w:rsidR="005E5909">
          <w:rPr>
            <w:noProof/>
            <w:webHidden/>
          </w:rPr>
          <w:tab/>
        </w:r>
        <w:r w:rsidR="005E5909">
          <w:rPr>
            <w:noProof/>
            <w:webHidden/>
          </w:rPr>
          <w:fldChar w:fldCharType="begin"/>
        </w:r>
        <w:r w:rsidR="005E5909">
          <w:rPr>
            <w:noProof/>
            <w:webHidden/>
          </w:rPr>
          <w:instrText xml:space="preserve"> PAGEREF _Toc216707217 \h </w:instrText>
        </w:r>
        <w:r w:rsidR="005E5909">
          <w:rPr>
            <w:noProof/>
            <w:webHidden/>
          </w:rPr>
        </w:r>
        <w:r w:rsidR="005E5909">
          <w:rPr>
            <w:noProof/>
            <w:webHidden/>
          </w:rPr>
          <w:fldChar w:fldCharType="separate"/>
        </w:r>
        <w:r w:rsidR="0044216B">
          <w:rPr>
            <w:noProof/>
            <w:webHidden/>
          </w:rPr>
          <w:t>26</w:t>
        </w:r>
        <w:r w:rsidR="005E5909">
          <w:rPr>
            <w:noProof/>
            <w:webHidden/>
          </w:rPr>
          <w:fldChar w:fldCharType="end"/>
        </w:r>
      </w:hyperlink>
    </w:p>
    <w:p w14:paraId="11EBC146" w14:textId="5E7898AE" w:rsidR="005E5909" w:rsidRDefault="00E11F48" w:rsidP="005E5909">
      <w:pPr>
        <w:pStyle w:val="TableofFigures"/>
        <w:tabs>
          <w:tab w:val="right" w:leader="dot" w:pos="9019"/>
        </w:tabs>
        <w:rPr>
          <w:rFonts w:asciiTheme="minorHAnsi" w:eastAsiaTheme="minorEastAsia" w:hAnsiTheme="minorHAnsi" w:cstheme="minorBidi"/>
          <w:noProof/>
        </w:rPr>
      </w:pPr>
      <w:hyperlink w:anchor="_Toc216707218" w:history="1">
        <w:r w:rsidR="005E5909" w:rsidRPr="005435EB">
          <w:rPr>
            <w:rStyle w:val="Hyperlink"/>
            <w:noProof/>
          </w:rPr>
          <w:t>Figure 7IRR Comparison</w:t>
        </w:r>
        <w:r w:rsidR="005E5909">
          <w:rPr>
            <w:noProof/>
            <w:webHidden/>
          </w:rPr>
          <w:tab/>
        </w:r>
        <w:r w:rsidR="005E5909">
          <w:rPr>
            <w:noProof/>
            <w:webHidden/>
          </w:rPr>
          <w:fldChar w:fldCharType="begin"/>
        </w:r>
        <w:r w:rsidR="005E5909">
          <w:rPr>
            <w:noProof/>
            <w:webHidden/>
          </w:rPr>
          <w:instrText xml:space="preserve"> PAGEREF _Toc216707218 \h </w:instrText>
        </w:r>
        <w:r w:rsidR="005E5909">
          <w:rPr>
            <w:noProof/>
            <w:webHidden/>
          </w:rPr>
        </w:r>
        <w:r w:rsidR="005E5909">
          <w:rPr>
            <w:noProof/>
            <w:webHidden/>
          </w:rPr>
          <w:fldChar w:fldCharType="separate"/>
        </w:r>
        <w:r w:rsidR="0044216B">
          <w:rPr>
            <w:noProof/>
            <w:webHidden/>
          </w:rPr>
          <w:t>26</w:t>
        </w:r>
        <w:r w:rsidR="005E5909">
          <w:rPr>
            <w:noProof/>
            <w:webHidden/>
          </w:rPr>
          <w:fldChar w:fldCharType="end"/>
        </w:r>
      </w:hyperlink>
    </w:p>
    <w:p w14:paraId="72398E9F" w14:textId="79E7DFDF" w:rsidR="004A272B" w:rsidRDefault="005E5909" w:rsidP="005E5909">
      <w:pPr>
        <w:rPr>
          <w:color w:val="0F4761" w:themeColor="accent1" w:themeShade="BF"/>
          <w:sz w:val="32"/>
          <w:szCs w:val="32"/>
        </w:rPr>
      </w:pPr>
      <w:r>
        <w:rPr>
          <w:color w:val="0F4761" w:themeColor="accent1" w:themeShade="BF"/>
          <w:sz w:val="32"/>
          <w:szCs w:val="32"/>
        </w:rPr>
        <w:fldChar w:fldCharType="end"/>
      </w:r>
      <w:r w:rsidR="004A272B" w:rsidRPr="004A272B">
        <w:rPr>
          <w:color w:val="0F4761" w:themeColor="accent1" w:themeShade="BF"/>
          <w:sz w:val="32"/>
          <w:szCs w:val="32"/>
        </w:rPr>
        <w:t>List of Tables</w:t>
      </w:r>
    </w:p>
    <w:p w14:paraId="655F013F" w14:textId="59D19040" w:rsidR="00823F83" w:rsidRPr="00823F83" w:rsidRDefault="00823F83">
      <w:pPr>
        <w:pStyle w:val="TableofFigures"/>
        <w:tabs>
          <w:tab w:val="right" w:leader="dot" w:pos="9019"/>
        </w:tabs>
        <w:rPr>
          <w:rFonts w:asciiTheme="minorHAnsi" w:eastAsiaTheme="minorEastAsia" w:hAnsiTheme="minorHAnsi" w:cstheme="minorBidi"/>
          <w:noProof/>
        </w:rPr>
      </w:pPr>
      <w:r w:rsidRPr="00823F83">
        <w:rPr>
          <w:color w:val="0F4761" w:themeColor="accent1" w:themeShade="BF"/>
          <w:sz w:val="32"/>
          <w:szCs w:val="32"/>
        </w:rPr>
        <w:fldChar w:fldCharType="begin"/>
      </w:r>
      <w:r w:rsidRPr="00823F83">
        <w:rPr>
          <w:color w:val="0F4761" w:themeColor="accent1" w:themeShade="BF"/>
          <w:sz w:val="32"/>
          <w:szCs w:val="32"/>
        </w:rPr>
        <w:instrText xml:space="preserve"> TOC \h \z \c "Table" </w:instrText>
      </w:r>
      <w:r w:rsidRPr="00823F83">
        <w:rPr>
          <w:color w:val="0F4761" w:themeColor="accent1" w:themeShade="BF"/>
          <w:sz w:val="32"/>
          <w:szCs w:val="32"/>
        </w:rPr>
        <w:fldChar w:fldCharType="separate"/>
      </w:r>
      <w:hyperlink w:anchor="_Toc217122904" w:history="1">
        <w:r w:rsidRPr="00823F83">
          <w:rPr>
            <w:rStyle w:val="Hyperlink"/>
            <w:noProof/>
          </w:rPr>
          <w:t>Table 1Comparison of Restructuring Options</w:t>
        </w:r>
        <w:r w:rsidRPr="00823F83">
          <w:rPr>
            <w:noProof/>
            <w:webHidden/>
          </w:rPr>
          <w:tab/>
        </w:r>
        <w:r w:rsidRPr="00823F83">
          <w:rPr>
            <w:noProof/>
            <w:webHidden/>
          </w:rPr>
          <w:fldChar w:fldCharType="begin"/>
        </w:r>
        <w:r w:rsidRPr="00823F83">
          <w:rPr>
            <w:noProof/>
            <w:webHidden/>
          </w:rPr>
          <w:instrText xml:space="preserve"> PAGEREF _Toc217122904 \h </w:instrText>
        </w:r>
        <w:r w:rsidRPr="00823F83">
          <w:rPr>
            <w:noProof/>
            <w:webHidden/>
          </w:rPr>
        </w:r>
        <w:r w:rsidRPr="00823F83">
          <w:rPr>
            <w:noProof/>
            <w:webHidden/>
          </w:rPr>
          <w:fldChar w:fldCharType="separate"/>
        </w:r>
        <w:r w:rsidRPr="00823F83">
          <w:rPr>
            <w:noProof/>
            <w:webHidden/>
          </w:rPr>
          <w:t>17</w:t>
        </w:r>
        <w:r w:rsidRPr="00823F83">
          <w:rPr>
            <w:noProof/>
            <w:webHidden/>
          </w:rPr>
          <w:fldChar w:fldCharType="end"/>
        </w:r>
      </w:hyperlink>
    </w:p>
    <w:p w14:paraId="08BFB272" w14:textId="3BC2BA5C" w:rsidR="00823F83" w:rsidRPr="00823F83" w:rsidRDefault="00E11F48">
      <w:pPr>
        <w:pStyle w:val="TableofFigures"/>
        <w:tabs>
          <w:tab w:val="right" w:leader="dot" w:pos="9019"/>
        </w:tabs>
        <w:rPr>
          <w:rFonts w:asciiTheme="minorHAnsi" w:eastAsiaTheme="minorEastAsia" w:hAnsiTheme="minorHAnsi" w:cstheme="minorBidi"/>
          <w:noProof/>
        </w:rPr>
      </w:pPr>
      <w:hyperlink w:anchor="_Toc217122905" w:history="1">
        <w:r w:rsidR="00823F83">
          <w:rPr>
            <w:rStyle w:val="Hyperlink"/>
            <w:noProof/>
          </w:rPr>
          <w:t>Table 2 Project A -Payback Calculation.</w:t>
        </w:r>
        <w:r w:rsidR="00823F83">
          <w:rPr>
            <w:rStyle w:val="Hyperlink"/>
            <w:noProof/>
          </w:rPr>
          <w:tab/>
          <w:t>22</w:t>
        </w:r>
      </w:hyperlink>
    </w:p>
    <w:p w14:paraId="3D2D69C0" w14:textId="38741F62" w:rsidR="00823F83" w:rsidRPr="00823F83" w:rsidRDefault="00E11F48">
      <w:pPr>
        <w:pStyle w:val="TableofFigures"/>
        <w:tabs>
          <w:tab w:val="right" w:leader="dot" w:pos="9019"/>
        </w:tabs>
        <w:rPr>
          <w:rFonts w:asciiTheme="minorHAnsi" w:eastAsiaTheme="minorEastAsia" w:hAnsiTheme="minorHAnsi" w:cstheme="minorBidi"/>
          <w:noProof/>
        </w:rPr>
      </w:pPr>
      <w:hyperlink w:anchor="_Toc217122906" w:history="1">
        <w:r w:rsidR="00823F83" w:rsidRPr="00823F83">
          <w:rPr>
            <w:rStyle w:val="Hyperlink"/>
            <w:noProof/>
          </w:rPr>
          <w:t xml:space="preserve">Table </w:t>
        </w:r>
        <w:r w:rsidR="00823F83">
          <w:rPr>
            <w:rStyle w:val="Hyperlink"/>
            <w:noProof/>
          </w:rPr>
          <w:t xml:space="preserve">3 </w:t>
        </w:r>
        <w:r w:rsidR="00823F83" w:rsidRPr="00823F83">
          <w:rPr>
            <w:rStyle w:val="Hyperlink"/>
            <w:noProof/>
          </w:rPr>
          <w:t>Overall Financial Comparison</w:t>
        </w:r>
        <w:r w:rsidR="00823F83" w:rsidRPr="00823F83">
          <w:rPr>
            <w:noProof/>
            <w:webHidden/>
          </w:rPr>
          <w:tab/>
        </w:r>
        <w:r w:rsidR="00823F83" w:rsidRPr="00823F83">
          <w:rPr>
            <w:noProof/>
            <w:webHidden/>
          </w:rPr>
          <w:fldChar w:fldCharType="begin"/>
        </w:r>
        <w:r w:rsidR="00823F83" w:rsidRPr="00823F83">
          <w:rPr>
            <w:noProof/>
            <w:webHidden/>
          </w:rPr>
          <w:instrText xml:space="preserve"> PAGEREF _Toc217122906 \h </w:instrText>
        </w:r>
        <w:r w:rsidR="00823F83" w:rsidRPr="00823F83">
          <w:rPr>
            <w:noProof/>
            <w:webHidden/>
          </w:rPr>
        </w:r>
        <w:r w:rsidR="00823F83" w:rsidRPr="00823F83">
          <w:rPr>
            <w:noProof/>
            <w:webHidden/>
          </w:rPr>
          <w:fldChar w:fldCharType="separate"/>
        </w:r>
        <w:r w:rsidR="00823F83" w:rsidRPr="00823F83">
          <w:rPr>
            <w:noProof/>
            <w:webHidden/>
          </w:rPr>
          <w:t>26</w:t>
        </w:r>
        <w:r w:rsidR="00823F83" w:rsidRPr="00823F83">
          <w:rPr>
            <w:noProof/>
            <w:webHidden/>
          </w:rPr>
          <w:fldChar w:fldCharType="end"/>
        </w:r>
      </w:hyperlink>
    </w:p>
    <w:p w14:paraId="763479B7" w14:textId="123EB648" w:rsidR="00BA29CB" w:rsidRDefault="00823F83" w:rsidP="005E5909">
      <w:pPr>
        <w:rPr>
          <w:color w:val="0F4761" w:themeColor="accent1" w:themeShade="BF"/>
          <w:sz w:val="32"/>
          <w:szCs w:val="32"/>
        </w:rPr>
      </w:pPr>
      <w:r w:rsidRPr="00823F83">
        <w:rPr>
          <w:color w:val="0F4761" w:themeColor="accent1" w:themeShade="BF"/>
          <w:sz w:val="32"/>
          <w:szCs w:val="32"/>
        </w:rPr>
        <w:fldChar w:fldCharType="end"/>
      </w:r>
      <w:r w:rsidR="00BA29CB">
        <w:rPr>
          <w:color w:val="0F4761" w:themeColor="accent1" w:themeShade="BF"/>
          <w:sz w:val="32"/>
          <w:szCs w:val="32"/>
        </w:rPr>
        <w:br w:type="page"/>
      </w:r>
    </w:p>
    <w:p w14:paraId="179CC277" w14:textId="0DF7844C" w:rsidR="00044DB3" w:rsidRPr="005E5909" w:rsidRDefault="00044DB3" w:rsidP="005E5909">
      <w:pPr>
        <w:pStyle w:val="Heading1"/>
      </w:pPr>
      <w:bookmarkStart w:id="0" w:name="_Toc216707179"/>
      <w:r w:rsidRPr="00FB6445">
        <w:lastRenderedPageBreak/>
        <w:t>Introduction</w:t>
      </w:r>
      <w:bookmarkEnd w:id="0"/>
    </w:p>
    <w:p w14:paraId="29DFCDEE" w14:textId="7D2FDABB" w:rsidR="00FB6445" w:rsidRDefault="0013064A" w:rsidP="00CF2B05">
      <w:r w:rsidRPr="0013064A">
        <w:t xml:space="preserve">Within the context of diminishing profitability, low liquidity and high financial risk of the business, </w:t>
      </w:r>
      <w:r>
        <w:t xml:space="preserve">the </w:t>
      </w:r>
      <w:r w:rsidRPr="0013064A">
        <w:t>financial position and strategic option of General Electronics will be tested as discussed in this report. The comprehensive financial health analysis of the ratio analysis models and corporate failu</w:t>
      </w:r>
      <w:bookmarkStart w:id="1" w:name="_GoBack"/>
      <w:bookmarkEnd w:id="1"/>
      <w:r w:rsidRPr="0013064A">
        <w:t xml:space="preserve">re prediction models will be used to initiate the analysis to determine the determining trend, strengths and weaknesses. It also </w:t>
      </w:r>
      <w:r>
        <w:t>analyses</w:t>
      </w:r>
      <w:r w:rsidRPr="0013064A">
        <w:t xml:space="preserve"> the way the working capital can be controlled and gives </w:t>
      </w:r>
      <w:r>
        <w:t>recommendations</w:t>
      </w:r>
      <w:r w:rsidRPr="0013064A">
        <w:t xml:space="preserve"> that can be undertaken to enhance liquidity. Various options of strategic financial restructuring are also considered to bring back sanity and flexibility. Lastly, </w:t>
      </w:r>
      <w:r>
        <w:t xml:space="preserve">the </w:t>
      </w:r>
      <w:r w:rsidRPr="0013064A">
        <w:t xml:space="preserve">capital budgeting process can also be used in the evaluation of </w:t>
      </w:r>
      <w:r>
        <w:t xml:space="preserve">a </w:t>
      </w:r>
      <w:r w:rsidRPr="0013064A">
        <w:t xml:space="preserve">capital investment project in capital rationing. The report will be used in </w:t>
      </w:r>
      <w:r>
        <w:t>judgment</w:t>
      </w:r>
      <w:r w:rsidRPr="0013064A">
        <w:t xml:space="preserve"> </w:t>
      </w:r>
      <w:r>
        <w:t>decision-making</w:t>
      </w:r>
      <w:r w:rsidRPr="0013064A">
        <w:t xml:space="preserve"> and long-term recovery of the finances.</w:t>
      </w:r>
      <w:r w:rsidR="00FB6445">
        <w:br w:type="page"/>
      </w:r>
    </w:p>
    <w:p w14:paraId="77453D44" w14:textId="51430A68" w:rsidR="00617126" w:rsidRDefault="003A4100" w:rsidP="00CF2B05">
      <w:pPr>
        <w:pStyle w:val="Heading1"/>
      </w:pPr>
      <w:bookmarkStart w:id="2" w:name="_Toc216707180"/>
      <w:r w:rsidRPr="003A4100">
        <w:lastRenderedPageBreak/>
        <w:t>Financial Health Check</w:t>
      </w:r>
      <w:bookmarkEnd w:id="2"/>
    </w:p>
    <w:p w14:paraId="7E009674" w14:textId="4908D395" w:rsidR="001B56DC" w:rsidRPr="001B56DC" w:rsidRDefault="001B56DC" w:rsidP="001B56DC">
      <w:r w:rsidRPr="001B56DC">
        <w:t>Financial health analysis gives an excellent understanding of the present situation of General Electronics and the reasons why it performs poorly</w:t>
      </w:r>
      <w:r w:rsidR="0062540F">
        <w:t xml:space="preserve"> </w:t>
      </w:r>
      <w:r w:rsidR="0062540F" w:rsidRPr="0062540F">
        <w:t xml:space="preserve">(Kimmel </w:t>
      </w:r>
      <w:r w:rsidR="0062540F" w:rsidRPr="0062540F">
        <w:rPr>
          <w:i/>
          <w:iCs/>
        </w:rPr>
        <w:t>et al.</w:t>
      </w:r>
      <w:r w:rsidR="0062540F" w:rsidRPr="0062540F">
        <w:t>, 2020)</w:t>
      </w:r>
      <w:r w:rsidRPr="001B56DC">
        <w:t>. This part is an analysis of 5 years of financial statements through ratios to determine profitability, liquidity</w:t>
      </w:r>
      <w:r>
        <w:t>,</w:t>
      </w:r>
      <w:r w:rsidRPr="001B56DC">
        <w:t xml:space="preserve"> efficiency, gearing and cash flow strength. Trends, strengths and threats are determined</w:t>
      </w:r>
      <w:r>
        <w:t>,</w:t>
      </w:r>
      <w:r w:rsidRPr="001B56DC">
        <w:t xml:space="preserve"> and the Altman Z-Score is used to estimate the default risk and make additional restructuring decisions in the future.</w:t>
      </w:r>
    </w:p>
    <w:p w14:paraId="61D22038" w14:textId="5879A163" w:rsidR="00FC1CA9" w:rsidRDefault="00FC1CA9" w:rsidP="00FC1CA9">
      <w:pPr>
        <w:pStyle w:val="Heading2"/>
      </w:pPr>
      <w:bookmarkStart w:id="3" w:name="_Toc216707181"/>
      <w:r>
        <w:t>Profitability Analysis</w:t>
      </w:r>
      <w:bookmarkEnd w:id="3"/>
    </w:p>
    <w:p w14:paraId="6A4C8F37" w14:textId="74F1761C" w:rsidR="00FC1CA9" w:rsidRDefault="00FC1CA9" w:rsidP="00D4670E">
      <w:r>
        <w:t xml:space="preserve">The profitability ratios display </w:t>
      </w:r>
      <w:r w:rsidR="00E771A9">
        <w:t xml:space="preserve">the </w:t>
      </w:r>
      <w:r>
        <w:t xml:space="preserve">efficiency </w:t>
      </w:r>
      <w:r w:rsidR="00E771A9">
        <w:t>of</w:t>
      </w:r>
      <w:r>
        <w:t xml:space="preserve"> the business in generating its profits out of the sales, assets and shareholder investment. General Electronics has been losing its profitability in all indicators.</w:t>
      </w:r>
    </w:p>
    <w:p w14:paraId="7CFF4E4B" w14:textId="1EACDA73" w:rsidR="003B7A8A" w:rsidRPr="003B7A8A" w:rsidRDefault="003B7A8A" w:rsidP="00D4670E">
      <w:pPr>
        <w:rPr>
          <w:b/>
          <w:bCs/>
        </w:rPr>
      </w:pPr>
      <w:r w:rsidRPr="003B7A8A">
        <w:rPr>
          <w:b/>
          <w:bCs/>
        </w:rPr>
        <w:t>Gross Profit Margin</w:t>
      </w:r>
    </w:p>
    <w:p w14:paraId="5C979075" w14:textId="36C73A1D" w:rsidR="003B7A8A" w:rsidRDefault="003B7A8A" w:rsidP="00D4670E">
      <w:r>
        <w:t xml:space="preserve">Gross margins fell steadily. The decline is an indication of </w:t>
      </w:r>
      <w:r w:rsidR="000F5281">
        <w:t>an</w:t>
      </w:r>
      <w:r>
        <w:t xml:space="preserve"> increase in the costs of production or failure to hold prices in a competitive market. Since the revenue dwindled throughout the time, the firm also lost its economies of scale</w:t>
      </w:r>
      <w:r w:rsidR="00E771A9">
        <w:t>,</w:t>
      </w:r>
      <w:r>
        <w:t xml:space="preserve"> and this worsened the pressure on </w:t>
      </w:r>
      <w:r w:rsidR="00E771A9">
        <w:t>costs</w:t>
      </w:r>
      <w:r>
        <w:t xml:space="preserve">. A declining gross margin is usually a sign of </w:t>
      </w:r>
      <w:r w:rsidR="000F5281">
        <w:t>weak</w:t>
      </w:r>
      <w:r>
        <w:t xml:space="preserve"> market demand or a high cost of input.</w:t>
      </w:r>
    </w:p>
    <w:p w14:paraId="0224B2F2" w14:textId="2B75A936" w:rsidR="003B7A8A" w:rsidRPr="003B7A8A" w:rsidRDefault="003B7A8A" w:rsidP="00D4670E">
      <w:pPr>
        <w:rPr>
          <w:b/>
          <w:bCs/>
        </w:rPr>
      </w:pPr>
      <w:r w:rsidRPr="003B7A8A">
        <w:rPr>
          <w:b/>
          <w:bCs/>
        </w:rPr>
        <w:t>Operating Profit Margin</w:t>
      </w:r>
    </w:p>
    <w:p w14:paraId="51BE4E0D" w14:textId="679C63CE" w:rsidR="003B7A8A" w:rsidRDefault="003B7A8A" w:rsidP="00D4670E">
      <w:r>
        <w:t>Operating margins became extremely low</w:t>
      </w:r>
      <w:r w:rsidR="00E771A9">
        <w:t>,</w:t>
      </w:r>
      <w:r>
        <w:t xml:space="preserve"> reaching the level of large losses. This trend indicates that the level of sales generated is not commensurate </w:t>
      </w:r>
      <w:r w:rsidR="00E771A9">
        <w:t>with</w:t>
      </w:r>
      <w:r>
        <w:t xml:space="preserve"> the operating expenses. Administration, distribution and restructuring charge costs have dominated the operating income. A negative operating margin has a strong tendency to be sustained</w:t>
      </w:r>
      <w:r w:rsidR="00E771A9">
        <w:t>,</w:t>
      </w:r>
      <w:r>
        <w:t xml:space="preserve"> which may </w:t>
      </w:r>
      <w:r w:rsidR="000F5281">
        <w:t>reflect</w:t>
      </w:r>
      <w:r>
        <w:t xml:space="preserve"> systemic problems in the business</w:t>
      </w:r>
      <w:r w:rsidR="00EC009B">
        <w:t xml:space="preserve"> </w:t>
      </w:r>
      <w:r w:rsidR="00EC009B" w:rsidRPr="00EC009B">
        <w:t xml:space="preserve">(Grundy </w:t>
      </w:r>
      <w:r w:rsidR="00EC009B" w:rsidRPr="00EC009B">
        <w:rPr>
          <w:i/>
          <w:iCs/>
        </w:rPr>
        <w:t>et al.</w:t>
      </w:r>
      <w:r w:rsidR="00EC009B" w:rsidRPr="00EC009B">
        <w:t>, 2022)</w:t>
      </w:r>
      <w:r>
        <w:t>.</w:t>
      </w:r>
    </w:p>
    <w:p w14:paraId="001113E8" w14:textId="78E701F9" w:rsidR="003B7A8A" w:rsidRPr="003B7A8A" w:rsidRDefault="003B7A8A" w:rsidP="00D4670E">
      <w:pPr>
        <w:rPr>
          <w:b/>
          <w:bCs/>
        </w:rPr>
      </w:pPr>
      <w:r w:rsidRPr="003B7A8A">
        <w:rPr>
          <w:b/>
          <w:bCs/>
        </w:rPr>
        <w:t>Net Profit Margin</w:t>
      </w:r>
    </w:p>
    <w:p w14:paraId="59CF2930" w14:textId="59D54187" w:rsidR="003B7A8A" w:rsidRDefault="003B7A8A" w:rsidP="00D4670E">
      <w:r>
        <w:t>The net margins shifted to negative values of large amounts. The issues</w:t>
      </w:r>
      <w:r w:rsidR="00E771A9">
        <w:t>,</w:t>
      </w:r>
      <w:r>
        <w:t xml:space="preserve"> such as decreased sales and greater finance and one-off expenses</w:t>
      </w:r>
      <w:r w:rsidR="00E771A9">
        <w:t>,</w:t>
      </w:r>
      <w:r>
        <w:t xml:space="preserve"> were the </w:t>
      </w:r>
      <w:r w:rsidR="000F5281">
        <w:t>force</w:t>
      </w:r>
      <w:r>
        <w:t xml:space="preserve"> behind the losses. Persistent net losses dilute the retained earnings and undermine the shareholder equity. In such a case, where the company incurs </w:t>
      </w:r>
      <w:r w:rsidR="000F5281">
        <w:t>negative</w:t>
      </w:r>
      <w:r>
        <w:t xml:space="preserve"> net margins </w:t>
      </w:r>
      <w:r>
        <w:lastRenderedPageBreak/>
        <w:t>over a couple of years, it is not an easy task to get the company back without significant changes in the operations.</w:t>
      </w:r>
    </w:p>
    <w:p w14:paraId="77A59D2F" w14:textId="7EAB7C82" w:rsidR="003B7A8A" w:rsidRPr="003B7A8A" w:rsidRDefault="003B7A8A" w:rsidP="00D4670E">
      <w:pPr>
        <w:rPr>
          <w:b/>
          <w:bCs/>
        </w:rPr>
      </w:pPr>
      <w:r w:rsidRPr="003B7A8A">
        <w:rPr>
          <w:b/>
          <w:bCs/>
        </w:rPr>
        <w:t>Return on Assets (ROA)</w:t>
      </w:r>
    </w:p>
    <w:p w14:paraId="449F31C8" w14:textId="732268D0" w:rsidR="003B7A8A" w:rsidRDefault="003B7A8A" w:rsidP="00D4670E">
      <w:r>
        <w:t xml:space="preserve">ROA has gone negative, which was an indication that assets are not currently yielding returns that are acceptable. This may be </w:t>
      </w:r>
      <w:r w:rsidR="00E771A9">
        <w:t>due to</w:t>
      </w:r>
      <w:r>
        <w:t xml:space="preserve"> the business being in possession of old or unproductive assets. </w:t>
      </w:r>
      <w:r w:rsidR="00E771A9">
        <w:t>A reduction</w:t>
      </w:r>
      <w:r>
        <w:t xml:space="preserve"> in asset productivity is a negative indication that the resources available at the company are not productive.</w:t>
      </w:r>
    </w:p>
    <w:p w14:paraId="4A6F4F0B" w14:textId="5B3B52DF" w:rsidR="003B7A8A" w:rsidRPr="003B7A8A" w:rsidRDefault="003B7A8A" w:rsidP="00D4670E">
      <w:pPr>
        <w:rPr>
          <w:b/>
          <w:bCs/>
        </w:rPr>
      </w:pPr>
      <w:r w:rsidRPr="003B7A8A">
        <w:rPr>
          <w:b/>
          <w:bCs/>
        </w:rPr>
        <w:t xml:space="preserve">Return </w:t>
      </w:r>
      <w:r w:rsidR="000F5281" w:rsidRPr="003B7A8A">
        <w:rPr>
          <w:b/>
          <w:bCs/>
        </w:rPr>
        <w:t>to</w:t>
      </w:r>
      <w:r w:rsidRPr="003B7A8A">
        <w:rPr>
          <w:b/>
          <w:bCs/>
        </w:rPr>
        <w:t xml:space="preserve"> Equity (ROE)</w:t>
      </w:r>
    </w:p>
    <w:p w14:paraId="26C9647E" w14:textId="3BC99F9F" w:rsidR="003B7A8A" w:rsidRDefault="003B7A8A" w:rsidP="00D4670E">
      <w:r>
        <w:t xml:space="preserve">ROE also became very negative. This is an accumulation of declining profits and </w:t>
      </w:r>
      <w:r w:rsidR="00E771A9">
        <w:t xml:space="preserve">a </w:t>
      </w:r>
      <w:r>
        <w:t xml:space="preserve">decrease </w:t>
      </w:r>
      <w:r w:rsidR="00E771A9">
        <w:t>in</w:t>
      </w:r>
      <w:r>
        <w:t xml:space="preserve"> equity in the hands of shareholders. A negative ROE carries with it the destruction of shareholder wealth and makes it less attractive to investors</w:t>
      </w:r>
      <w:r w:rsidR="001B7581">
        <w:t xml:space="preserve"> </w:t>
      </w:r>
      <w:r w:rsidR="001B7581" w:rsidRPr="001B7581">
        <w:t xml:space="preserve">(Palepu </w:t>
      </w:r>
      <w:r w:rsidR="001B7581" w:rsidRPr="001B7581">
        <w:rPr>
          <w:i/>
          <w:iCs/>
        </w:rPr>
        <w:t>et al.</w:t>
      </w:r>
      <w:r w:rsidR="001B7581" w:rsidRPr="001B7581">
        <w:t>, 2020)</w:t>
      </w:r>
      <w:r>
        <w:t>.</w:t>
      </w:r>
    </w:p>
    <w:p w14:paraId="67F107C5" w14:textId="374A706A" w:rsidR="003B7A8A" w:rsidRPr="003B7A8A" w:rsidRDefault="003B7A8A" w:rsidP="00D4670E">
      <w:pPr>
        <w:rPr>
          <w:b/>
          <w:bCs/>
        </w:rPr>
      </w:pPr>
      <w:r w:rsidRPr="003B7A8A">
        <w:rPr>
          <w:b/>
          <w:bCs/>
        </w:rPr>
        <w:t>Profitability Summary</w:t>
      </w:r>
    </w:p>
    <w:p w14:paraId="0CBC35AB" w14:textId="766405CD" w:rsidR="003B7A8A" w:rsidRDefault="003B7A8A" w:rsidP="00D4670E">
      <w:r>
        <w:t xml:space="preserve">Comprehensively, there is a high depreciation of profitability ratios. The company has challenges controlling expenses, </w:t>
      </w:r>
      <w:r w:rsidR="00E771A9">
        <w:t>sustaining</w:t>
      </w:r>
      <w:r>
        <w:t xml:space="preserve"> margins and returns, and this depicts dire performance problems.</w:t>
      </w:r>
      <w:r w:rsidR="00CF1DD3">
        <w:t xml:space="preserve"> </w:t>
      </w:r>
      <w:r w:rsidR="00CF1DD3" w:rsidRPr="00CF1DD3">
        <w:t xml:space="preserve">More importantly, the consistent drop in all ratios of profitability suggests that the companies are weak in terms of structure in their operating model and not in a short-term slump. The negative ROA and ROE indicate that assets and shareholder money are being decimated rather than creating </w:t>
      </w:r>
      <w:r w:rsidR="00CF1DD3">
        <w:t>value</w:t>
      </w:r>
      <w:r w:rsidR="00CF1DD3" w:rsidRPr="00CF1DD3">
        <w:t>, which restrains the internal ability of the firm to finance its operations, which substantiates the necessity of strategic rearrangement to revive long-term profitability.</w:t>
      </w:r>
    </w:p>
    <w:p w14:paraId="2975FEA8" w14:textId="41B74E27" w:rsidR="003B7A8A" w:rsidRDefault="003B7A8A" w:rsidP="00D4670E">
      <w:pPr>
        <w:pStyle w:val="Heading2"/>
      </w:pPr>
      <w:bookmarkStart w:id="4" w:name="_Toc216707182"/>
      <w:r>
        <w:t>Liquidity Analysis</w:t>
      </w:r>
      <w:bookmarkEnd w:id="4"/>
    </w:p>
    <w:p w14:paraId="46AE53F9" w14:textId="2CACE03F" w:rsidR="003B7A8A" w:rsidRDefault="003B7A8A" w:rsidP="00D4670E">
      <w:r>
        <w:t>Liquidity ratios indicate the ability of the company to meet its immediate debts. The liquidity position of General Electronics has been decreasing.</w:t>
      </w:r>
    </w:p>
    <w:p w14:paraId="56FCB429" w14:textId="76504AF8" w:rsidR="000F5281" w:rsidRPr="000F5281" w:rsidRDefault="000F5281" w:rsidP="00D4670E">
      <w:pPr>
        <w:rPr>
          <w:b/>
          <w:bCs/>
        </w:rPr>
      </w:pPr>
      <w:r w:rsidRPr="000F5281">
        <w:rPr>
          <w:b/>
          <w:bCs/>
        </w:rPr>
        <w:t>Current Ratio</w:t>
      </w:r>
    </w:p>
    <w:p w14:paraId="6ECB188A" w14:textId="01227797" w:rsidR="000F5281" w:rsidRDefault="000F5281" w:rsidP="00D4670E">
      <w:r>
        <w:t>It has weak liquidity, with the current ratio decreasing with a minor improvement in the last year due to decreased liabilities instead of an increase in assets.</w:t>
      </w:r>
    </w:p>
    <w:p w14:paraId="4BAE2A8B" w14:textId="1DD496D8" w:rsidR="000F5281" w:rsidRPr="000F5281" w:rsidRDefault="000F5281" w:rsidP="00D4670E">
      <w:pPr>
        <w:rPr>
          <w:b/>
          <w:bCs/>
        </w:rPr>
      </w:pPr>
      <w:r w:rsidRPr="000F5281">
        <w:rPr>
          <w:b/>
          <w:bCs/>
        </w:rPr>
        <w:t>Quick Ratio</w:t>
      </w:r>
    </w:p>
    <w:p w14:paraId="4ECAFAC8" w14:textId="1BD20D87" w:rsidR="000F5281" w:rsidRDefault="000F5281" w:rsidP="00D4670E">
      <w:r>
        <w:lastRenderedPageBreak/>
        <w:t>The quick ratio was low, which meant there were not many liquid assets, and it was likely to have to convert inventory at a very fast rate.</w:t>
      </w:r>
    </w:p>
    <w:p w14:paraId="11E47828" w14:textId="6D74F09B" w:rsidR="000F5281" w:rsidRPr="000F5281" w:rsidRDefault="000F5281" w:rsidP="00D4670E">
      <w:pPr>
        <w:rPr>
          <w:b/>
          <w:bCs/>
        </w:rPr>
      </w:pPr>
      <w:r w:rsidRPr="000F5281">
        <w:rPr>
          <w:b/>
          <w:bCs/>
        </w:rPr>
        <w:t>Cash Ratio</w:t>
      </w:r>
    </w:p>
    <w:p w14:paraId="7B9699DB" w14:textId="2A85B731" w:rsidR="000F5281" w:rsidRDefault="000F5281" w:rsidP="00D4670E">
      <w:r>
        <w:t>The cash ratio deteriorated enormously, indicating a lesser amount of cash as well as increasing short-term borrowing.</w:t>
      </w:r>
    </w:p>
    <w:p w14:paraId="26E59A24" w14:textId="21B0FC87" w:rsidR="000F5281" w:rsidRPr="000F5281" w:rsidRDefault="000F5281" w:rsidP="00D4670E">
      <w:pPr>
        <w:rPr>
          <w:b/>
          <w:bCs/>
        </w:rPr>
      </w:pPr>
      <w:r w:rsidRPr="000F5281">
        <w:rPr>
          <w:b/>
          <w:bCs/>
        </w:rPr>
        <w:t>Liquidity Summary</w:t>
      </w:r>
    </w:p>
    <w:p w14:paraId="2AA378B3" w14:textId="6BFCD403" w:rsidR="000F5281" w:rsidRDefault="000F5281" w:rsidP="00D4670E">
      <w:r>
        <w:t>The liquidity ratios show increasing financial pressure and an inability to cover the short-term liabilities without the support of external resources.</w:t>
      </w:r>
      <w:r w:rsidR="00CF1DD3">
        <w:t xml:space="preserve"> </w:t>
      </w:r>
      <w:r w:rsidR="00CF1DD3" w:rsidRPr="00CF1DD3">
        <w:t xml:space="preserve">Such </w:t>
      </w:r>
      <w:r w:rsidR="00CF1DD3">
        <w:t xml:space="preserve">a </w:t>
      </w:r>
      <w:r w:rsidR="00CF1DD3" w:rsidRPr="00CF1DD3">
        <w:t>chronic liquidity shortfall impacts the refinance risk and limits the ability to operate flexibly because the company progressively relies on short-term borrowing to fund the operational activities at a time when cash inflows are falling.</w:t>
      </w:r>
    </w:p>
    <w:p w14:paraId="18F6B789" w14:textId="782E7DF8" w:rsidR="00E86BC0" w:rsidRDefault="00E86BC0" w:rsidP="00D4670E">
      <w:pPr>
        <w:pStyle w:val="Heading2"/>
      </w:pPr>
      <w:bookmarkStart w:id="5" w:name="_Toc216707183"/>
      <w:r>
        <w:t>Efficiency and Working Capital Analysis.</w:t>
      </w:r>
      <w:bookmarkEnd w:id="5"/>
    </w:p>
    <w:p w14:paraId="429FB70E" w14:textId="399F658C" w:rsidR="00E86BC0" w:rsidRDefault="00E86BC0" w:rsidP="00D4670E">
      <w:r>
        <w:t>The efficiency ratios are the tools that evaluate the effectiveness of the company in dealing with inventory, receivables and payables. These interventions have an impact on the cash conversion cycle (CCC)</w:t>
      </w:r>
      <w:r w:rsidR="00E771A9">
        <w:t>,</w:t>
      </w:r>
      <w:r>
        <w:t xml:space="preserve"> which indicates the duration of conversion of working capital to cash</w:t>
      </w:r>
      <w:r w:rsidR="0019019E">
        <w:t xml:space="preserve"> </w:t>
      </w:r>
      <w:r w:rsidR="0019019E" w:rsidRPr="0019019E">
        <w:t>(Black, 2023)</w:t>
      </w:r>
      <w:r>
        <w:t>.</w:t>
      </w:r>
    </w:p>
    <w:p w14:paraId="38766033" w14:textId="5FDA0D9C" w:rsidR="00C94A5C" w:rsidRPr="00C94A5C" w:rsidRDefault="00C94A5C" w:rsidP="00D4670E">
      <w:pPr>
        <w:rPr>
          <w:b/>
          <w:bCs/>
        </w:rPr>
      </w:pPr>
      <w:r w:rsidRPr="00C94A5C">
        <w:rPr>
          <w:b/>
          <w:bCs/>
        </w:rPr>
        <w:t>Inventory Days</w:t>
      </w:r>
    </w:p>
    <w:p w14:paraId="55CD10EC" w14:textId="02F3D554" w:rsidR="00C94A5C" w:rsidRDefault="00C94A5C" w:rsidP="00D4670E">
      <w:r>
        <w:t xml:space="preserve">The early period showed an increase in </w:t>
      </w:r>
      <w:r w:rsidR="000F5281">
        <w:t>inventory</w:t>
      </w:r>
      <w:r>
        <w:t xml:space="preserve"> days with a decreased turnover and possible </w:t>
      </w:r>
      <w:r w:rsidR="007A093E">
        <w:t>overstock</w:t>
      </w:r>
      <w:r>
        <w:t xml:space="preserve">. </w:t>
      </w:r>
      <w:r w:rsidR="000F5281">
        <w:t>I</w:t>
      </w:r>
      <w:r>
        <w:t>nventory days declined drastically</w:t>
      </w:r>
      <w:r w:rsidR="00E771A9">
        <w:t>,</w:t>
      </w:r>
      <w:r>
        <w:t xml:space="preserve"> which can be an indication of reduced production or an attempt to clear the inventory </w:t>
      </w:r>
      <w:r w:rsidR="00E771A9">
        <w:t>at discounted</w:t>
      </w:r>
      <w:r>
        <w:t xml:space="preserve"> </w:t>
      </w:r>
      <w:r w:rsidR="00E771A9">
        <w:t>prices</w:t>
      </w:r>
      <w:r>
        <w:t xml:space="preserve">. </w:t>
      </w:r>
      <w:r w:rsidR="00E771A9">
        <w:t>A change</w:t>
      </w:r>
      <w:r>
        <w:t xml:space="preserve"> in the level of inventory abruptly reflects </w:t>
      </w:r>
      <w:r w:rsidR="007A093E">
        <w:t>a</w:t>
      </w:r>
      <w:r>
        <w:t xml:space="preserve"> lack of stability in the production planning or demand prediction.</w:t>
      </w:r>
    </w:p>
    <w:p w14:paraId="59E3FE92" w14:textId="6DC1C57D" w:rsidR="00C94A5C" w:rsidRPr="00C94A5C" w:rsidRDefault="00C94A5C" w:rsidP="00D4670E">
      <w:pPr>
        <w:rPr>
          <w:b/>
          <w:bCs/>
        </w:rPr>
      </w:pPr>
      <w:r w:rsidRPr="00C94A5C">
        <w:rPr>
          <w:b/>
          <w:bCs/>
        </w:rPr>
        <w:t>Receivable Days</w:t>
      </w:r>
    </w:p>
    <w:p w14:paraId="05FF1447" w14:textId="3063C269" w:rsidR="00C94A5C" w:rsidRDefault="00C94A5C" w:rsidP="00D4670E">
      <w:r>
        <w:t xml:space="preserve">Receivable days were still large and consistent. This implies that payment </w:t>
      </w:r>
      <w:r w:rsidR="00E771A9">
        <w:t>by</w:t>
      </w:r>
      <w:r>
        <w:t xml:space="preserve"> customers is sluggish, which weakens the liquidity and delays the cash flow. </w:t>
      </w:r>
      <w:r w:rsidR="00E771A9">
        <w:t>Red-flagged</w:t>
      </w:r>
      <w:r>
        <w:t xml:space="preserve"> collections are also associated with exposing the credit risk in case customers are experiencing financial problems</w:t>
      </w:r>
      <w:r w:rsidR="0019019E">
        <w:t xml:space="preserve"> </w:t>
      </w:r>
      <w:r w:rsidR="0019019E" w:rsidRPr="0019019E">
        <w:t>(Fridson and Alvarez, 2022)</w:t>
      </w:r>
      <w:r>
        <w:t>.</w:t>
      </w:r>
    </w:p>
    <w:p w14:paraId="5C97B6F6" w14:textId="5A32DDAA" w:rsidR="00C94A5C" w:rsidRPr="00C94A5C" w:rsidRDefault="00C94A5C" w:rsidP="00D4670E">
      <w:pPr>
        <w:rPr>
          <w:b/>
          <w:bCs/>
        </w:rPr>
      </w:pPr>
      <w:r w:rsidRPr="00C94A5C">
        <w:rPr>
          <w:b/>
          <w:bCs/>
        </w:rPr>
        <w:t>Payable Days</w:t>
      </w:r>
    </w:p>
    <w:p w14:paraId="5DC40D2A" w14:textId="3B626064" w:rsidR="00C94A5C" w:rsidRDefault="00C94A5C" w:rsidP="00D4670E">
      <w:r>
        <w:lastRenderedPageBreak/>
        <w:t>The number of payable days was also higher</w:t>
      </w:r>
      <w:r w:rsidR="00E771A9">
        <w:t>,</w:t>
      </w:r>
      <w:r>
        <w:t xml:space="preserve"> indicating that the company is withholding payments to the suppliers. Although it can be useful in the meantime to sustain the cash flow, it can destroy relationships with suppliers and cause stricter credit conditions.</w:t>
      </w:r>
    </w:p>
    <w:p w14:paraId="5882F152" w14:textId="5F637199" w:rsidR="00C94A5C" w:rsidRPr="00C94A5C" w:rsidRDefault="00C94A5C" w:rsidP="00D4670E">
      <w:pPr>
        <w:rPr>
          <w:b/>
          <w:bCs/>
        </w:rPr>
      </w:pPr>
      <w:r w:rsidRPr="00C94A5C">
        <w:rPr>
          <w:b/>
          <w:bCs/>
        </w:rPr>
        <w:t>Cash Conversion Cycle</w:t>
      </w:r>
    </w:p>
    <w:p w14:paraId="2AF2429B" w14:textId="19AE9B17" w:rsidR="00C94A5C" w:rsidRDefault="00C94A5C" w:rsidP="00D4670E">
      <w:r>
        <w:t xml:space="preserve">The CCC grew during the initial years, i.e. cash was held </w:t>
      </w:r>
      <w:r w:rsidR="00E771A9">
        <w:t>in</w:t>
      </w:r>
      <w:r>
        <w:t xml:space="preserve"> operations. This subsequent decline could be good</w:t>
      </w:r>
      <w:r w:rsidR="00E771A9">
        <w:t>;</w:t>
      </w:r>
      <w:r>
        <w:t xml:space="preserve"> however</w:t>
      </w:r>
      <w:r w:rsidR="00E771A9">
        <w:t>,</w:t>
      </w:r>
      <w:r>
        <w:t xml:space="preserve"> it is probable that it was due to poor production and not efficiency. Falling CCC due to operational contraction is an indication of financial pressure, rather than enhanced management.</w:t>
      </w:r>
    </w:p>
    <w:p w14:paraId="21CDE839" w14:textId="783C7C2A" w:rsidR="00C94A5C" w:rsidRPr="00C94A5C" w:rsidRDefault="00C94A5C" w:rsidP="00D4670E">
      <w:pPr>
        <w:rPr>
          <w:b/>
          <w:bCs/>
        </w:rPr>
      </w:pPr>
      <w:r w:rsidRPr="00C94A5C">
        <w:rPr>
          <w:b/>
          <w:bCs/>
        </w:rPr>
        <w:t>Efficiency Summary</w:t>
      </w:r>
    </w:p>
    <w:p w14:paraId="414B7B3A" w14:textId="356BD3AF" w:rsidR="00C94A5C" w:rsidRDefault="00C94A5C" w:rsidP="00D4670E">
      <w:r>
        <w:t>There is poor performance regarding efficiency. Stagnant receivables, inventory volatility and rising payables are all indicators of working capital stress.</w:t>
      </w:r>
      <w:r w:rsidR="009C5B5D">
        <w:t xml:space="preserve"> </w:t>
      </w:r>
      <w:r w:rsidR="009C5B5D" w:rsidRPr="009C5B5D">
        <w:t xml:space="preserve">Despite an apparent increase in the cash conversion cycle in the later years, this is more of an </w:t>
      </w:r>
      <w:r w:rsidR="009C5B5D">
        <w:t>operational</w:t>
      </w:r>
      <w:r w:rsidR="009C5B5D" w:rsidRPr="009C5B5D">
        <w:t xml:space="preserve"> shrinkage than an actual efficiency increase</w:t>
      </w:r>
      <w:r w:rsidR="009C5B5D">
        <w:t>,</w:t>
      </w:r>
      <w:r w:rsidR="009C5B5D" w:rsidRPr="009C5B5D">
        <w:t xml:space="preserve"> and this is the means of continued strain on liquidity and not a proper management of working capital.</w:t>
      </w:r>
    </w:p>
    <w:p w14:paraId="6826EA97" w14:textId="57BD7B82" w:rsidR="00C94A5C" w:rsidRDefault="00C94A5C" w:rsidP="00D4670E">
      <w:pPr>
        <w:pStyle w:val="Heading2"/>
      </w:pPr>
      <w:bookmarkStart w:id="6" w:name="_Toc216707184"/>
      <w:r>
        <w:t>Gearing and Financial Risk</w:t>
      </w:r>
      <w:bookmarkEnd w:id="6"/>
    </w:p>
    <w:p w14:paraId="4D44A5A0" w14:textId="77777777" w:rsidR="00C94A5C" w:rsidRDefault="00C94A5C" w:rsidP="00D4670E">
      <w:r>
        <w:t>Gearing ratios show the degree of reliance of the company on debt and the level of risk of long-term solvency.</w:t>
      </w:r>
    </w:p>
    <w:p w14:paraId="32184239" w14:textId="77777777" w:rsidR="00BF2B9E" w:rsidRDefault="00BF2B9E" w:rsidP="00D4670E">
      <w:pPr>
        <w:rPr>
          <w:rFonts w:eastAsiaTheme="majorEastAsia"/>
          <w:color w:val="0F4761" w:themeColor="accent1" w:themeShade="BF"/>
          <w:sz w:val="32"/>
          <w:szCs w:val="32"/>
        </w:rPr>
      </w:pPr>
      <w:r w:rsidRPr="00BF2B9E">
        <w:rPr>
          <w:b/>
          <w:bCs/>
        </w:rPr>
        <w:t>Gearing Ratio Trends</w:t>
      </w:r>
    </w:p>
    <w:p w14:paraId="5F373D1E" w14:textId="70173B3A" w:rsidR="00CA0A43" w:rsidRPr="00CA0A43" w:rsidRDefault="00CA0A43" w:rsidP="00D4670E">
      <w:pPr>
        <w:rPr>
          <w:b/>
          <w:bCs/>
        </w:rPr>
      </w:pPr>
      <w:r w:rsidRPr="00CA0A43">
        <w:rPr>
          <w:b/>
          <w:bCs/>
        </w:rPr>
        <w:t>Debt-to-Equity Ratio</w:t>
      </w:r>
    </w:p>
    <w:p w14:paraId="158B6C2F" w14:textId="6F8A9E31" w:rsidR="00CA0A43" w:rsidRDefault="00CA0A43" w:rsidP="00D4670E">
      <w:r>
        <w:t xml:space="preserve">The level of </w:t>
      </w:r>
      <w:r w:rsidR="007A093E">
        <w:t>the</w:t>
      </w:r>
      <w:r>
        <w:t xml:space="preserve"> </w:t>
      </w:r>
      <w:r w:rsidR="00E771A9">
        <w:t>debt-to-equity</w:t>
      </w:r>
      <w:r>
        <w:t xml:space="preserve"> ratio rose drastically as the shareholder equity declined. Increasing leverage would raise financial risk and decrease flexibility. An increased amount of </w:t>
      </w:r>
      <w:r w:rsidR="00E771A9">
        <w:t>debt</w:t>
      </w:r>
      <w:r>
        <w:t xml:space="preserve"> also increases the cost of interest</w:t>
      </w:r>
      <w:r w:rsidR="00E771A9">
        <w:t>,</w:t>
      </w:r>
      <w:r>
        <w:t xml:space="preserve"> and recovery becomes harder.</w:t>
      </w:r>
    </w:p>
    <w:p w14:paraId="4BC72FA1" w14:textId="183D2552" w:rsidR="00CA0A43" w:rsidRPr="00CA0A43" w:rsidRDefault="007A093E" w:rsidP="00D4670E">
      <w:pPr>
        <w:rPr>
          <w:b/>
          <w:bCs/>
        </w:rPr>
      </w:pPr>
      <w:r w:rsidRPr="00CA0A43">
        <w:rPr>
          <w:b/>
          <w:bCs/>
        </w:rPr>
        <w:t>Interest in</w:t>
      </w:r>
      <w:r w:rsidR="00CA0A43" w:rsidRPr="00CA0A43">
        <w:rPr>
          <w:b/>
          <w:bCs/>
        </w:rPr>
        <w:t xml:space="preserve"> Coverage</w:t>
      </w:r>
    </w:p>
    <w:p w14:paraId="122E4787" w14:textId="507CAD96" w:rsidR="00CA0A43" w:rsidRDefault="00CA0A43" w:rsidP="00D4670E">
      <w:r>
        <w:t>The interest coverage turned negative, that is, the firm is no longer able to meet interest payments on the level of operating income</w:t>
      </w:r>
      <w:r w:rsidR="00883B19">
        <w:t xml:space="preserve"> </w:t>
      </w:r>
      <w:r w:rsidR="00883B19" w:rsidRPr="00883B19">
        <w:t>(Arnold and Lewis, 2019)</w:t>
      </w:r>
      <w:r>
        <w:t>. This is a significant indicator of financial stress</w:t>
      </w:r>
      <w:r w:rsidR="00E771A9">
        <w:t>,</w:t>
      </w:r>
      <w:r>
        <w:t xml:space="preserve"> and a high probability of default is a great threat.</w:t>
      </w:r>
    </w:p>
    <w:p w14:paraId="449EC44E" w14:textId="76FBE902" w:rsidR="00CA0A43" w:rsidRPr="00CA0A43" w:rsidRDefault="00CA0A43" w:rsidP="00D4670E">
      <w:pPr>
        <w:rPr>
          <w:b/>
          <w:bCs/>
        </w:rPr>
      </w:pPr>
      <w:r w:rsidRPr="00CA0A43">
        <w:rPr>
          <w:b/>
          <w:bCs/>
        </w:rPr>
        <w:lastRenderedPageBreak/>
        <w:t>Debt Ratio</w:t>
      </w:r>
    </w:p>
    <w:p w14:paraId="6B962D5A" w14:textId="14AB71D9" w:rsidR="00CA0A43" w:rsidRDefault="00CA0A43" w:rsidP="00D4670E">
      <w:r>
        <w:t xml:space="preserve">There was a gradual rise in the debt ratio. An increased debt dependency will expose the business to fluctuations in interest rates and </w:t>
      </w:r>
      <w:r w:rsidR="00E771A9">
        <w:t xml:space="preserve">a </w:t>
      </w:r>
      <w:r>
        <w:t>lack of cash flow.</w:t>
      </w:r>
    </w:p>
    <w:p w14:paraId="4C251810" w14:textId="18188C1D" w:rsidR="00CA0A43" w:rsidRPr="00CA0A43" w:rsidRDefault="00CA0A43" w:rsidP="00D4670E">
      <w:pPr>
        <w:rPr>
          <w:b/>
          <w:bCs/>
        </w:rPr>
      </w:pPr>
      <w:r w:rsidRPr="00CA0A43">
        <w:rPr>
          <w:b/>
          <w:bCs/>
        </w:rPr>
        <w:t>Gearing Summary</w:t>
      </w:r>
    </w:p>
    <w:p w14:paraId="58A3483F" w14:textId="461A2D8B" w:rsidR="00CA0A43" w:rsidRDefault="00CA0A43" w:rsidP="00D4670E">
      <w:r>
        <w:t xml:space="preserve">There is a severe problem with </w:t>
      </w:r>
      <w:r w:rsidR="00E771A9">
        <w:t xml:space="preserve">the </w:t>
      </w:r>
      <w:r>
        <w:t xml:space="preserve">gearing of the company. The </w:t>
      </w:r>
      <w:r w:rsidR="00E771A9">
        <w:t>debt-to-equity</w:t>
      </w:r>
      <w:r>
        <w:t xml:space="preserve"> ratio is high</w:t>
      </w:r>
      <w:r w:rsidR="00E771A9">
        <w:t>,</w:t>
      </w:r>
      <w:r>
        <w:t xml:space="preserve"> and the earnings are poor</w:t>
      </w:r>
      <w:r w:rsidR="00E771A9">
        <w:t>,</w:t>
      </w:r>
      <w:r>
        <w:t xml:space="preserve"> indicating that the capital structure is weak.</w:t>
      </w:r>
      <w:r w:rsidR="009C5B5D">
        <w:t xml:space="preserve"> </w:t>
      </w:r>
      <w:r w:rsidR="009C5B5D" w:rsidRPr="009C5B5D">
        <w:t>Both high leverage and negative interest coverage greatly increase insolvency risk and lower the ability of the firm to absorb financial shocks</w:t>
      </w:r>
      <w:r w:rsidR="00B57142">
        <w:t>,</w:t>
      </w:r>
      <w:r w:rsidR="009C5B5D" w:rsidRPr="009C5B5D">
        <w:t xml:space="preserve"> </w:t>
      </w:r>
      <w:r w:rsidR="00B57142">
        <w:t>which</w:t>
      </w:r>
      <w:r w:rsidR="009C5B5D" w:rsidRPr="009C5B5D">
        <w:t xml:space="preserve"> decreases its ability to absorb them and demonstrates the urgency of capital structure restructuring, especially via </w:t>
      </w:r>
      <w:r w:rsidR="00B57142">
        <w:t>equity-based</w:t>
      </w:r>
      <w:r w:rsidR="009C5B5D" w:rsidRPr="009C5B5D">
        <w:t xml:space="preserve"> solutions to the issue.</w:t>
      </w:r>
    </w:p>
    <w:p w14:paraId="3D1052D6" w14:textId="77777777" w:rsidR="00CA0A43" w:rsidRDefault="00CA0A43" w:rsidP="00D4670E">
      <w:pPr>
        <w:pStyle w:val="Heading2"/>
      </w:pPr>
      <w:bookmarkStart w:id="7" w:name="_Toc216707185"/>
      <w:r w:rsidRPr="00CA0A43">
        <w:t>Cash Flow Performance</w:t>
      </w:r>
      <w:bookmarkEnd w:id="7"/>
    </w:p>
    <w:p w14:paraId="785B43AE" w14:textId="77777777" w:rsidR="00E771A9" w:rsidRDefault="00E771A9" w:rsidP="00D4670E">
      <w:r w:rsidRPr="00E771A9">
        <w:t>The ratio and trends of cash flow indicate whether the operations of the company are sufficient to fund its operations.</w:t>
      </w:r>
    </w:p>
    <w:p w14:paraId="2F4FBDDE" w14:textId="007AE875" w:rsidR="00E771A9" w:rsidRPr="00E771A9" w:rsidRDefault="00E771A9" w:rsidP="00D4670E">
      <w:pPr>
        <w:rPr>
          <w:b/>
          <w:bCs/>
        </w:rPr>
      </w:pPr>
      <w:r w:rsidRPr="00E771A9">
        <w:rPr>
          <w:b/>
          <w:bCs/>
        </w:rPr>
        <w:t>Operating Cash Flow</w:t>
      </w:r>
    </w:p>
    <w:p w14:paraId="5A61D91E" w14:textId="44A76163" w:rsidR="00E771A9" w:rsidRDefault="00E771A9" w:rsidP="00D4670E">
      <w:r>
        <w:t xml:space="preserve">The cash </w:t>
      </w:r>
      <w:r w:rsidR="007A093E">
        <w:t>flow</w:t>
      </w:r>
      <w:r>
        <w:t xml:space="preserve"> also fell and fell into the negative in a year. The negative operating cash flow indicates that the core business is already not self-sufficient and </w:t>
      </w:r>
      <w:r w:rsidR="007A093E">
        <w:t>needs</w:t>
      </w:r>
      <w:r>
        <w:t xml:space="preserve"> an external funding source to be conscious of.</w:t>
      </w:r>
    </w:p>
    <w:p w14:paraId="1DAE476C" w14:textId="63DF6F0A" w:rsidR="00E771A9" w:rsidRPr="00E771A9" w:rsidRDefault="00E771A9" w:rsidP="00D4670E">
      <w:pPr>
        <w:rPr>
          <w:b/>
          <w:bCs/>
        </w:rPr>
      </w:pPr>
      <w:r w:rsidRPr="00E771A9">
        <w:rPr>
          <w:b/>
          <w:bCs/>
        </w:rPr>
        <w:t>Free Cash Flow</w:t>
      </w:r>
    </w:p>
    <w:p w14:paraId="318F587A" w14:textId="0DB3CD98" w:rsidR="00E771A9" w:rsidRDefault="00E771A9" w:rsidP="00D4670E">
      <w:r>
        <w:t>Free cash flow fell sharply. Negative free cash flow shows that there is a low capability of investing, settling debt or financing restructuring.</w:t>
      </w:r>
    </w:p>
    <w:p w14:paraId="78C1B646" w14:textId="45E2F678" w:rsidR="00E771A9" w:rsidRPr="00E771A9" w:rsidRDefault="00E771A9" w:rsidP="00D4670E">
      <w:pPr>
        <w:rPr>
          <w:b/>
          <w:bCs/>
        </w:rPr>
      </w:pPr>
      <w:r w:rsidRPr="00E771A9">
        <w:rPr>
          <w:b/>
          <w:bCs/>
        </w:rPr>
        <w:t>Cash from Financing</w:t>
      </w:r>
    </w:p>
    <w:p w14:paraId="091990FC" w14:textId="23E9E2B9" w:rsidR="00E771A9" w:rsidRDefault="00E771A9" w:rsidP="00D4670E">
      <w:r>
        <w:t>External borrowing was enhanced. This is an indication of poor internal cash generation and further strain on debts of the company</w:t>
      </w:r>
      <w:r w:rsidR="001825B4">
        <w:t xml:space="preserve"> </w:t>
      </w:r>
      <w:r w:rsidR="001825B4" w:rsidRPr="001825B4">
        <w:t xml:space="preserve">(Schroeder </w:t>
      </w:r>
      <w:r w:rsidR="001825B4" w:rsidRPr="001825B4">
        <w:rPr>
          <w:i/>
          <w:iCs/>
        </w:rPr>
        <w:t>et al.</w:t>
      </w:r>
      <w:r w:rsidR="001825B4" w:rsidRPr="001825B4">
        <w:t>, 2022)</w:t>
      </w:r>
      <w:r>
        <w:t>.</w:t>
      </w:r>
    </w:p>
    <w:p w14:paraId="7190FEC4" w14:textId="7EEB9B95" w:rsidR="00E771A9" w:rsidRPr="00E771A9" w:rsidRDefault="00E771A9" w:rsidP="00D4670E">
      <w:pPr>
        <w:rPr>
          <w:b/>
          <w:bCs/>
        </w:rPr>
      </w:pPr>
      <w:r w:rsidRPr="00E771A9">
        <w:rPr>
          <w:b/>
          <w:bCs/>
        </w:rPr>
        <w:t>Cash Flow Summary</w:t>
      </w:r>
    </w:p>
    <w:p w14:paraId="628AA614" w14:textId="77777777" w:rsidR="00E771A9" w:rsidRDefault="00E771A9" w:rsidP="00D4670E">
      <w:r>
        <w:t>In general, there is an increasing instability and a diminished financial flexibility of cash flow performance.</w:t>
      </w:r>
    </w:p>
    <w:p w14:paraId="6682889B" w14:textId="3F0E3FF5" w:rsidR="00E771A9" w:rsidRDefault="00E771A9" w:rsidP="00D4670E">
      <w:pPr>
        <w:pStyle w:val="Heading2"/>
      </w:pPr>
      <w:bookmarkStart w:id="8" w:name="_Toc216707186"/>
      <w:r>
        <w:lastRenderedPageBreak/>
        <w:t>Altman Z-Score: Default Risk Assessment.</w:t>
      </w:r>
      <w:bookmarkEnd w:id="8"/>
    </w:p>
    <w:p w14:paraId="2604A43A" w14:textId="00D51150" w:rsidR="00E771A9" w:rsidRDefault="00E771A9" w:rsidP="00D4670E">
      <w:r>
        <w:t>The Altman Z-Score is a combination of measures of profitability, efficiency, leverage and liquidity to establish the risk of corporate failure.</w:t>
      </w:r>
    </w:p>
    <w:p w14:paraId="452999FC" w14:textId="4B7FCC7F" w:rsidR="00E771A9" w:rsidRPr="00E771A9" w:rsidRDefault="00E771A9" w:rsidP="00D4670E">
      <w:pPr>
        <w:rPr>
          <w:b/>
          <w:bCs/>
        </w:rPr>
      </w:pPr>
      <w:r w:rsidRPr="00E771A9">
        <w:rPr>
          <w:b/>
          <w:bCs/>
        </w:rPr>
        <w:t>Z-Score Trend</w:t>
      </w:r>
    </w:p>
    <w:p w14:paraId="2862890C" w14:textId="4B525B0C" w:rsidR="00E771A9" w:rsidRDefault="00E771A9" w:rsidP="00D4670E">
      <w:r>
        <w:t xml:space="preserve">The Z-score of the company was decreasing to a disturbing range. This implies that the chances are high that there will be a default </w:t>
      </w:r>
      <w:r w:rsidR="007A093E">
        <w:t>if</w:t>
      </w:r>
      <w:r>
        <w:t xml:space="preserve"> a corrective measure is not taken.</w:t>
      </w:r>
    </w:p>
    <w:p w14:paraId="4448DAD5" w14:textId="6458DDE6" w:rsidR="00E771A9" w:rsidRPr="00E771A9" w:rsidRDefault="00E771A9" w:rsidP="00D4670E">
      <w:pPr>
        <w:rPr>
          <w:b/>
          <w:bCs/>
        </w:rPr>
      </w:pPr>
      <w:r w:rsidRPr="00E771A9">
        <w:rPr>
          <w:b/>
          <w:bCs/>
        </w:rPr>
        <w:t>Interpretation</w:t>
      </w:r>
    </w:p>
    <w:p w14:paraId="2D290098" w14:textId="7BFC7B3E" w:rsidR="00E771A9" w:rsidRDefault="00E771A9" w:rsidP="00D4670E">
      <w:r>
        <w:t>The way the score continued to decrease points to several things:</w:t>
      </w:r>
    </w:p>
    <w:p w14:paraId="21B01E40" w14:textId="6521B1FA" w:rsidR="00E771A9" w:rsidRDefault="00E771A9" w:rsidP="00C93674">
      <w:r>
        <w:t>Weak profitability</w:t>
      </w:r>
      <w:r w:rsidR="00C93674">
        <w:t xml:space="preserve">, </w:t>
      </w:r>
      <w:r>
        <w:t>High leverage</w:t>
      </w:r>
      <w:r w:rsidR="00C93674">
        <w:t xml:space="preserve">, </w:t>
      </w:r>
      <w:proofErr w:type="gramStart"/>
      <w:r>
        <w:t>Fading</w:t>
      </w:r>
      <w:proofErr w:type="gramEnd"/>
      <w:r>
        <w:t xml:space="preserve"> working capital efficiency</w:t>
      </w:r>
      <w:r w:rsidR="00C93674">
        <w:t xml:space="preserve">, </w:t>
      </w:r>
      <w:r>
        <w:t>Unfavourable operating cash flow</w:t>
      </w:r>
      <w:r w:rsidR="00C93674">
        <w:t xml:space="preserve"> and </w:t>
      </w:r>
      <w:r>
        <w:t>Falling asset productivity</w:t>
      </w:r>
    </w:p>
    <w:p w14:paraId="76AA07FE" w14:textId="05544805" w:rsidR="009C5B5D" w:rsidRDefault="009C5B5D" w:rsidP="009C5B5D">
      <w:r w:rsidRPr="009C5B5D">
        <w:t xml:space="preserve">Together, the decreasing Z-score represents a solid indicator of General Electronics being in the financial distress zone with </w:t>
      </w:r>
      <w:r>
        <w:t xml:space="preserve">a </w:t>
      </w:r>
      <w:r w:rsidRPr="009C5B5D">
        <w:t>high likelihood of failing unless strong corrective measures can be implemented in order to increase profitability, liquidity, and capital structure.</w:t>
      </w:r>
    </w:p>
    <w:p w14:paraId="213A2CBD" w14:textId="5B5CEC5E" w:rsidR="00E771A9" w:rsidRDefault="00E771A9" w:rsidP="00D4670E">
      <w:r>
        <w:t>Put collectively, these are indicators that indicate significant financial pain and a significant danger to long-term survival.</w:t>
      </w:r>
    </w:p>
    <w:p w14:paraId="4FD31086" w14:textId="726BDCD9" w:rsidR="00E771A9" w:rsidRDefault="00E771A9" w:rsidP="00D4670E">
      <w:pPr>
        <w:pStyle w:val="Heading2"/>
      </w:pPr>
      <w:bookmarkStart w:id="9" w:name="_Toc216707187"/>
      <w:r>
        <w:t>Strengths and Threats Summary.</w:t>
      </w:r>
      <w:bookmarkEnd w:id="9"/>
    </w:p>
    <w:p w14:paraId="47017C5D" w14:textId="5D1F2648" w:rsidR="00E771A9" w:rsidRPr="00E771A9" w:rsidRDefault="00E771A9" w:rsidP="00D4670E">
      <w:pPr>
        <w:rPr>
          <w:b/>
          <w:bCs/>
        </w:rPr>
      </w:pPr>
      <w:r w:rsidRPr="00E771A9">
        <w:rPr>
          <w:b/>
          <w:bCs/>
        </w:rPr>
        <w:t>Strengths</w:t>
      </w:r>
    </w:p>
    <w:p w14:paraId="34CA4087" w14:textId="074D7C1D" w:rsidR="00E771A9" w:rsidRDefault="00E771A9" w:rsidP="00C93674">
      <w:r>
        <w:t>There was a slight cash conversion cycle improvement in the last year.</w:t>
      </w:r>
      <w:r w:rsidR="00C93674">
        <w:t xml:space="preserve"> </w:t>
      </w:r>
      <w:r>
        <w:t>Current assets are a little levelled off.</w:t>
      </w:r>
      <w:r w:rsidR="00C93674">
        <w:t xml:space="preserve"> </w:t>
      </w:r>
      <w:r>
        <w:t>Restructuring with a chance to revive.</w:t>
      </w:r>
    </w:p>
    <w:p w14:paraId="6090E94C" w14:textId="6C4A57CE" w:rsidR="00E771A9" w:rsidRPr="00E771A9" w:rsidRDefault="00E771A9" w:rsidP="00E771A9">
      <w:pPr>
        <w:rPr>
          <w:b/>
          <w:bCs/>
        </w:rPr>
      </w:pPr>
      <w:r w:rsidRPr="00E771A9">
        <w:rPr>
          <w:b/>
          <w:bCs/>
        </w:rPr>
        <w:t>Threats</w:t>
      </w:r>
    </w:p>
    <w:p w14:paraId="68FCC101" w14:textId="71267D5D" w:rsidR="00FC1CA9" w:rsidRPr="00BF2B9E" w:rsidRDefault="00E771A9" w:rsidP="00C93674">
      <w:r>
        <w:t>Constant reduction in profitability.</w:t>
      </w:r>
      <w:r w:rsidR="00C93674">
        <w:t xml:space="preserve"> </w:t>
      </w:r>
      <w:r>
        <w:t>Unsustainable interest cover and high leverage.</w:t>
      </w:r>
      <w:r w:rsidR="00C93674">
        <w:t xml:space="preserve"> </w:t>
      </w:r>
      <w:r>
        <w:t>Bad liquidity and declining cash reserves.</w:t>
      </w:r>
      <w:r w:rsidR="00C93674">
        <w:t xml:space="preserve"> </w:t>
      </w:r>
      <w:r>
        <w:t>Geriatric working capital performance.</w:t>
      </w:r>
      <w:r w:rsidR="00C93674">
        <w:t xml:space="preserve"> The </w:t>
      </w:r>
      <w:r>
        <w:t>Z-score indicated high default risk.</w:t>
      </w:r>
      <w:r w:rsidR="00FC1CA9" w:rsidRPr="00BF2B9E">
        <w:br w:type="page"/>
      </w:r>
    </w:p>
    <w:p w14:paraId="5F446F54" w14:textId="40F08C15" w:rsidR="001B56DC" w:rsidRDefault="003D06C8" w:rsidP="00CF2B05">
      <w:pPr>
        <w:pStyle w:val="Heading1"/>
      </w:pPr>
      <w:bookmarkStart w:id="10" w:name="_Toc216707188"/>
      <w:r w:rsidRPr="003D06C8">
        <w:lastRenderedPageBreak/>
        <w:t>Working Capital Management Analysis</w:t>
      </w:r>
      <w:bookmarkEnd w:id="10"/>
    </w:p>
    <w:p w14:paraId="0E08DF10" w14:textId="59EB70D4" w:rsidR="00600D17" w:rsidRDefault="00600D17" w:rsidP="00600D17">
      <w:r>
        <w:t xml:space="preserve">Working capital management is critical in the case of General Electronics, particularly because it is experiencing poor liquidity and financial volatility. This part assesses </w:t>
      </w:r>
      <w:r w:rsidR="001731D4">
        <w:t xml:space="preserve">the </w:t>
      </w:r>
      <w:r>
        <w:t xml:space="preserve">cash operating cycle </w:t>
      </w:r>
      <w:r w:rsidR="001731D4">
        <w:t>and</w:t>
      </w:r>
      <w:r>
        <w:t xml:space="preserve"> defines significant weaknesses in inventory, receivables and payables. It then advises on the steps to enhance liquidity and contrasts appropriate </w:t>
      </w:r>
      <w:r w:rsidR="001731D4">
        <w:t>short-term</w:t>
      </w:r>
      <w:r>
        <w:t xml:space="preserve"> and </w:t>
      </w:r>
      <w:r w:rsidR="001731D4">
        <w:t>long-term</w:t>
      </w:r>
      <w:r>
        <w:t xml:space="preserve"> facilities to facilitate recovery.</w:t>
      </w:r>
    </w:p>
    <w:p w14:paraId="2281D66D" w14:textId="6AA8FC89" w:rsidR="00600D17" w:rsidRDefault="00600D17" w:rsidP="00600D17">
      <w:pPr>
        <w:pStyle w:val="Heading2"/>
      </w:pPr>
      <w:bookmarkStart w:id="11" w:name="_Toc216707189"/>
      <w:r>
        <w:t>Cash Operating Cycle Evaluation.</w:t>
      </w:r>
      <w:bookmarkEnd w:id="11"/>
    </w:p>
    <w:p w14:paraId="60A4984A" w14:textId="56E2D92A" w:rsidR="00600D17" w:rsidRDefault="00600D17" w:rsidP="00600D17">
      <w:r>
        <w:t>Cash operating cycle (COC) is used to determine the duration taken by the company to translate inventory and credit sales into cash</w:t>
      </w:r>
      <w:r w:rsidR="00C71E81">
        <w:t xml:space="preserve"> </w:t>
      </w:r>
      <w:r w:rsidR="00C71E81" w:rsidRPr="00C71E81">
        <w:t>(Kaushik and Chauhan, 2019)</w:t>
      </w:r>
      <w:r>
        <w:t xml:space="preserve">. It also contains inventory days, receivable days and payable days and gives a valuable perspective </w:t>
      </w:r>
      <w:r w:rsidR="003919A0">
        <w:t>on</w:t>
      </w:r>
      <w:r>
        <w:t xml:space="preserve"> short-term financial well-being.</w:t>
      </w:r>
    </w:p>
    <w:p w14:paraId="4F5562B6" w14:textId="713036A6" w:rsidR="00600D17" w:rsidRPr="00600D17" w:rsidRDefault="00600D17" w:rsidP="00600D17">
      <w:pPr>
        <w:rPr>
          <w:b/>
          <w:bCs/>
        </w:rPr>
      </w:pPr>
      <w:r w:rsidRPr="00600D17">
        <w:rPr>
          <w:b/>
          <w:bCs/>
        </w:rPr>
        <w:t>Inventory Management</w:t>
      </w:r>
    </w:p>
    <w:p w14:paraId="61FBB88F" w14:textId="3875CEE3" w:rsidR="00600D17" w:rsidRDefault="00600D17" w:rsidP="00600D17">
      <w:r>
        <w:t xml:space="preserve">Early in the period, there were higher inventory days signifying bulk inventory, sluggish sales or poor forecasting of demand. This locks up money that would be </w:t>
      </w:r>
      <w:r w:rsidR="001731D4">
        <w:t>utilised</w:t>
      </w:r>
      <w:r>
        <w:t xml:space="preserve"> in operations. The subsequent decline in inventory days could have been caused by less production or an attempt to move stock fast by discounting. These swings indicate an inability to plan and poor coordination between production and sales. Remarkable inventory management leads to pressure on liquidity and low efficiency.</w:t>
      </w:r>
    </w:p>
    <w:p w14:paraId="1B8D2F95" w14:textId="56BB9FE8" w:rsidR="00600D17" w:rsidRPr="00600D17" w:rsidRDefault="00600D17" w:rsidP="00600D17">
      <w:pPr>
        <w:rPr>
          <w:b/>
          <w:bCs/>
        </w:rPr>
      </w:pPr>
      <w:r w:rsidRPr="00600D17">
        <w:rPr>
          <w:b/>
          <w:bCs/>
        </w:rPr>
        <w:t>Receivables Collection</w:t>
      </w:r>
    </w:p>
    <w:p w14:paraId="1A1B0AF9" w14:textId="3203CCDD" w:rsidR="00600D17" w:rsidRDefault="00600D17" w:rsidP="00600D17">
      <w:r>
        <w:t xml:space="preserve">The </w:t>
      </w:r>
      <w:r w:rsidR="003919A0">
        <w:t>number</w:t>
      </w:r>
      <w:r>
        <w:t xml:space="preserve"> of receivable days was still high over the five years, indicating that the payment of the customers is always slow. This slows down the cash </w:t>
      </w:r>
      <w:r w:rsidR="003919A0">
        <w:t>inflow</w:t>
      </w:r>
      <w:r>
        <w:t xml:space="preserve"> and </w:t>
      </w:r>
      <w:r w:rsidR="003919A0">
        <w:t>obliges</w:t>
      </w:r>
      <w:r>
        <w:t xml:space="preserve"> the company to use short-term borrowing to continue with the </w:t>
      </w:r>
      <w:r w:rsidR="001731D4">
        <w:t>day-to-day</w:t>
      </w:r>
      <w:r>
        <w:t xml:space="preserve"> expenses</w:t>
      </w:r>
      <w:r w:rsidR="00CF48EA">
        <w:t xml:space="preserve"> </w:t>
      </w:r>
      <w:r w:rsidR="00CF48EA" w:rsidRPr="00CF48EA">
        <w:t xml:space="preserve">(Parrino </w:t>
      </w:r>
      <w:r w:rsidR="00CF48EA" w:rsidRPr="00CF48EA">
        <w:rPr>
          <w:i/>
          <w:iCs/>
        </w:rPr>
        <w:t>et al.</w:t>
      </w:r>
      <w:r w:rsidR="00CF48EA" w:rsidRPr="00CF48EA">
        <w:t>, 2021)</w:t>
      </w:r>
      <w:r>
        <w:t xml:space="preserve">. The risk of late payments or </w:t>
      </w:r>
      <w:r w:rsidR="003919A0">
        <w:t>delays</w:t>
      </w:r>
      <w:r>
        <w:t xml:space="preserve"> is also high when the receivables are high.</w:t>
      </w:r>
      <w:r w:rsidRPr="00C71E81">
        <w:t xml:space="preserve"> </w:t>
      </w:r>
      <w:r>
        <w:t xml:space="preserve">This trend shows the necessity of tightening </w:t>
      </w:r>
      <w:r w:rsidR="003919A0">
        <w:t>credit</w:t>
      </w:r>
      <w:r>
        <w:t xml:space="preserve"> control and making the collection process more effective.</w:t>
      </w:r>
    </w:p>
    <w:p w14:paraId="558CE66F" w14:textId="4B0359C1" w:rsidR="00600D17" w:rsidRPr="00600D17" w:rsidRDefault="00600D17" w:rsidP="00600D17">
      <w:pPr>
        <w:rPr>
          <w:b/>
          <w:bCs/>
        </w:rPr>
      </w:pPr>
      <w:r w:rsidRPr="00600D17">
        <w:rPr>
          <w:b/>
          <w:bCs/>
        </w:rPr>
        <w:t>Payables Management</w:t>
      </w:r>
    </w:p>
    <w:p w14:paraId="216BD5C0" w14:textId="56D70058" w:rsidR="00600D17" w:rsidRDefault="00600D17" w:rsidP="00600D17">
      <w:r>
        <w:t xml:space="preserve">The days payable </w:t>
      </w:r>
      <w:r w:rsidR="003919A0">
        <w:t>outstanding</w:t>
      </w:r>
      <w:r>
        <w:t xml:space="preserve"> went higher due to delays made by the company in paying suppliers. This may be good to maintain cash in the short run, but it may </w:t>
      </w:r>
      <w:r>
        <w:lastRenderedPageBreak/>
        <w:t xml:space="preserve">destroy </w:t>
      </w:r>
      <w:r w:rsidR="00CF48EA">
        <w:t xml:space="preserve">the </w:t>
      </w:r>
      <w:r w:rsidR="003919A0">
        <w:t>supplier’s</w:t>
      </w:r>
      <w:r>
        <w:t xml:space="preserve"> faith. Stricter credit conditions or fewer deliveries would further deteriorate liquidity.</w:t>
      </w:r>
    </w:p>
    <w:p w14:paraId="681B7CD1" w14:textId="70EF1FF3" w:rsidR="00600D17" w:rsidRPr="00600D17" w:rsidRDefault="00600D17" w:rsidP="00600D17">
      <w:pPr>
        <w:rPr>
          <w:b/>
          <w:bCs/>
        </w:rPr>
      </w:pPr>
      <w:r w:rsidRPr="00600D17">
        <w:rPr>
          <w:b/>
          <w:bCs/>
        </w:rPr>
        <w:t>General Cash Operating Cycling.</w:t>
      </w:r>
    </w:p>
    <w:p w14:paraId="1561C43F" w14:textId="20A9A04B" w:rsidR="00600D17" w:rsidRDefault="00600D17" w:rsidP="00600D17">
      <w:r>
        <w:t>Increasing early period lengthening of the COC indicated more cash was bound. This probably indicates reduced production, not efficiency, although it was reduced later. In general, a low working capital performance remains a cause of serious liquidity issues.</w:t>
      </w:r>
    </w:p>
    <w:p w14:paraId="72B1F9E4" w14:textId="7C2C197E" w:rsidR="00600D17" w:rsidRDefault="00600D17" w:rsidP="00600D17">
      <w:pPr>
        <w:pStyle w:val="Heading2"/>
      </w:pPr>
      <w:bookmarkStart w:id="12" w:name="_Toc216707190"/>
      <w:r>
        <w:t>Policies to Enhance Liquidity using Working Capital Reforms.</w:t>
      </w:r>
      <w:bookmarkEnd w:id="12"/>
    </w:p>
    <w:p w14:paraId="32D6DF3E" w14:textId="6BFCBB6F" w:rsidR="00600D17" w:rsidRDefault="00600D17" w:rsidP="00600D17">
      <w:r>
        <w:t xml:space="preserve">General Electronics should also bring in specific changes </w:t>
      </w:r>
      <w:r w:rsidR="003919A0">
        <w:t>to</w:t>
      </w:r>
      <w:r>
        <w:t xml:space="preserve"> increase liquidity. These involve gains in the collection of </w:t>
      </w:r>
      <w:r w:rsidR="001731D4">
        <w:t>receivables</w:t>
      </w:r>
      <w:r>
        <w:t>, control over the inventory and payment to suppliers.</w:t>
      </w:r>
    </w:p>
    <w:p w14:paraId="263B35F9" w14:textId="6444B1F2" w:rsidR="00600D17" w:rsidRPr="00600D17" w:rsidRDefault="00600D17" w:rsidP="00600D17">
      <w:pPr>
        <w:rPr>
          <w:b/>
          <w:bCs/>
        </w:rPr>
      </w:pPr>
      <w:r w:rsidRPr="00600D17">
        <w:rPr>
          <w:b/>
          <w:bCs/>
        </w:rPr>
        <w:t>Enhance Collection of Receivables.</w:t>
      </w:r>
    </w:p>
    <w:p w14:paraId="3122F733" w14:textId="01F3A967" w:rsidR="00600D17" w:rsidRDefault="00600D17" w:rsidP="00600D17">
      <w:r>
        <w:t xml:space="preserve">This can be achieved by a company through </w:t>
      </w:r>
      <w:r w:rsidR="001731D4">
        <w:t xml:space="preserve">a </w:t>
      </w:r>
      <w:r>
        <w:t>reduction in:</w:t>
      </w:r>
    </w:p>
    <w:p w14:paraId="2B0A9A51" w14:textId="51A1A381" w:rsidR="00600D17" w:rsidRDefault="00600D17" w:rsidP="00C93674">
      <w:r>
        <w:t>Early payment discounts should be introduced</w:t>
      </w:r>
      <w:r w:rsidR="00C93674">
        <w:t xml:space="preserve">, </w:t>
      </w:r>
      <w:r w:rsidR="003919A0">
        <w:t>Straining</w:t>
      </w:r>
      <w:r>
        <w:t xml:space="preserve"> credit before issuing </w:t>
      </w:r>
      <w:r w:rsidR="001646AE">
        <w:t>credit</w:t>
      </w:r>
      <w:r w:rsidR="00C93674">
        <w:t xml:space="preserve">, </w:t>
      </w:r>
      <w:r>
        <w:t>Paying Maturity on accounts overdue faster</w:t>
      </w:r>
      <w:r w:rsidR="00C93674">
        <w:t xml:space="preserve">, </w:t>
      </w:r>
      <w:r>
        <w:t>Automated bills and reminder system.</w:t>
      </w:r>
    </w:p>
    <w:p w14:paraId="2BB2ACEA" w14:textId="5E37D674" w:rsidR="00600D17" w:rsidRDefault="00600D17" w:rsidP="00600D17">
      <w:r>
        <w:t>The improved collection practices will augment the cash receivables and alleviate the pressure on financing.</w:t>
      </w:r>
    </w:p>
    <w:p w14:paraId="21F00307" w14:textId="1F2B0B11" w:rsidR="00600D17" w:rsidRPr="00600D17" w:rsidRDefault="00600D17" w:rsidP="00600D17">
      <w:pPr>
        <w:rPr>
          <w:b/>
          <w:bCs/>
        </w:rPr>
      </w:pPr>
      <w:r w:rsidRPr="00600D17">
        <w:rPr>
          <w:b/>
          <w:bCs/>
        </w:rPr>
        <w:t>Improve Inventory Control</w:t>
      </w:r>
    </w:p>
    <w:p w14:paraId="1029E17E" w14:textId="53F88FD7" w:rsidR="00600D17" w:rsidRDefault="00600D17" w:rsidP="00600D17">
      <w:r>
        <w:t xml:space="preserve">The company should supply inventory with the aim of </w:t>
      </w:r>
      <w:r w:rsidR="003919A0">
        <w:t>stabilising</w:t>
      </w:r>
      <w:r>
        <w:t xml:space="preserve"> its inventory levels and preventing the </w:t>
      </w:r>
      <w:r w:rsidR="003919A0">
        <w:t>tying up</w:t>
      </w:r>
      <w:r>
        <w:t xml:space="preserve"> of excess cash by:</w:t>
      </w:r>
    </w:p>
    <w:p w14:paraId="275543C1" w14:textId="5703510C" w:rsidR="00600D17" w:rsidRDefault="00600D17" w:rsidP="00C93674">
      <w:r>
        <w:t>Employ better demand forecasts</w:t>
      </w:r>
      <w:r w:rsidR="00C93674">
        <w:t xml:space="preserve">, </w:t>
      </w:r>
      <w:r w:rsidR="001646AE">
        <w:t>introduce</w:t>
      </w:r>
      <w:r>
        <w:t xml:space="preserve"> lean inventory practices</w:t>
      </w:r>
      <w:r w:rsidR="00C93674">
        <w:t xml:space="preserve">, </w:t>
      </w:r>
      <w:r w:rsidR="001646AE">
        <w:t>and determine</w:t>
      </w:r>
      <w:r>
        <w:t xml:space="preserve"> and eliminate </w:t>
      </w:r>
      <w:r w:rsidR="001731D4">
        <w:t>fast-moving</w:t>
      </w:r>
      <w:r>
        <w:t>/outdated products</w:t>
      </w:r>
      <w:r w:rsidR="00B36649">
        <w:t xml:space="preserve"> </w:t>
      </w:r>
      <w:r w:rsidR="00B36649" w:rsidRPr="00B36649">
        <w:t xml:space="preserve">(D'Eusanio </w:t>
      </w:r>
      <w:r w:rsidR="00B36649" w:rsidRPr="00C93674">
        <w:rPr>
          <w:i/>
          <w:iCs/>
        </w:rPr>
        <w:t>et al.</w:t>
      </w:r>
      <w:r w:rsidR="00B36649" w:rsidRPr="00B36649">
        <w:t>, 2019)</w:t>
      </w:r>
      <w:r>
        <w:t>.</w:t>
      </w:r>
      <w:r w:rsidR="00C93674">
        <w:t xml:space="preserve"> </w:t>
      </w:r>
      <w:r>
        <w:t>Enhance coordination between the sales and production teams.</w:t>
      </w:r>
    </w:p>
    <w:p w14:paraId="793C0567" w14:textId="3ACEB3D7" w:rsidR="00600D17" w:rsidRDefault="00600D17" w:rsidP="00600D17">
      <w:r>
        <w:t>By means of more effective inventory management, holding costs are reduced, and stability in operations is enhanced.</w:t>
      </w:r>
    </w:p>
    <w:p w14:paraId="6653F60F" w14:textId="15BC8047" w:rsidR="00600D17" w:rsidRPr="001731D4" w:rsidRDefault="00600D17" w:rsidP="00600D17">
      <w:pPr>
        <w:rPr>
          <w:b/>
          <w:bCs/>
        </w:rPr>
      </w:pPr>
      <w:r w:rsidRPr="00600D17">
        <w:rPr>
          <w:b/>
          <w:bCs/>
        </w:rPr>
        <w:t>Significantly Improve Payables Planning.</w:t>
      </w:r>
    </w:p>
    <w:p w14:paraId="111E06A5" w14:textId="49D757A9" w:rsidR="00600D17" w:rsidRDefault="00600D17" w:rsidP="00600D17">
      <w:r>
        <w:t xml:space="preserve">This means that the company must not </w:t>
      </w:r>
      <w:r w:rsidR="003919A0">
        <w:t>overdepend</w:t>
      </w:r>
      <w:r>
        <w:t xml:space="preserve"> on the </w:t>
      </w:r>
      <w:r w:rsidR="001731D4">
        <w:t>delay</w:t>
      </w:r>
      <w:r>
        <w:t xml:space="preserve"> of supplier payments. A better approach includes:</w:t>
      </w:r>
    </w:p>
    <w:p w14:paraId="0C2FF343" w14:textId="50B104AD" w:rsidR="00600D17" w:rsidRDefault="00600D17" w:rsidP="00C93674">
      <w:r>
        <w:lastRenderedPageBreak/>
        <w:t>Signing of more viable and realistic credit conditions</w:t>
      </w:r>
      <w:r w:rsidR="00C93674">
        <w:t xml:space="preserve">, </w:t>
      </w:r>
      <w:r>
        <w:t>Communication of its restructuring plans to console the suppliers</w:t>
      </w:r>
      <w:r w:rsidR="00C93674">
        <w:t xml:space="preserve">, </w:t>
      </w:r>
      <w:r>
        <w:t>Paying critical suppliers first.</w:t>
      </w:r>
    </w:p>
    <w:p w14:paraId="1789979A" w14:textId="4F60E271" w:rsidR="00600D17" w:rsidRDefault="00600D17" w:rsidP="00600D17">
      <w:r>
        <w:t xml:space="preserve">This is to </w:t>
      </w:r>
      <w:r w:rsidR="001731D4">
        <w:t>favour</w:t>
      </w:r>
      <w:r>
        <w:t xml:space="preserve"> liquidity as well as excellent supplier relationships.</w:t>
      </w:r>
    </w:p>
    <w:p w14:paraId="7F179BAE" w14:textId="62F19955" w:rsidR="00600D17" w:rsidRPr="001731D4" w:rsidRDefault="00600D17" w:rsidP="00600D17">
      <w:pPr>
        <w:rPr>
          <w:b/>
          <w:bCs/>
        </w:rPr>
      </w:pPr>
      <w:r w:rsidRPr="001731D4">
        <w:rPr>
          <w:b/>
          <w:bCs/>
        </w:rPr>
        <w:t xml:space="preserve">Improve Cash Flow </w:t>
      </w:r>
      <w:r w:rsidR="001731D4">
        <w:rPr>
          <w:b/>
          <w:bCs/>
        </w:rPr>
        <w:t>Predictions</w:t>
      </w:r>
      <w:r w:rsidRPr="001731D4">
        <w:rPr>
          <w:b/>
          <w:bCs/>
        </w:rPr>
        <w:t>.</w:t>
      </w:r>
    </w:p>
    <w:p w14:paraId="1EFBE692" w14:textId="3190E89D" w:rsidR="00600D17" w:rsidRDefault="00600D17" w:rsidP="00600D17">
      <w:r>
        <w:t xml:space="preserve">Frequent planning of cash flows can detect when there will be limitations. This will enable the management to spend and </w:t>
      </w:r>
      <w:r w:rsidR="001731D4">
        <w:t>organise</w:t>
      </w:r>
      <w:r>
        <w:t xml:space="preserve"> funds beforehand and not respond to crises.</w:t>
      </w:r>
    </w:p>
    <w:p w14:paraId="01577B72" w14:textId="6A609B9D" w:rsidR="00600D17" w:rsidRPr="001731D4" w:rsidRDefault="00600D17" w:rsidP="00600D17">
      <w:pPr>
        <w:rPr>
          <w:b/>
          <w:bCs/>
        </w:rPr>
      </w:pPr>
      <w:r w:rsidRPr="001731D4">
        <w:rPr>
          <w:b/>
          <w:bCs/>
        </w:rPr>
        <w:t>Implement Cost Controls</w:t>
      </w:r>
    </w:p>
    <w:p w14:paraId="489C9E19" w14:textId="4B6CEE1D" w:rsidR="00600D17" w:rsidRDefault="00600D17" w:rsidP="00600D17">
      <w:r>
        <w:t xml:space="preserve">Eliminating the unnecessary costs enhances </w:t>
      </w:r>
      <w:r w:rsidR="003919A0">
        <w:t>working</w:t>
      </w:r>
      <w:r>
        <w:t xml:space="preserve"> capital </w:t>
      </w:r>
      <w:r w:rsidR="001731D4">
        <w:t>by</w:t>
      </w:r>
      <w:r>
        <w:t xml:space="preserve"> reducing cash payments. These can be the review of supplier contracts, reduction of unnecessary overheads and operational efficiency, etc.</w:t>
      </w:r>
    </w:p>
    <w:p w14:paraId="6B0DF4D2" w14:textId="5BF78706" w:rsidR="00600D17" w:rsidRDefault="001731D4" w:rsidP="001731D4">
      <w:pPr>
        <w:pStyle w:val="Heading2"/>
      </w:pPr>
      <w:bookmarkStart w:id="13" w:name="_Toc216707191"/>
      <w:r w:rsidRPr="001731D4">
        <w:t>Short-Term vs Long-Term Financing Options</w:t>
      </w:r>
      <w:bookmarkEnd w:id="13"/>
    </w:p>
    <w:p w14:paraId="79A8F11B" w14:textId="6CDEF174" w:rsidR="00600D17" w:rsidRDefault="00600D17" w:rsidP="00600D17">
      <w:r>
        <w:t>Reforms on working capital may have to be financed. Short-term and long-term ways have their advantages in terms of orientation.</w:t>
      </w:r>
    </w:p>
    <w:p w14:paraId="05540887" w14:textId="3FE1DF89" w:rsidR="00600D17" w:rsidRPr="001731D4" w:rsidRDefault="00600D17" w:rsidP="00600D17">
      <w:pPr>
        <w:rPr>
          <w:b/>
          <w:bCs/>
        </w:rPr>
      </w:pPr>
      <w:r w:rsidRPr="001731D4">
        <w:rPr>
          <w:b/>
          <w:bCs/>
        </w:rPr>
        <w:t>Short-term Financing Speakers.</w:t>
      </w:r>
    </w:p>
    <w:p w14:paraId="0D1EFD88" w14:textId="57494FED" w:rsidR="00600D17" w:rsidRDefault="00600D17" w:rsidP="00600D17">
      <w:r>
        <w:t>These are overdrafts, short-term bank loans, trade credit and financing invoices.</w:t>
      </w:r>
    </w:p>
    <w:p w14:paraId="506DF717" w14:textId="328C2A0A" w:rsidR="00600D17" w:rsidRPr="001731D4" w:rsidRDefault="00600D17" w:rsidP="00600D17">
      <w:pPr>
        <w:rPr>
          <w:i/>
          <w:iCs/>
        </w:rPr>
      </w:pPr>
      <w:r w:rsidRPr="001731D4">
        <w:rPr>
          <w:i/>
          <w:iCs/>
        </w:rPr>
        <w:t>Pros:</w:t>
      </w:r>
    </w:p>
    <w:p w14:paraId="4D8913B0" w14:textId="00934E23" w:rsidR="00600D17" w:rsidRDefault="00600D17" w:rsidP="00C93674">
      <w:r>
        <w:t>Quick access to cash</w:t>
      </w:r>
      <w:r w:rsidR="00C93674">
        <w:t xml:space="preserve"> </w:t>
      </w:r>
      <w:r w:rsidR="001646AE">
        <w:t>is good</w:t>
      </w:r>
      <w:r>
        <w:t xml:space="preserve"> when one is short of cash urgently</w:t>
      </w:r>
      <w:r w:rsidR="00C93674">
        <w:t xml:space="preserve">, </w:t>
      </w:r>
      <w:r w:rsidR="001646AE">
        <w:t>filling</w:t>
      </w:r>
      <w:r>
        <w:t xml:space="preserve"> in </w:t>
      </w:r>
      <w:r w:rsidR="001731D4">
        <w:t>the time</w:t>
      </w:r>
      <w:r>
        <w:t xml:space="preserve"> differences between payment and receipt.</w:t>
      </w:r>
    </w:p>
    <w:p w14:paraId="0C2B1C99" w14:textId="03502305" w:rsidR="00600D17" w:rsidRPr="001731D4" w:rsidRDefault="00600D17" w:rsidP="00600D17">
      <w:pPr>
        <w:rPr>
          <w:i/>
          <w:iCs/>
        </w:rPr>
      </w:pPr>
      <w:r w:rsidRPr="001731D4">
        <w:rPr>
          <w:i/>
          <w:iCs/>
        </w:rPr>
        <w:t>Cons:</w:t>
      </w:r>
    </w:p>
    <w:p w14:paraId="3183178D" w14:textId="5BBD674D" w:rsidR="00600D17" w:rsidRDefault="00600D17" w:rsidP="00C93674">
      <w:r>
        <w:t>Higher interest costs</w:t>
      </w:r>
      <w:r w:rsidR="00C93674">
        <w:t xml:space="preserve"> </w:t>
      </w:r>
      <w:r w:rsidR="001646AE">
        <w:t>must</w:t>
      </w:r>
      <w:r>
        <w:t xml:space="preserve"> be repaid quickly</w:t>
      </w:r>
      <w:r w:rsidR="00C93674">
        <w:t xml:space="preserve">, </w:t>
      </w:r>
      <w:r w:rsidR="001646AE">
        <w:t>and more</w:t>
      </w:r>
      <w:r>
        <w:t xml:space="preserve"> financial strain when used </w:t>
      </w:r>
      <w:r w:rsidR="001731D4">
        <w:t>on</w:t>
      </w:r>
      <w:r>
        <w:t xml:space="preserve"> multiple occasions</w:t>
      </w:r>
      <w:r w:rsidR="00460A76">
        <w:t xml:space="preserve"> </w:t>
      </w:r>
      <w:r w:rsidR="00460A76" w:rsidRPr="00460A76">
        <w:t>(David, 2022)</w:t>
      </w:r>
      <w:r>
        <w:t>.</w:t>
      </w:r>
    </w:p>
    <w:p w14:paraId="50F947D9" w14:textId="3CEBA962" w:rsidR="00600D17" w:rsidRDefault="003919A0" w:rsidP="00600D17">
      <w:r>
        <w:t>Short</w:t>
      </w:r>
      <w:r w:rsidR="00600D17">
        <w:t xml:space="preserve">-term finance is </w:t>
      </w:r>
      <w:r w:rsidR="001731D4">
        <w:t>recommended</w:t>
      </w:r>
      <w:r w:rsidR="00600D17">
        <w:t xml:space="preserve"> </w:t>
      </w:r>
      <w:r w:rsidR="001731D4">
        <w:t>for</w:t>
      </w:r>
      <w:r w:rsidR="00600D17">
        <w:t xml:space="preserve"> temporary liquidity problems and not </w:t>
      </w:r>
      <w:r w:rsidR="00B57142">
        <w:t>for</w:t>
      </w:r>
      <w:r w:rsidR="00600D17">
        <w:t xml:space="preserve"> long-term requirements.</w:t>
      </w:r>
    </w:p>
    <w:p w14:paraId="4E1DED1F" w14:textId="0D5FA899" w:rsidR="00600D17" w:rsidRPr="001731D4" w:rsidRDefault="00600D17" w:rsidP="00600D17">
      <w:pPr>
        <w:rPr>
          <w:b/>
          <w:bCs/>
        </w:rPr>
      </w:pPr>
      <w:r w:rsidRPr="001731D4">
        <w:rPr>
          <w:b/>
          <w:bCs/>
        </w:rPr>
        <w:t>Long-Term Financing Options</w:t>
      </w:r>
    </w:p>
    <w:p w14:paraId="47D5451A" w14:textId="33D67039" w:rsidR="00600D17" w:rsidRDefault="00600D17" w:rsidP="00600D17">
      <w:r>
        <w:t xml:space="preserve">These are </w:t>
      </w:r>
      <w:r w:rsidR="001731D4">
        <w:t>long-term</w:t>
      </w:r>
      <w:r>
        <w:t xml:space="preserve"> loans, equity injection, bonds and asset sales.</w:t>
      </w:r>
    </w:p>
    <w:p w14:paraId="435B41A3" w14:textId="3A8D5927" w:rsidR="00600D17" w:rsidRPr="001731D4" w:rsidRDefault="00600D17" w:rsidP="00600D17">
      <w:pPr>
        <w:rPr>
          <w:i/>
          <w:iCs/>
        </w:rPr>
      </w:pPr>
      <w:r w:rsidRPr="001731D4">
        <w:rPr>
          <w:i/>
          <w:iCs/>
        </w:rPr>
        <w:t>Pros:</w:t>
      </w:r>
    </w:p>
    <w:p w14:paraId="3706408D" w14:textId="26755ACF" w:rsidR="00600D17" w:rsidRDefault="00600D17" w:rsidP="00C93674">
      <w:r>
        <w:lastRenderedPageBreak/>
        <w:t>Slack in the short-run repayment</w:t>
      </w:r>
      <w:r w:rsidR="00C93674">
        <w:t xml:space="preserve">, </w:t>
      </w:r>
      <w:r>
        <w:t>Profession that endorses structural change</w:t>
      </w:r>
      <w:r w:rsidR="00C93674">
        <w:t xml:space="preserve">, </w:t>
      </w:r>
      <w:proofErr w:type="gramStart"/>
      <w:r>
        <w:t>Assists</w:t>
      </w:r>
      <w:proofErr w:type="gramEnd"/>
      <w:r>
        <w:t xml:space="preserve"> in stabilising </w:t>
      </w:r>
      <w:r w:rsidR="001731D4">
        <w:t xml:space="preserve">the </w:t>
      </w:r>
      <w:r>
        <w:t>capital base.</w:t>
      </w:r>
    </w:p>
    <w:p w14:paraId="13A09D2D" w14:textId="2396A08D" w:rsidR="00600D17" w:rsidRPr="001731D4" w:rsidRDefault="00600D17" w:rsidP="00600D17">
      <w:pPr>
        <w:rPr>
          <w:i/>
          <w:iCs/>
        </w:rPr>
      </w:pPr>
      <w:r w:rsidRPr="001731D4">
        <w:rPr>
          <w:i/>
          <w:iCs/>
        </w:rPr>
        <w:t>Cons:</w:t>
      </w:r>
    </w:p>
    <w:p w14:paraId="53D10212" w14:textId="1539F09A" w:rsidR="00600D17" w:rsidRDefault="00600D17" w:rsidP="00C93674">
      <w:r>
        <w:t xml:space="preserve">Slower approval </w:t>
      </w:r>
      <w:proofErr w:type="gramStart"/>
      <w:r>
        <w:t>process</w:t>
      </w:r>
      <w:r w:rsidR="00C93674">
        <w:t>,</w:t>
      </w:r>
      <w:proofErr w:type="gramEnd"/>
      <w:r w:rsidR="00C93674">
        <w:t xml:space="preserve"> </w:t>
      </w:r>
      <w:r w:rsidR="001646AE">
        <w:t>may</w:t>
      </w:r>
      <w:r>
        <w:t xml:space="preserve"> expand financial obligations in the future</w:t>
      </w:r>
      <w:r w:rsidR="00C93674">
        <w:t xml:space="preserve">, </w:t>
      </w:r>
      <w:r w:rsidR="001646AE">
        <w:t>and the</w:t>
      </w:r>
      <w:r>
        <w:t xml:space="preserve"> ownership is diluted by the same equity issues.</w:t>
      </w:r>
    </w:p>
    <w:p w14:paraId="5D3A0516" w14:textId="5A6ECF91" w:rsidR="00600D17" w:rsidRDefault="00600D17" w:rsidP="00600D17">
      <w:r>
        <w:t xml:space="preserve">The long-term </w:t>
      </w:r>
      <w:r w:rsidR="001731D4">
        <w:t>financing</w:t>
      </w:r>
      <w:r>
        <w:t xml:space="preserve"> is more suitable </w:t>
      </w:r>
      <w:r w:rsidR="001731D4">
        <w:t>for</w:t>
      </w:r>
      <w:r>
        <w:t xml:space="preserve"> financing the restructuring of the company and decreasing its reliance on short-term lenders.</w:t>
      </w:r>
    </w:p>
    <w:p w14:paraId="1A1D2BAA" w14:textId="1B06FDF9" w:rsidR="00600D17" w:rsidRDefault="00600D17" w:rsidP="001731D4">
      <w:pPr>
        <w:pStyle w:val="Heading2"/>
      </w:pPr>
      <w:bookmarkStart w:id="14" w:name="_Toc216707192"/>
      <w:r>
        <w:t>Summary of Recommendations</w:t>
      </w:r>
      <w:bookmarkEnd w:id="14"/>
    </w:p>
    <w:p w14:paraId="4275BDE4" w14:textId="7649F014" w:rsidR="00600D17" w:rsidRDefault="00600D17" w:rsidP="00600D17">
      <w:r>
        <w:t>General Electronics should improve the performance of working capital by:</w:t>
      </w:r>
    </w:p>
    <w:p w14:paraId="1CB4EB1D" w14:textId="046582CD" w:rsidR="00600D17" w:rsidRDefault="001731D4" w:rsidP="00C93674">
      <w:r>
        <w:t>Minimise</w:t>
      </w:r>
      <w:r w:rsidR="00600D17">
        <w:t xml:space="preserve"> receivable days by improved credit management</w:t>
      </w:r>
      <w:r w:rsidR="00C93674">
        <w:t xml:space="preserve">, </w:t>
      </w:r>
      <w:r w:rsidR="001646AE">
        <w:t>and optimise</w:t>
      </w:r>
      <w:r w:rsidR="00600D17">
        <w:t xml:space="preserve"> stocks through superior forecasting</w:t>
      </w:r>
      <w:r w:rsidR="00C93674">
        <w:t xml:space="preserve">. </w:t>
      </w:r>
      <w:r w:rsidR="00600D17">
        <w:t>Purchase payments and ensure supplier relations</w:t>
      </w:r>
      <w:r w:rsidR="006A44BC">
        <w:t xml:space="preserve"> </w:t>
      </w:r>
      <w:r w:rsidR="006A44BC" w:rsidRPr="006A44BC">
        <w:t xml:space="preserve">(Kovach </w:t>
      </w:r>
      <w:r w:rsidR="006A44BC" w:rsidRPr="00C93674">
        <w:rPr>
          <w:i/>
          <w:iCs/>
        </w:rPr>
        <w:t>et al.</w:t>
      </w:r>
      <w:r w:rsidR="006A44BC" w:rsidRPr="006A44BC">
        <w:t>, 2023)</w:t>
      </w:r>
      <w:r w:rsidR="00600D17">
        <w:t>.</w:t>
      </w:r>
      <w:r w:rsidR="001646AE">
        <w:t xml:space="preserve"> </w:t>
      </w:r>
      <w:r w:rsidR="00600D17">
        <w:t xml:space="preserve">Short-term finance should be used when </w:t>
      </w:r>
      <w:r>
        <w:t>there</w:t>
      </w:r>
      <w:r w:rsidR="00600D17">
        <w:t xml:space="preserve"> is </w:t>
      </w:r>
      <w:r>
        <w:t>a</w:t>
      </w:r>
      <w:r w:rsidR="00600D17">
        <w:t xml:space="preserve"> short-term need.</w:t>
      </w:r>
      <w:r w:rsidR="00C93674">
        <w:t xml:space="preserve"> </w:t>
      </w:r>
      <w:r w:rsidR="00600D17">
        <w:t xml:space="preserve">Restructuring should be supported </w:t>
      </w:r>
      <w:r w:rsidR="003919A0">
        <w:t>using</w:t>
      </w:r>
      <w:r w:rsidR="00600D17">
        <w:t xml:space="preserve"> long-term finance.</w:t>
      </w:r>
      <w:r w:rsidR="00C93674">
        <w:t xml:space="preserve"> </w:t>
      </w:r>
      <w:r w:rsidR="00600D17">
        <w:t>Enhance the cash flow forecasting and cost management.</w:t>
      </w:r>
    </w:p>
    <w:p w14:paraId="6094A0FA" w14:textId="63AC6F34" w:rsidR="001B56DC" w:rsidRPr="001B56DC" w:rsidRDefault="00600D17" w:rsidP="00600D17">
      <w:pPr>
        <w:rPr>
          <w:rFonts w:eastAsiaTheme="majorEastAsia"/>
          <w:color w:val="0F4761" w:themeColor="accent1" w:themeShade="BF"/>
          <w:sz w:val="32"/>
          <w:szCs w:val="32"/>
        </w:rPr>
      </w:pPr>
      <w:r>
        <w:t>These measures will enhance liquidity, assist operational survival and lead to the overall financial revival of the firm.</w:t>
      </w:r>
      <w:r w:rsidR="001B56DC">
        <w:br w:type="page"/>
      </w:r>
    </w:p>
    <w:p w14:paraId="6E1F11BF" w14:textId="01BA3308" w:rsidR="00137A86" w:rsidRDefault="00A64F72" w:rsidP="00CF2B05">
      <w:pPr>
        <w:pStyle w:val="Heading1"/>
      </w:pPr>
      <w:bookmarkStart w:id="15" w:name="_Toc216707193"/>
      <w:r w:rsidRPr="00A64F72">
        <w:lastRenderedPageBreak/>
        <w:t>Strategic Financial Restructuring Plan</w:t>
      </w:r>
      <w:bookmarkEnd w:id="15"/>
    </w:p>
    <w:p w14:paraId="1B1D30EC" w14:textId="4155C1DB" w:rsidR="00C7063E" w:rsidRDefault="00C7063E" w:rsidP="00C7063E">
      <w:r>
        <w:t xml:space="preserve">General Electronics needs a re-planning strategy which would give back its profits, steady its capital status and re-establish the trust of stakeholders. The firm is under intense financial pressure because of its low profitability, poor liquidity, high leverage and the increase in applications of default risk. </w:t>
      </w:r>
      <w:r w:rsidR="00040564">
        <w:t>A strategic</w:t>
      </w:r>
      <w:r>
        <w:t xml:space="preserve"> restructuring plan should no longer just be strategic </w:t>
      </w:r>
      <w:r w:rsidR="00040564">
        <w:t>in</w:t>
      </w:r>
      <w:r>
        <w:t xml:space="preserve"> meeting </w:t>
      </w:r>
      <w:r w:rsidR="00040564">
        <w:t>short-term</w:t>
      </w:r>
      <w:r>
        <w:t xml:space="preserve"> financial requirements but must assist in </w:t>
      </w:r>
      <w:r w:rsidR="00040564">
        <w:t>long-term</w:t>
      </w:r>
      <w:r>
        <w:t xml:space="preserve"> recovery</w:t>
      </w:r>
      <w:r w:rsidR="006A44BC">
        <w:t xml:space="preserve"> </w:t>
      </w:r>
      <w:r w:rsidR="006A44BC" w:rsidRPr="006A44BC">
        <w:t xml:space="preserve">(Fahdil </w:t>
      </w:r>
      <w:r w:rsidR="006A44BC" w:rsidRPr="006A44BC">
        <w:rPr>
          <w:i/>
          <w:iCs/>
        </w:rPr>
        <w:t>et al.</w:t>
      </w:r>
      <w:r w:rsidR="006A44BC" w:rsidRPr="006A44BC">
        <w:t>, 2024)</w:t>
      </w:r>
      <w:r>
        <w:t xml:space="preserve">. In this part, significant restructuring suggestions are proposed, </w:t>
      </w:r>
      <w:r w:rsidR="00040564">
        <w:t xml:space="preserve">and </w:t>
      </w:r>
      <w:r>
        <w:t>the effect on shareholder value, debt structure and operational flexibility, as well as applicable international and ethical concerns</w:t>
      </w:r>
      <w:r w:rsidR="00040564">
        <w:t>,</w:t>
      </w:r>
      <w:r>
        <w:t xml:space="preserve"> are evaluated.</w:t>
      </w:r>
    </w:p>
    <w:p w14:paraId="45183E88" w14:textId="2E96CE98" w:rsidR="00C7063E" w:rsidRDefault="00C7063E" w:rsidP="00F66364">
      <w:pPr>
        <w:pStyle w:val="Heading2"/>
      </w:pPr>
      <w:bookmarkStart w:id="16" w:name="_Toc216707194"/>
      <w:r>
        <w:t>Introduction to Restructuring issues.</w:t>
      </w:r>
      <w:bookmarkEnd w:id="16"/>
    </w:p>
    <w:p w14:paraId="4A18BDD2" w14:textId="5A03E12D" w:rsidR="00C7063E" w:rsidRDefault="00C7063E" w:rsidP="00C7063E">
      <w:r>
        <w:t xml:space="preserve">The financial problems of General Electronics are </w:t>
      </w:r>
      <w:r w:rsidR="00040564">
        <w:t>caused</w:t>
      </w:r>
      <w:r>
        <w:t xml:space="preserve"> by a number of factors:</w:t>
      </w:r>
    </w:p>
    <w:p w14:paraId="6CD7898B" w14:textId="312DCAB2" w:rsidR="00C7063E" w:rsidRDefault="00C7063E" w:rsidP="00C93674">
      <w:r>
        <w:t xml:space="preserve">High levels of </w:t>
      </w:r>
      <w:r w:rsidR="00040564">
        <w:t>debt</w:t>
      </w:r>
      <w:r>
        <w:t xml:space="preserve"> and negative interest cover</w:t>
      </w:r>
      <w:r w:rsidR="00C93674">
        <w:t xml:space="preserve">, </w:t>
      </w:r>
      <w:r>
        <w:t>Constant operating losses</w:t>
      </w:r>
      <w:r w:rsidR="00C93674">
        <w:t xml:space="preserve">, </w:t>
      </w:r>
      <w:r w:rsidR="00F66364" w:rsidRPr="00F66364">
        <w:t>Shareholder equity is declining</w:t>
      </w:r>
      <w:r w:rsidR="00C93674">
        <w:t xml:space="preserve">, </w:t>
      </w:r>
      <w:r>
        <w:t>Poor liquidity and instability in cash flow</w:t>
      </w:r>
      <w:r w:rsidR="00C93674">
        <w:t xml:space="preserve">, </w:t>
      </w:r>
      <w:r>
        <w:t>Poor utilisation of assets.</w:t>
      </w:r>
    </w:p>
    <w:p w14:paraId="46F60909" w14:textId="43246186" w:rsidR="00C7063E" w:rsidRDefault="00C7063E" w:rsidP="00C7063E">
      <w:r>
        <w:t xml:space="preserve">These issues need absolute financial reorganisation </w:t>
      </w:r>
      <w:r w:rsidR="00040564">
        <w:t>to</w:t>
      </w:r>
      <w:r>
        <w:t xml:space="preserve"> avoid further worsening. The restructuring strategy </w:t>
      </w:r>
      <w:r w:rsidR="00040564">
        <w:t>centres</w:t>
      </w:r>
      <w:r>
        <w:t xml:space="preserve"> on 3 aspects</w:t>
      </w:r>
      <w:r w:rsidR="00040564">
        <w:t>,</w:t>
      </w:r>
      <w:r>
        <w:t xml:space="preserve"> namely the asset restructuring, capital structure adjustments and operational adjustments.</w:t>
      </w:r>
    </w:p>
    <w:p w14:paraId="67C57230" w14:textId="10C2F155" w:rsidR="00C7063E" w:rsidRDefault="00C7063E" w:rsidP="00F66364">
      <w:pPr>
        <w:pStyle w:val="Heading2"/>
      </w:pPr>
      <w:bookmarkStart w:id="17" w:name="_Toc216707195"/>
      <w:r>
        <w:t>Major Financial Restructuring Alternatives.</w:t>
      </w:r>
      <w:bookmarkEnd w:id="17"/>
    </w:p>
    <w:p w14:paraId="1AE7D33F" w14:textId="77777777" w:rsidR="00F66364" w:rsidRPr="00F66364" w:rsidRDefault="00F66364" w:rsidP="00C7063E">
      <w:pPr>
        <w:rPr>
          <w:b/>
          <w:bCs/>
        </w:rPr>
      </w:pPr>
      <w:r w:rsidRPr="00F66364">
        <w:rPr>
          <w:b/>
          <w:bCs/>
        </w:rPr>
        <w:t>Divestiture of Non-Core Assets</w:t>
      </w:r>
    </w:p>
    <w:p w14:paraId="71BC2B67" w14:textId="0B5CE131" w:rsidR="00C7063E" w:rsidRDefault="00C7063E" w:rsidP="00C7063E">
      <w:r>
        <w:t xml:space="preserve">Divestment is selling subsidiaries, non-productive </w:t>
      </w:r>
      <w:r w:rsidR="00040564">
        <w:t>divisions</w:t>
      </w:r>
      <w:r>
        <w:t xml:space="preserve"> or unnecessarily needed assets. The alternative assists the company to access cash in the shortest time possible, </w:t>
      </w:r>
      <w:r w:rsidR="00040564">
        <w:t>minimise</w:t>
      </w:r>
      <w:r>
        <w:t xml:space="preserve"> debts and concentrate resources in other areas with higher returns</w:t>
      </w:r>
      <w:r w:rsidR="00073633">
        <w:t xml:space="preserve"> </w:t>
      </w:r>
      <w:r w:rsidR="00073633" w:rsidRPr="00073633">
        <w:t xml:space="preserve">(Palacín-Sánchez </w:t>
      </w:r>
      <w:r w:rsidR="00073633" w:rsidRPr="00073633">
        <w:rPr>
          <w:i/>
          <w:iCs/>
        </w:rPr>
        <w:t>et al.</w:t>
      </w:r>
      <w:r w:rsidR="00073633" w:rsidRPr="00073633">
        <w:t>, 2023)</w:t>
      </w:r>
      <w:r>
        <w:t>.</w:t>
      </w:r>
    </w:p>
    <w:p w14:paraId="7AD736D9" w14:textId="72689C80" w:rsidR="00C7063E" w:rsidRPr="00400D97" w:rsidRDefault="00C7063E" w:rsidP="00C7063E">
      <w:pPr>
        <w:rPr>
          <w:i/>
          <w:iCs/>
        </w:rPr>
      </w:pPr>
      <w:r w:rsidRPr="00400D97">
        <w:rPr>
          <w:i/>
          <w:iCs/>
        </w:rPr>
        <w:t>Advantages</w:t>
      </w:r>
    </w:p>
    <w:p w14:paraId="1BCA07B0" w14:textId="355E5F07" w:rsidR="00C7063E" w:rsidRDefault="00C7063E" w:rsidP="00C93674">
      <w:r>
        <w:t>Enhances liquidity on a short-term basis.</w:t>
      </w:r>
      <w:r w:rsidR="00C93674">
        <w:t xml:space="preserve"> </w:t>
      </w:r>
      <w:r>
        <w:t>Reduces operating cost</w:t>
      </w:r>
      <w:r w:rsidR="001646AE">
        <w:t>.</w:t>
      </w:r>
      <w:r w:rsidR="00C93674">
        <w:t xml:space="preserve"> </w:t>
      </w:r>
      <w:r>
        <w:t>Leaves the management with an opportunity to concentrate on core operations.</w:t>
      </w:r>
      <w:r w:rsidR="00C93674">
        <w:t xml:space="preserve"> </w:t>
      </w:r>
      <w:r>
        <w:t xml:space="preserve">Reduce leverage in case proceeds are </w:t>
      </w:r>
      <w:r w:rsidR="00B57142">
        <w:t>available</w:t>
      </w:r>
      <w:r>
        <w:t xml:space="preserve"> to pay off debt.</w:t>
      </w:r>
    </w:p>
    <w:p w14:paraId="775B3522" w14:textId="5AD08921" w:rsidR="00C7063E" w:rsidRPr="00400D97" w:rsidRDefault="00C7063E" w:rsidP="00C7063E">
      <w:pPr>
        <w:rPr>
          <w:i/>
          <w:iCs/>
        </w:rPr>
      </w:pPr>
      <w:r w:rsidRPr="00400D97">
        <w:rPr>
          <w:i/>
          <w:iCs/>
        </w:rPr>
        <w:t>Disadvantages</w:t>
      </w:r>
    </w:p>
    <w:p w14:paraId="0897431E" w14:textId="3345169E" w:rsidR="00C7063E" w:rsidRDefault="00C7063E" w:rsidP="00C93674">
      <w:r>
        <w:lastRenderedPageBreak/>
        <w:t xml:space="preserve">Decreases the total </w:t>
      </w:r>
      <w:r w:rsidR="00040564">
        <w:t>asset</w:t>
      </w:r>
      <w:r>
        <w:t xml:space="preserve"> base of the company.</w:t>
      </w:r>
      <w:r w:rsidR="00C93674">
        <w:t xml:space="preserve"> </w:t>
      </w:r>
      <w:r>
        <w:t>May lead to loss of revenue streams in future.</w:t>
      </w:r>
      <w:r w:rsidR="00C93674">
        <w:t xml:space="preserve"> </w:t>
      </w:r>
      <w:r>
        <w:t xml:space="preserve">Temporary profits are not an assurance of future </w:t>
      </w:r>
      <w:r w:rsidR="001646AE">
        <w:t>increases</w:t>
      </w:r>
      <w:r>
        <w:t xml:space="preserve"> in profits.</w:t>
      </w:r>
    </w:p>
    <w:p w14:paraId="687F33D4" w14:textId="06DF4D62" w:rsidR="00C7063E" w:rsidRPr="00400D97" w:rsidRDefault="00C7063E" w:rsidP="00C7063E">
      <w:pPr>
        <w:rPr>
          <w:b/>
          <w:bCs/>
        </w:rPr>
      </w:pPr>
      <w:r w:rsidRPr="00400D97">
        <w:rPr>
          <w:b/>
          <w:bCs/>
        </w:rPr>
        <w:t>Merger or Strategic Partnership.</w:t>
      </w:r>
    </w:p>
    <w:p w14:paraId="1E4702B6" w14:textId="3FA858A2" w:rsidR="00C7063E" w:rsidRDefault="00C7063E" w:rsidP="00C7063E">
      <w:r>
        <w:t>General Electronics can be made stronger through the merger or partnering with another firm in which resources, technology and market access are pooled. This alternative can offer economies of scale and synergies of operation.</w:t>
      </w:r>
    </w:p>
    <w:p w14:paraId="19049272" w14:textId="385D02E3" w:rsidR="00C7063E" w:rsidRPr="00400D97" w:rsidRDefault="00C7063E" w:rsidP="00C7063E">
      <w:pPr>
        <w:rPr>
          <w:i/>
          <w:iCs/>
        </w:rPr>
      </w:pPr>
      <w:r w:rsidRPr="00400D97">
        <w:rPr>
          <w:i/>
          <w:iCs/>
        </w:rPr>
        <w:t>Advantages</w:t>
      </w:r>
    </w:p>
    <w:p w14:paraId="03AE5757" w14:textId="57ABD5F1" w:rsidR="00C7063E" w:rsidRDefault="00C7063E" w:rsidP="00C93674">
      <w:r>
        <w:t>Improves the competition position.</w:t>
      </w:r>
      <w:r w:rsidR="00C93674">
        <w:t xml:space="preserve"> </w:t>
      </w:r>
      <w:r w:rsidR="00040564">
        <w:t>Increasing</w:t>
      </w:r>
      <w:r>
        <w:t xml:space="preserve"> market share</w:t>
      </w:r>
      <w:r w:rsidR="00C93674">
        <w:t xml:space="preserve">. </w:t>
      </w:r>
      <w:r>
        <w:t xml:space="preserve">May cut </w:t>
      </w:r>
      <w:r w:rsidR="00040564">
        <w:t>down on</w:t>
      </w:r>
      <w:r>
        <w:t xml:space="preserve"> manufacturing and administrative expenses.</w:t>
      </w:r>
      <w:r w:rsidR="00C93674">
        <w:t xml:space="preserve"> </w:t>
      </w:r>
      <w:r w:rsidR="00040564">
        <w:t>Can</w:t>
      </w:r>
      <w:r>
        <w:t xml:space="preserve"> enhance investor confidence.</w:t>
      </w:r>
    </w:p>
    <w:p w14:paraId="4A7D9951" w14:textId="11415148" w:rsidR="00C7063E" w:rsidRPr="00400D97" w:rsidRDefault="00C7063E" w:rsidP="00C7063E">
      <w:pPr>
        <w:rPr>
          <w:i/>
          <w:iCs/>
        </w:rPr>
      </w:pPr>
      <w:r w:rsidRPr="00400D97">
        <w:rPr>
          <w:i/>
          <w:iCs/>
        </w:rPr>
        <w:t>Disadvantages</w:t>
      </w:r>
    </w:p>
    <w:p w14:paraId="6D5BB721" w14:textId="5C05BEBE" w:rsidR="00C7063E" w:rsidRDefault="00C7063E" w:rsidP="00C93674">
      <w:r>
        <w:t>Fraught with serious negotiation and integration.</w:t>
      </w:r>
      <w:r w:rsidR="00C93674">
        <w:t xml:space="preserve"> </w:t>
      </w:r>
      <w:r>
        <w:t>Different cultural and operational orientations can put conflict into place.</w:t>
      </w:r>
      <w:r w:rsidR="00C93674">
        <w:t xml:space="preserve"> </w:t>
      </w:r>
      <w:r>
        <w:t>There is the possibility of dilution of the current shareholders</w:t>
      </w:r>
      <w:r w:rsidR="00390B18">
        <w:t xml:space="preserve"> </w:t>
      </w:r>
      <w:r w:rsidR="00390B18" w:rsidRPr="00390B18">
        <w:t>(Natassya and Lie, 2025)</w:t>
      </w:r>
      <w:r>
        <w:t>.</w:t>
      </w:r>
    </w:p>
    <w:p w14:paraId="33EE01CB" w14:textId="2140DF41" w:rsidR="00C7063E" w:rsidRDefault="00C7063E" w:rsidP="00C7063E">
      <w:r>
        <w:t xml:space="preserve">An acquisition is appropriate in case the company </w:t>
      </w:r>
      <w:r w:rsidR="00040564">
        <w:t>is to</w:t>
      </w:r>
      <w:r>
        <w:t xml:space="preserve"> be long-term stable and strategically renewed.</w:t>
      </w:r>
    </w:p>
    <w:p w14:paraId="1D59D858" w14:textId="1DCD07DC" w:rsidR="00C7063E" w:rsidRPr="00400D97" w:rsidRDefault="00C7063E" w:rsidP="00C7063E">
      <w:pPr>
        <w:rPr>
          <w:b/>
          <w:bCs/>
        </w:rPr>
      </w:pPr>
      <w:r w:rsidRPr="00400D97">
        <w:rPr>
          <w:b/>
          <w:bCs/>
        </w:rPr>
        <w:t>Equity Injection</w:t>
      </w:r>
    </w:p>
    <w:p w14:paraId="571109DB" w14:textId="54B8D083" w:rsidR="00C7063E" w:rsidRDefault="00C7063E" w:rsidP="00C7063E">
      <w:r>
        <w:t xml:space="preserve">Equity financing will include providing new issues of shares to the current shareholders, to institutional investors or strategic partners. This </w:t>
      </w:r>
      <w:r w:rsidR="00040564">
        <w:t>can</w:t>
      </w:r>
      <w:r>
        <w:t xml:space="preserve"> consolidate the capital base and minimise the use of borrowing.</w:t>
      </w:r>
    </w:p>
    <w:p w14:paraId="6A8A3A2C" w14:textId="43F7C227" w:rsidR="00C7063E" w:rsidRPr="004A4D07" w:rsidRDefault="00C7063E" w:rsidP="00C7063E">
      <w:pPr>
        <w:rPr>
          <w:i/>
          <w:iCs/>
        </w:rPr>
      </w:pPr>
      <w:r w:rsidRPr="004A4D07">
        <w:rPr>
          <w:i/>
          <w:iCs/>
        </w:rPr>
        <w:t>Advantages</w:t>
      </w:r>
    </w:p>
    <w:p w14:paraId="5F1823D0" w14:textId="035B64EE" w:rsidR="00C7063E" w:rsidRDefault="00C7063E" w:rsidP="00C93674">
      <w:r>
        <w:t>Empowers stockholder equity.</w:t>
      </w:r>
      <w:r w:rsidR="00C93674">
        <w:t xml:space="preserve"> </w:t>
      </w:r>
      <w:r w:rsidR="00400D97">
        <w:t>Minimises</w:t>
      </w:r>
      <w:r>
        <w:t xml:space="preserve"> the leverage and interest cost.</w:t>
      </w:r>
      <w:r w:rsidR="00C93674">
        <w:t xml:space="preserve"> </w:t>
      </w:r>
      <w:r w:rsidR="00040564">
        <w:t>Improve</w:t>
      </w:r>
      <w:r>
        <w:t xml:space="preserve"> financial ratios</w:t>
      </w:r>
      <w:r w:rsidR="00C93674">
        <w:t xml:space="preserve">. </w:t>
      </w:r>
      <w:r>
        <w:t xml:space="preserve">Improves sustainability in </w:t>
      </w:r>
      <w:r w:rsidR="00040564">
        <w:t>the long term</w:t>
      </w:r>
      <w:r>
        <w:t>.</w:t>
      </w:r>
    </w:p>
    <w:p w14:paraId="1D155C69" w14:textId="212B61E7" w:rsidR="00C7063E" w:rsidRPr="004A4D07" w:rsidRDefault="00C7063E" w:rsidP="00C7063E">
      <w:pPr>
        <w:rPr>
          <w:i/>
          <w:iCs/>
        </w:rPr>
      </w:pPr>
      <w:r w:rsidRPr="004A4D07">
        <w:rPr>
          <w:i/>
          <w:iCs/>
        </w:rPr>
        <w:t>Disadvantages</w:t>
      </w:r>
    </w:p>
    <w:p w14:paraId="06566DCF" w14:textId="77400924" w:rsidR="00C7063E" w:rsidRDefault="00C7063E" w:rsidP="00C93674">
      <w:r>
        <w:t>Dilutes existing ownership</w:t>
      </w:r>
      <w:r w:rsidR="00C93674">
        <w:t xml:space="preserve">. </w:t>
      </w:r>
      <w:r>
        <w:t>The value of the shares can decrease when investors have a feeling of financial weakness.</w:t>
      </w:r>
      <w:r w:rsidR="00C93674">
        <w:t xml:space="preserve"> </w:t>
      </w:r>
      <w:r>
        <w:t>APS needs effective investor communication.</w:t>
      </w:r>
    </w:p>
    <w:p w14:paraId="26C23901" w14:textId="5B2C8846" w:rsidR="00963FFD" w:rsidRDefault="00C7063E" w:rsidP="00C7063E">
      <w:r>
        <w:t xml:space="preserve">Equity </w:t>
      </w:r>
      <w:r w:rsidR="00040564">
        <w:t>injections are</w:t>
      </w:r>
      <w:r>
        <w:t xml:space="preserve"> also suitable in cases where the firm requires financial assistance and restructuring of capital in the </w:t>
      </w:r>
      <w:r w:rsidR="00040564">
        <w:t>long term</w:t>
      </w:r>
      <w:r>
        <w:t>.</w:t>
      </w:r>
    </w:p>
    <w:p w14:paraId="4200F2E5" w14:textId="0DD292E7" w:rsidR="004A4D07" w:rsidRDefault="004A4D07" w:rsidP="004A4D07">
      <w:pPr>
        <w:pStyle w:val="Heading2"/>
      </w:pPr>
      <w:bookmarkStart w:id="18" w:name="_Toc216707196"/>
      <w:r>
        <w:lastRenderedPageBreak/>
        <w:t>Restructuring Alternatives Comparison.</w:t>
      </w:r>
      <w:bookmarkEnd w:id="18"/>
    </w:p>
    <w:p w14:paraId="125B5F98" w14:textId="2D911A48" w:rsidR="004A4D07" w:rsidRDefault="004A4D07" w:rsidP="004A4D07">
      <w:r>
        <w:t>The table below summarises the effects of each of these options.</w:t>
      </w:r>
    </w:p>
    <w:p w14:paraId="4625E3FA" w14:textId="1CB43B1F" w:rsidR="004A4D07" w:rsidRPr="004A4D07" w:rsidRDefault="004A4D07" w:rsidP="004A4D07">
      <w:pPr>
        <w:pStyle w:val="Caption"/>
        <w:keepNext/>
        <w:rPr>
          <w:sz w:val="24"/>
          <w:szCs w:val="24"/>
        </w:rPr>
      </w:pPr>
      <w:bookmarkStart w:id="19" w:name="_Toc216707224"/>
      <w:bookmarkStart w:id="20" w:name="_Toc216895013"/>
      <w:bookmarkStart w:id="21" w:name="_Toc217122904"/>
      <w:r w:rsidRPr="004A4D07">
        <w:rPr>
          <w:sz w:val="24"/>
          <w:szCs w:val="24"/>
        </w:rPr>
        <w:t xml:space="preserve">Table </w:t>
      </w:r>
      <w:r w:rsidRPr="004A4D07">
        <w:rPr>
          <w:sz w:val="24"/>
          <w:szCs w:val="24"/>
        </w:rPr>
        <w:fldChar w:fldCharType="begin"/>
      </w:r>
      <w:r w:rsidRPr="004A4D07">
        <w:rPr>
          <w:sz w:val="24"/>
          <w:szCs w:val="24"/>
        </w:rPr>
        <w:instrText xml:space="preserve"> SEQ Table \* ARABIC </w:instrText>
      </w:r>
      <w:r w:rsidRPr="004A4D07">
        <w:rPr>
          <w:sz w:val="24"/>
          <w:szCs w:val="24"/>
        </w:rPr>
        <w:fldChar w:fldCharType="separate"/>
      </w:r>
      <w:r w:rsidR="0044216B">
        <w:rPr>
          <w:noProof/>
          <w:sz w:val="24"/>
          <w:szCs w:val="24"/>
        </w:rPr>
        <w:t>1</w:t>
      </w:r>
      <w:r w:rsidRPr="004A4D07">
        <w:rPr>
          <w:sz w:val="24"/>
          <w:szCs w:val="24"/>
        </w:rPr>
        <w:fldChar w:fldCharType="end"/>
      </w:r>
      <w:r w:rsidRPr="004A4D07">
        <w:rPr>
          <w:sz w:val="24"/>
          <w:szCs w:val="24"/>
        </w:rPr>
        <w:t>Comparison of Restructuring Options</w:t>
      </w:r>
      <w:bookmarkEnd w:id="19"/>
      <w:bookmarkEnd w:id="20"/>
      <w:bookmarkEnd w:id="21"/>
    </w:p>
    <w:tbl>
      <w:tblPr>
        <w:tblStyle w:val="TableGrid"/>
        <w:tblW w:w="0" w:type="auto"/>
        <w:tblLook w:val="04A0" w:firstRow="1" w:lastRow="0" w:firstColumn="1" w:lastColumn="0" w:noHBand="0" w:noVBand="1"/>
      </w:tblPr>
      <w:tblGrid>
        <w:gridCol w:w="2254"/>
        <w:gridCol w:w="2255"/>
        <w:gridCol w:w="2255"/>
        <w:gridCol w:w="2255"/>
      </w:tblGrid>
      <w:tr w:rsidR="004A4D07" w14:paraId="3C889052" w14:textId="77777777" w:rsidTr="004A4D07">
        <w:tc>
          <w:tcPr>
            <w:tcW w:w="2254" w:type="dxa"/>
          </w:tcPr>
          <w:p w14:paraId="2CD8B87F" w14:textId="369ABA82" w:rsidR="004A4D07" w:rsidRDefault="004A4D07" w:rsidP="004A4D07">
            <w:pPr>
              <w:spacing w:line="360" w:lineRule="auto"/>
            </w:pPr>
            <w:r w:rsidRPr="00E91729">
              <w:t>Option</w:t>
            </w:r>
          </w:p>
        </w:tc>
        <w:tc>
          <w:tcPr>
            <w:tcW w:w="2255" w:type="dxa"/>
          </w:tcPr>
          <w:p w14:paraId="112ABB07" w14:textId="68F1D6E1" w:rsidR="004A4D07" w:rsidRDefault="004A4D07" w:rsidP="004A4D07">
            <w:pPr>
              <w:spacing w:line="360" w:lineRule="auto"/>
            </w:pPr>
            <w:r w:rsidRPr="00E91729">
              <w:t>Impact on Shareholder Value</w:t>
            </w:r>
          </w:p>
        </w:tc>
        <w:tc>
          <w:tcPr>
            <w:tcW w:w="2255" w:type="dxa"/>
          </w:tcPr>
          <w:p w14:paraId="2F55BBAF" w14:textId="20CD64C9" w:rsidR="004A4D07" w:rsidRDefault="004A4D07" w:rsidP="004A4D07">
            <w:pPr>
              <w:spacing w:line="360" w:lineRule="auto"/>
            </w:pPr>
            <w:r w:rsidRPr="00E91729">
              <w:t>Impact on Debt Structure</w:t>
            </w:r>
          </w:p>
        </w:tc>
        <w:tc>
          <w:tcPr>
            <w:tcW w:w="2255" w:type="dxa"/>
          </w:tcPr>
          <w:p w14:paraId="070DEEA3" w14:textId="02A02DD8" w:rsidR="004A4D07" w:rsidRDefault="004A4D07" w:rsidP="004A4D07">
            <w:pPr>
              <w:spacing w:line="360" w:lineRule="auto"/>
            </w:pPr>
            <w:r w:rsidRPr="00E91729">
              <w:t>Impact on Operational Flexibility</w:t>
            </w:r>
          </w:p>
        </w:tc>
      </w:tr>
      <w:tr w:rsidR="004A4D07" w14:paraId="09D61BB2" w14:textId="77777777" w:rsidTr="004A4D07">
        <w:tc>
          <w:tcPr>
            <w:tcW w:w="2254" w:type="dxa"/>
          </w:tcPr>
          <w:p w14:paraId="5E1580F7" w14:textId="560B5B22" w:rsidR="004A4D07" w:rsidRDefault="004A4D07" w:rsidP="004A4D07">
            <w:pPr>
              <w:spacing w:line="360" w:lineRule="auto"/>
            </w:pPr>
            <w:r w:rsidRPr="00E91729">
              <w:t>Divestiture</w:t>
            </w:r>
          </w:p>
        </w:tc>
        <w:tc>
          <w:tcPr>
            <w:tcW w:w="2255" w:type="dxa"/>
          </w:tcPr>
          <w:p w14:paraId="7A016223" w14:textId="4FCA97A9" w:rsidR="004A4D07" w:rsidRDefault="004A4D07" w:rsidP="004A4D07">
            <w:pPr>
              <w:spacing w:line="360" w:lineRule="auto"/>
            </w:pPr>
            <w:r w:rsidRPr="00E91729">
              <w:t xml:space="preserve">Short-term value </w:t>
            </w:r>
            <w:r w:rsidR="00040564">
              <w:t>increases</w:t>
            </w:r>
            <w:r w:rsidRPr="00E91729">
              <w:t xml:space="preserve"> if assets sell at good prices</w:t>
            </w:r>
          </w:p>
        </w:tc>
        <w:tc>
          <w:tcPr>
            <w:tcW w:w="2255" w:type="dxa"/>
          </w:tcPr>
          <w:p w14:paraId="221ED3D3" w14:textId="1F9D690B" w:rsidR="004A4D07" w:rsidRDefault="004A4D07" w:rsidP="004A4D07">
            <w:pPr>
              <w:spacing w:line="360" w:lineRule="auto"/>
            </w:pPr>
            <w:r w:rsidRPr="00E91729">
              <w:t xml:space="preserve">Reduces debt if proceeds </w:t>
            </w:r>
            <w:r w:rsidR="00040564">
              <w:t xml:space="preserve">are </w:t>
            </w:r>
            <w:r w:rsidRPr="00E91729">
              <w:t>used for repayment</w:t>
            </w:r>
          </w:p>
        </w:tc>
        <w:tc>
          <w:tcPr>
            <w:tcW w:w="2255" w:type="dxa"/>
          </w:tcPr>
          <w:p w14:paraId="13B109EA" w14:textId="38F5BFD7" w:rsidR="004A4D07" w:rsidRDefault="004A4D07" w:rsidP="004A4D07">
            <w:pPr>
              <w:spacing w:line="360" w:lineRule="auto"/>
            </w:pPr>
            <w:r w:rsidRPr="00E91729">
              <w:t>Increases flexibility by removing unproductive units</w:t>
            </w:r>
          </w:p>
        </w:tc>
      </w:tr>
      <w:tr w:rsidR="004A4D07" w14:paraId="4ED34F11" w14:textId="77777777" w:rsidTr="004A4D07">
        <w:tc>
          <w:tcPr>
            <w:tcW w:w="2254" w:type="dxa"/>
          </w:tcPr>
          <w:p w14:paraId="75F12C4A" w14:textId="46CD75D8" w:rsidR="004A4D07" w:rsidRDefault="004A4D07" w:rsidP="004A4D07">
            <w:pPr>
              <w:spacing w:line="360" w:lineRule="auto"/>
            </w:pPr>
            <w:r w:rsidRPr="00E91729">
              <w:t>Merger</w:t>
            </w:r>
          </w:p>
        </w:tc>
        <w:tc>
          <w:tcPr>
            <w:tcW w:w="2255" w:type="dxa"/>
          </w:tcPr>
          <w:p w14:paraId="403D0EAA" w14:textId="532EB808" w:rsidR="004A4D07" w:rsidRDefault="004A4D07" w:rsidP="004A4D07">
            <w:pPr>
              <w:spacing w:line="360" w:lineRule="auto"/>
            </w:pPr>
            <w:r w:rsidRPr="00E91729">
              <w:t>Potential long-term value through synergies</w:t>
            </w:r>
          </w:p>
        </w:tc>
        <w:tc>
          <w:tcPr>
            <w:tcW w:w="2255" w:type="dxa"/>
          </w:tcPr>
          <w:p w14:paraId="01686C4C" w14:textId="5E757E3E" w:rsidR="004A4D07" w:rsidRDefault="004A4D07" w:rsidP="004A4D07">
            <w:pPr>
              <w:spacing w:line="360" w:lineRule="auto"/>
            </w:pPr>
            <w:r w:rsidRPr="00E91729">
              <w:t xml:space="preserve">May reduce or increase debt depending on </w:t>
            </w:r>
            <w:r w:rsidR="00040564">
              <w:t xml:space="preserve">the </w:t>
            </w:r>
            <w:r w:rsidRPr="00E91729">
              <w:t>deal</w:t>
            </w:r>
          </w:p>
        </w:tc>
        <w:tc>
          <w:tcPr>
            <w:tcW w:w="2255" w:type="dxa"/>
          </w:tcPr>
          <w:p w14:paraId="1E0F5F9A" w14:textId="5EF9AE81" w:rsidR="004A4D07" w:rsidRDefault="004A4D07" w:rsidP="004A4D07">
            <w:pPr>
              <w:spacing w:line="360" w:lineRule="auto"/>
            </w:pPr>
            <w:r w:rsidRPr="00E91729">
              <w:t xml:space="preserve">Higher flexibility if </w:t>
            </w:r>
            <w:r w:rsidR="00040564">
              <w:t xml:space="preserve">the </w:t>
            </w:r>
            <w:r w:rsidRPr="00E91729">
              <w:t>merged entity gains efficiency</w:t>
            </w:r>
          </w:p>
        </w:tc>
      </w:tr>
      <w:tr w:rsidR="004A4D07" w14:paraId="43965A3A" w14:textId="77777777" w:rsidTr="004A4D07">
        <w:tc>
          <w:tcPr>
            <w:tcW w:w="2254" w:type="dxa"/>
          </w:tcPr>
          <w:p w14:paraId="1B8D2664" w14:textId="2EE83EB3" w:rsidR="004A4D07" w:rsidRDefault="004A4D07" w:rsidP="004A4D07">
            <w:pPr>
              <w:spacing w:line="360" w:lineRule="auto"/>
            </w:pPr>
            <w:r w:rsidRPr="00E91729">
              <w:t>Equity Injection</w:t>
            </w:r>
          </w:p>
        </w:tc>
        <w:tc>
          <w:tcPr>
            <w:tcW w:w="2255" w:type="dxa"/>
          </w:tcPr>
          <w:p w14:paraId="11069902" w14:textId="1EBA13EC" w:rsidR="004A4D07" w:rsidRDefault="004A4D07" w:rsidP="004A4D07">
            <w:pPr>
              <w:spacing w:line="360" w:lineRule="auto"/>
            </w:pPr>
            <w:r w:rsidRPr="00E91729">
              <w:t>Strengthens equity but dilutes ownership</w:t>
            </w:r>
          </w:p>
        </w:tc>
        <w:tc>
          <w:tcPr>
            <w:tcW w:w="2255" w:type="dxa"/>
          </w:tcPr>
          <w:p w14:paraId="45288A90" w14:textId="639B15BB" w:rsidR="004A4D07" w:rsidRDefault="004A4D07" w:rsidP="004A4D07">
            <w:pPr>
              <w:spacing w:line="360" w:lineRule="auto"/>
            </w:pPr>
            <w:r w:rsidRPr="00E91729">
              <w:t>Reduces leverage, improving solvency</w:t>
            </w:r>
          </w:p>
        </w:tc>
        <w:tc>
          <w:tcPr>
            <w:tcW w:w="2255" w:type="dxa"/>
          </w:tcPr>
          <w:p w14:paraId="3F588FED" w14:textId="5C60DE33" w:rsidR="004A4D07" w:rsidRDefault="004A4D07" w:rsidP="004A4D07">
            <w:pPr>
              <w:spacing w:line="360" w:lineRule="auto"/>
            </w:pPr>
            <w:r w:rsidRPr="00E91729">
              <w:t xml:space="preserve">Allows more investment flexibility due to </w:t>
            </w:r>
            <w:r w:rsidR="00040564">
              <w:t xml:space="preserve">a </w:t>
            </w:r>
            <w:r w:rsidRPr="00E91729">
              <w:t>stronger capital base</w:t>
            </w:r>
          </w:p>
        </w:tc>
      </w:tr>
    </w:tbl>
    <w:p w14:paraId="03FBCFC7" w14:textId="77777777" w:rsidR="004A4D07" w:rsidRDefault="004A4D07" w:rsidP="004A4D07"/>
    <w:p w14:paraId="63639667" w14:textId="702AF9B0" w:rsidR="00A46A04" w:rsidRPr="00A46A04" w:rsidRDefault="00A46A04" w:rsidP="00A46A04">
      <w:pPr>
        <w:pStyle w:val="Heading2"/>
      </w:pPr>
      <w:bookmarkStart w:id="22" w:name="_Toc216707197"/>
      <w:r w:rsidRPr="00A46A04">
        <w:t>Visual Overview: Capital Structure Effects.</w:t>
      </w:r>
      <w:bookmarkEnd w:id="22"/>
    </w:p>
    <w:p w14:paraId="48A408B0" w14:textId="77777777" w:rsidR="00A46A04" w:rsidRDefault="00A46A04" w:rsidP="00A46A04">
      <w:r>
        <w:t>The following is a crude textual chart that indicates the impact of the various restructuring options and leverage.</w:t>
      </w:r>
    </w:p>
    <w:p w14:paraId="7B324E1E" w14:textId="77777777" w:rsidR="00FB03AC" w:rsidRDefault="00FB03AC" w:rsidP="00FB03AC">
      <w:pPr>
        <w:keepNext/>
      </w:pPr>
      <w:r>
        <w:rPr>
          <w:noProof/>
        </w:rPr>
        <w:lastRenderedPageBreak/>
        <w:drawing>
          <wp:inline distT="0" distB="0" distL="0" distR="0" wp14:anchorId="118BD7B2" wp14:editId="57CD02D0">
            <wp:extent cx="5733415" cy="3319145"/>
            <wp:effectExtent l="0" t="0" r="635" b="14605"/>
            <wp:docPr id="1904353261"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3EBE18A" w14:textId="0234E95C" w:rsidR="00FB03AC" w:rsidRDefault="00FB03AC" w:rsidP="00FB03AC">
      <w:pPr>
        <w:pStyle w:val="Caption"/>
        <w:rPr>
          <w:sz w:val="24"/>
          <w:szCs w:val="24"/>
        </w:rPr>
      </w:pPr>
      <w:bookmarkStart w:id="23" w:name="_Toc216707212"/>
      <w:r w:rsidRPr="00FB03AC">
        <w:rPr>
          <w:sz w:val="24"/>
          <w:szCs w:val="24"/>
        </w:rPr>
        <w:t xml:space="preserve">Figure </w:t>
      </w:r>
      <w:r w:rsidRPr="00FB03AC">
        <w:rPr>
          <w:sz w:val="24"/>
          <w:szCs w:val="24"/>
        </w:rPr>
        <w:fldChar w:fldCharType="begin"/>
      </w:r>
      <w:r w:rsidRPr="00FB03AC">
        <w:rPr>
          <w:sz w:val="24"/>
          <w:szCs w:val="24"/>
        </w:rPr>
        <w:instrText xml:space="preserve"> SEQ Figure \* ARABIC </w:instrText>
      </w:r>
      <w:r w:rsidRPr="00FB03AC">
        <w:rPr>
          <w:sz w:val="24"/>
          <w:szCs w:val="24"/>
        </w:rPr>
        <w:fldChar w:fldCharType="separate"/>
      </w:r>
      <w:r w:rsidR="0044216B">
        <w:rPr>
          <w:noProof/>
          <w:sz w:val="24"/>
          <w:szCs w:val="24"/>
        </w:rPr>
        <w:t>1</w:t>
      </w:r>
      <w:r w:rsidRPr="00FB03AC">
        <w:rPr>
          <w:sz w:val="24"/>
          <w:szCs w:val="24"/>
        </w:rPr>
        <w:fldChar w:fldCharType="end"/>
      </w:r>
      <w:r w:rsidRPr="00FB03AC">
        <w:rPr>
          <w:sz w:val="24"/>
          <w:szCs w:val="24"/>
        </w:rPr>
        <w:t>Impact of Restructuring Options on Leverage</w:t>
      </w:r>
      <w:bookmarkEnd w:id="23"/>
    </w:p>
    <w:p w14:paraId="0081A7C8" w14:textId="58D86E5E" w:rsidR="005C2FA4" w:rsidRDefault="005C2FA4" w:rsidP="005C2FA4">
      <w:r>
        <w:t>This value indicates that equity injection has the best impact on curbing leverage</w:t>
      </w:r>
      <w:r w:rsidR="00040564">
        <w:t>,</w:t>
      </w:r>
      <w:r>
        <w:t xml:space="preserve"> with </w:t>
      </w:r>
      <w:r w:rsidR="00040564">
        <w:t xml:space="preserve">the </w:t>
      </w:r>
      <w:r>
        <w:t>merger having a moderate impact.</w:t>
      </w:r>
    </w:p>
    <w:p w14:paraId="090E6586" w14:textId="75E82F28" w:rsidR="005C2FA4" w:rsidRDefault="005C2FA4" w:rsidP="001A6D42">
      <w:pPr>
        <w:pStyle w:val="Heading2"/>
      </w:pPr>
      <w:bookmarkStart w:id="24" w:name="_Toc216707198"/>
      <w:r>
        <w:t>Impact Assessment</w:t>
      </w:r>
      <w:bookmarkEnd w:id="24"/>
    </w:p>
    <w:p w14:paraId="69988713" w14:textId="0D827983" w:rsidR="005C2FA4" w:rsidRPr="001A6D42" w:rsidRDefault="005C2FA4" w:rsidP="005C2FA4">
      <w:pPr>
        <w:rPr>
          <w:b/>
          <w:bCs/>
        </w:rPr>
      </w:pPr>
      <w:r w:rsidRPr="001A6D42">
        <w:rPr>
          <w:b/>
          <w:bCs/>
        </w:rPr>
        <w:t>Shareholder Value</w:t>
      </w:r>
    </w:p>
    <w:p w14:paraId="0732247C" w14:textId="49812D5E" w:rsidR="005C2FA4" w:rsidRDefault="005C2FA4" w:rsidP="005C2FA4">
      <w:r>
        <w:t>Restructuring has both positive and negative impacts on shareholder value.</w:t>
      </w:r>
    </w:p>
    <w:p w14:paraId="7F1678D9" w14:textId="0414444B" w:rsidR="005C2FA4" w:rsidRDefault="005C2FA4" w:rsidP="00C93674">
      <w:r>
        <w:t>Divestiture will generate short-term value through increasing cash and decreasing risk.</w:t>
      </w:r>
      <w:r w:rsidR="00C93674">
        <w:t xml:space="preserve"> </w:t>
      </w:r>
      <w:r>
        <w:t xml:space="preserve">Economies of scale and enhanced efficiency can help to augment long-term values due to </w:t>
      </w:r>
      <w:r w:rsidR="00040564">
        <w:t xml:space="preserve">the </w:t>
      </w:r>
      <w:r>
        <w:t>merger</w:t>
      </w:r>
      <w:r w:rsidR="00312723">
        <w:t xml:space="preserve"> </w:t>
      </w:r>
      <w:r w:rsidR="00312723" w:rsidRPr="00312723">
        <w:t xml:space="preserve">(Vernimmen </w:t>
      </w:r>
      <w:r w:rsidR="00312723" w:rsidRPr="00C93674">
        <w:rPr>
          <w:i/>
          <w:iCs/>
        </w:rPr>
        <w:t>et al.</w:t>
      </w:r>
      <w:r w:rsidR="00312723" w:rsidRPr="00312723">
        <w:t>, 2022)</w:t>
      </w:r>
      <w:r>
        <w:t>.</w:t>
      </w:r>
      <w:r w:rsidR="00C93674">
        <w:t xml:space="preserve"> </w:t>
      </w:r>
      <w:r>
        <w:t>Equity Injection enhances the capital foundation and dilutes ownership</w:t>
      </w:r>
      <w:r w:rsidR="00040564">
        <w:t>,</w:t>
      </w:r>
      <w:r>
        <w:t xml:space="preserve"> but enhanced solvency can aid </w:t>
      </w:r>
      <w:r w:rsidR="00040564">
        <w:t>long-term</w:t>
      </w:r>
      <w:r>
        <w:t xml:space="preserve"> shareholder value.</w:t>
      </w:r>
    </w:p>
    <w:p w14:paraId="220505DE" w14:textId="1BE75F96" w:rsidR="005C2FA4" w:rsidRDefault="005C2FA4" w:rsidP="005C2FA4">
      <w:r>
        <w:t>In general, the value of these shares is most probably to be improved in case restructuring will lessen the losses and stabilise the business.</w:t>
      </w:r>
    </w:p>
    <w:p w14:paraId="732E02AF" w14:textId="4E36E071" w:rsidR="005C2FA4" w:rsidRPr="001A6D42" w:rsidRDefault="005C2FA4" w:rsidP="005C2FA4">
      <w:pPr>
        <w:rPr>
          <w:b/>
          <w:bCs/>
        </w:rPr>
      </w:pPr>
      <w:r w:rsidRPr="001A6D42">
        <w:rPr>
          <w:b/>
          <w:bCs/>
        </w:rPr>
        <w:t>Debt Structure</w:t>
      </w:r>
    </w:p>
    <w:p w14:paraId="2B8338C5" w14:textId="34830A99" w:rsidR="005C2FA4" w:rsidRDefault="00040564" w:rsidP="005C2FA4">
      <w:r>
        <w:t>Long-term</w:t>
      </w:r>
      <w:r w:rsidR="005C2FA4">
        <w:t xml:space="preserve"> survival would require a stable capital structure.</w:t>
      </w:r>
    </w:p>
    <w:p w14:paraId="5AA7BB43" w14:textId="0F8BEB9A" w:rsidR="005C2FA4" w:rsidRDefault="005C2FA4" w:rsidP="00C93674">
      <w:r>
        <w:t>When strategic use of proceeds is done, the debt is decreased through divestiture.</w:t>
      </w:r>
      <w:r w:rsidR="00C93674">
        <w:t xml:space="preserve"> </w:t>
      </w:r>
      <w:r>
        <w:t xml:space="preserve">Leverage can be decreased with a merger when the partner is better off with </w:t>
      </w:r>
      <w:r w:rsidR="00040564">
        <w:t xml:space="preserve">a </w:t>
      </w:r>
      <w:r>
        <w:t xml:space="preserve">better </w:t>
      </w:r>
      <w:r>
        <w:lastRenderedPageBreak/>
        <w:t>balance sheet.</w:t>
      </w:r>
      <w:r w:rsidR="00C93674">
        <w:t xml:space="preserve"> </w:t>
      </w:r>
      <w:r w:rsidR="001646AE">
        <w:t>The direct</w:t>
      </w:r>
      <w:r>
        <w:t xml:space="preserve"> impact of equity injection is the lowering of the </w:t>
      </w:r>
      <w:r w:rsidR="00040564">
        <w:t>debt-to-equity</w:t>
      </w:r>
      <w:r>
        <w:t xml:space="preserve"> ratio and lessening of interest charges.</w:t>
      </w:r>
    </w:p>
    <w:p w14:paraId="5F81C2F1" w14:textId="5091150E" w:rsidR="005C2FA4" w:rsidRDefault="005C2FA4" w:rsidP="005C2FA4">
      <w:r>
        <w:t>The best reduction of financial risk is through equity injection.</w:t>
      </w:r>
    </w:p>
    <w:p w14:paraId="4B2BB2A6" w14:textId="33EE7A80" w:rsidR="005C2FA4" w:rsidRPr="001A6D42" w:rsidRDefault="005C2FA4" w:rsidP="005C2FA4">
      <w:pPr>
        <w:rPr>
          <w:b/>
          <w:bCs/>
        </w:rPr>
      </w:pPr>
      <w:r w:rsidRPr="001A6D42">
        <w:rPr>
          <w:b/>
          <w:bCs/>
        </w:rPr>
        <w:t>Operational Flexibility</w:t>
      </w:r>
    </w:p>
    <w:p w14:paraId="29D351D1" w14:textId="5EDE47FB" w:rsidR="005C2FA4" w:rsidRDefault="005C2FA4" w:rsidP="005C2FA4">
      <w:r>
        <w:t>The concept of operational flexibility is defined as the ability of the business to adjust to changes easily.</w:t>
      </w:r>
    </w:p>
    <w:p w14:paraId="337646D5" w14:textId="6029A0AA" w:rsidR="005C2FA4" w:rsidRDefault="005C2FA4" w:rsidP="00C93674">
      <w:r>
        <w:t>Divestiture brings about flexibility by eliminating non-productive units.</w:t>
      </w:r>
      <w:r w:rsidR="00C93674">
        <w:t xml:space="preserve"> </w:t>
      </w:r>
      <w:r>
        <w:t xml:space="preserve">The increase in flexibility due to </w:t>
      </w:r>
      <w:r w:rsidR="00040564">
        <w:t xml:space="preserve">the </w:t>
      </w:r>
      <w:r>
        <w:t>merger may lie in the capacity to align complementary strengths</w:t>
      </w:r>
      <w:r w:rsidR="002B76BF">
        <w:t xml:space="preserve"> </w:t>
      </w:r>
      <w:r w:rsidR="002B76BF" w:rsidRPr="002B76BF">
        <w:t xml:space="preserve">(Graham </w:t>
      </w:r>
      <w:r w:rsidR="002B76BF" w:rsidRPr="00C93674">
        <w:rPr>
          <w:i/>
          <w:iCs/>
        </w:rPr>
        <w:t>et al.</w:t>
      </w:r>
      <w:r w:rsidR="002B76BF" w:rsidRPr="002B76BF">
        <w:t>, 2020)</w:t>
      </w:r>
      <w:r>
        <w:t>.</w:t>
      </w:r>
      <w:r w:rsidR="00C93674">
        <w:t xml:space="preserve"> </w:t>
      </w:r>
      <w:r>
        <w:t>It is a flexible move in the long term as it presents the opportunity to inject equity into technology, innovation or restructuring.</w:t>
      </w:r>
    </w:p>
    <w:p w14:paraId="13107DCB" w14:textId="404AD261" w:rsidR="005C2FA4" w:rsidRPr="001A6D42" w:rsidRDefault="005C2FA4" w:rsidP="005C2FA4">
      <w:pPr>
        <w:rPr>
          <w:b/>
          <w:bCs/>
        </w:rPr>
      </w:pPr>
      <w:r w:rsidRPr="001A6D42">
        <w:rPr>
          <w:b/>
          <w:bCs/>
        </w:rPr>
        <w:t xml:space="preserve">International and Ethical </w:t>
      </w:r>
      <w:r w:rsidR="00040564">
        <w:rPr>
          <w:b/>
          <w:bCs/>
        </w:rPr>
        <w:t>Considerations</w:t>
      </w:r>
      <w:r w:rsidRPr="001A6D42">
        <w:rPr>
          <w:b/>
          <w:bCs/>
        </w:rPr>
        <w:t>.</w:t>
      </w:r>
    </w:p>
    <w:p w14:paraId="4B381A7A" w14:textId="57958ED7" w:rsidR="005C2FA4" w:rsidRDefault="005C2FA4" w:rsidP="005C2FA4">
      <w:r>
        <w:t xml:space="preserve">Risks and liabilities associated with international business also </w:t>
      </w:r>
      <w:r w:rsidR="00040564">
        <w:t>must</w:t>
      </w:r>
      <w:r>
        <w:t xml:space="preserve"> be taken into consideration when making financial reconstruction decisions.</w:t>
      </w:r>
    </w:p>
    <w:p w14:paraId="75C0AE26" w14:textId="7954FEF9" w:rsidR="005C2FA4" w:rsidRPr="001A6D42" w:rsidRDefault="005C2FA4" w:rsidP="005C2FA4">
      <w:pPr>
        <w:rPr>
          <w:i/>
          <w:iCs/>
        </w:rPr>
      </w:pPr>
      <w:r w:rsidRPr="001A6D42">
        <w:rPr>
          <w:i/>
          <w:iCs/>
        </w:rPr>
        <w:t>Taxation</w:t>
      </w:r>
    </w:p>
    <w:p w14:paraId="3C253BF1" w14:textId="659949FB" w:rsidR="005C2FA4" w:rsidRDefault="005C2FA4" w:rsidP="005C2FA4">
      <w:r>
        <w:t xml:space="preserve">Taxation laws in different countries have various rules of taxing the sale of assets, mergers and </w:t>
      </w:r>
      <w:r w:rsidR="00040564">
        <w:t>the issuance</w:t>
      </w:r>
      <w:r>
        <w:t xml:space="preserve"> of equity. The company must consider:</w:t>
      </w:r>
    </w:p>
    <w:p w14:paraId="4EFC1F49" w14:textId="4BC14E40" w:rsidR="005C2FA4" w:rsidRDefault="005C2FA4" w:rsidP="00C93674">
      <w:r>
        <w:t>Tax on capital outlay in selling assets.</w:t>
      </w:r>
      <w:r w:rsidR="00C93674">
        <w:t xml:space="preserve"> </w:t>
      </w:r>
      <w:r>
        <w:t>Tax liability of mergers.</w:t>
      </w:r>
      <w:r w:rsidR="00C93674">
        <w:t xml:space="preserve"> </w:t>
      </w:r>
      <w:r>
        <w:t>Investment incentives on taxes in some parts.</w:t>
      </w:r>
    </w:p>
    <w:p w14:paraId="443EA0D3" w14:textId="29B3535B" w:rsidR="005C2FA4" w:rsidRDefault="005C2FA4" w:rsidP="005C2FA4">
      <w:r>
        <w:t>The benefits of restructuring may be reduced because of poor tax planning.</w:t>
      </w:r>
    </w:p>
    <w:p w14:paraId="45490C9C" w14:textId="718E7D1F" w:rsidR="005C2FA4" w:rsidRPr="001A6D42" w:rsidRDefault="005C2FA4" w:rsidP="005C2FA4">
      <w:pPr>
        <w:rPr>
          <w:b/>
          <w:bCs/>
        </w:rPr>
      </w:pPr>
      <w:r w:rsidRPr="001A6D42">
        <w:rPr>
          <w:b/>
          <w:bCs/>
        </w:rPr>
        <w:t>Currency Risk</w:t>
      </w:r>
    </w:p>
    <w:p w14:paraId="1FD9D43D" w14:textId="089DE5F4" w:rsidR="005C2FA4" w:rsidRDefault="005C2FA4" w:rsidP="005C2FA4">
      <w:r>
        <w:t>In case the company is an international one, the exchange rates can influence the restructuring activities. For example:</w:t>
      </w:r>
    </w:p>
    <w:p w14:paraId="5F90666D" w14:textId="7AFF0018" w:rsidR="005C2FA4" w:rsidRDefault="005C2FA4" w:rsidP="00C93674">
      <w:r>
        <w:t>Forex divestiture might devalue.</w:t>
      </w:r>
      <w:r w:rsidR="00C93674">
        <w:t xml:space="preserve"> </w:t>
      </w:r>
      <w:r>
        <w:t>Acquisitions of other companies in foreign countries will subject the company to exchange risk.</w:t>
      </w:r>
      <w:r w:rsidR="00C93674">
        <w:t xml:space="preserve"> </w:t>
      </w:r>
      <w:r>
        <w:t>Hedging might be required in equity raised internationally.</w:t>
      </w:r>
    </w:p>
    <w:p w14:paraId="0C30EBE2" w14:textId="6278E8E2" w:rsidR="005C2FA4" w:rsidRDefault="005C2FA4" w:rsidP="005C2FA4">
      <w:r>
        <w:t>Effective management of currency is necessary to hedge financial profits.</w:t>
      </w:r>
    </w:p>
    <w:p w14:paraId="68EE55C6" w14:textId="4A6F3199" w:rsidR="005C2FA4" w:rsidRPr="00040564" w:rsidRDefault="005C2FA4" w:rsidP="005C2FA4">
      <w:pPr>
        <w:rPr>
          <w:b/>
          <w:bCs/>
        </w:rPr>
      </w:pPr>
      <w:r w:rsidRPr="00040564">
        <w:rPr>
          <w:b/>
          <w:bCs/>
        </w:rPr>
        <w:t>Inflation</w:t>
      </w:r>
    </w:p>
    <w:p w14:paraId="0DAF348F" w14:textId="4E9A5B15" w:rsidR="005C2FA4" w:rsidRDefault="00040564" w:rsidP="005C2FA4">
      <w:r>
        <w:lastRenderedPageBreak/>
        <w:t>Higher</w:t>
      </w:r>
      <w:r w:rsidR="005C2FA4">
        <w:t xml:space="preserve"> inflation also raises the cost of borrowing</w:t>
      </w:r>
      <w:r>
        <w:t>,</w:t>
      </w:r>
      <w:r w:rsidR="005C2FA4">
        <w:t xml:space="preserve"> and the purchasing power is low. The plan of restructuring should </w:t>
      </w:r>
      <w:r>
        <w:t>consider</w:t>
      </w:r>
      <w:r w:rsidR="005C2FA4">
        <w:t>:</w:t>
      </w:r>
    </w:p>
    <w:p w14:paraId="18B689A6" w14:textId="490AD389" w:rsidR="005C2FA4" w:rsidRDefault="005C2FA4" w:rsidP="00C93674">
      <w:r>
        <w:t>Increase in the cost of operations and financing.</w:t>
      </w:r>
      <w:r w:rsidR="00C93674">
        <w:t xml:space="preserve"> </w:t>
      </w:r>
      <w:r>
        <w:t>Wage and supplier price pressure.</w:t>
      </w:r>
      <w:r w:rsidR="00C93674">
        <w:t xml:space="preserve"> </w:t>
      </w:r>
      <w:r>
        <w:t>Reduced consumer demand</w:t>
      </w:r>
    </w:p>
    <w:p w14:paraId="6FB78431" w14:textId="60376E21" w:rsidR="005C2FA4" w:rsidRDefault="005C2FA4" w:rsidP="005C2FA4">
      <w:r>
        <w:t xml:space="preserve">Restructuring must be </w:t>
      </w:r>
      <w:r w:rsidR="00040564">
        <w:t>to</w:t>
      </w:r>
      <w:r>
        <w:t xml:space="preserve"> create inflation resilience.</w:t>
      </w:r>
    </w:p>
    <w:p w14:paraId="25CF36E7" w14:textId="50812E63" w:rsidR="005C2FA4" w:rsidRPr="00040564" w:rsidRDefault="005C2FA4" w:rsidP="005C2FA4">
      <w:pPr>
        <w:rPr>
          <w:b/>
          <w:bCs/>
        </w:rPr>
      </w:pPr>
      <w:r w:rsidRPr="00040564">
        <w:rPr>
          <w:b/>
          <w:bCs/>
        </w:rPr>
        <w:t>Corporate Social Responsibility (CSR)</w:t>
      </w:r>
    </w:p>
    <w:p w14:paraId="79629F03" w14:textId="06DD64FC" w:rsidR="005C2FA4" w:rsidRDefault="005C2FA4" w:rsidP="005C2FA4">
      <w:r>
        <w:t>Ethical issues are critical in the restructuring. The company must:</w:t>
      </w:r>
    </w:p>
    <w:p w14:paraId="05D9257B" w14:textId="229240A6" w:rsidR="005C2FA4" w:rsidRDefault="005C2FA4" w:rsidP="00C93674">
      <w:r>
        <w:t>Fair treatment of employees in selling the assets or in a merger.</w:t>
      </w:r>
      <w:r w:rsidR="00C93674">
        <w:t xml:space="preserve"> </w:t>
      </w:r>
      <w:r>
        <w:t>Ensure transparency towards investors and suppliers.</w:t>
      </w:r>
      <w:r w:rsidR="00C93674">
        <w:t xml:space="preserve"> </w:t>
      </w:r>
      <w:r>
        <w:t>No cost-cutting practices that pollute the environment.</w:t>
      </w:r>
      <w:r w:rsidR="00C93674">
        <w:t xml:space="preserve"> </w:t>
      </w:r>
      <w:r>
        <w:t>Share freely with the stakeholders</w:t>
      </w:r>
      <w:r w:rsidR="002B76BF">
        <w:t xml:space="preserve"> </w:t>
      </w:r>
      <w:r w:rsidR="002B76BF" w:rsidRPr="002B76BF">
        <w:t>(Ernst and Haar, 2021)</w:t>
      </w:r>
      <w:r>
        <w:t>.</w:t>
      </w:r>
    </w:p>
    <w:p w14:paraId="14889CBD" w14:textId="2E418944" w:rsidR="005C2FA4" w:rsidRDefault="005C2FA4" w:rsidP="005C2FA4">
      <w:r>
        <w:t>Mature restructuring assists in restoring confidence and safeguarding the future image of the company.</w:t>
      </w:r>
    </w:p>
    <w:p w14:paraId="3C8297C5" w14:textId="463A0C77" w:rsidR="00963FFD" w:rsidRPr="00963FFD" w:rsidRDefault="005C2FA4" w:rsidP="00A46A04">
      <w:r>
        <w:t>General Electronics needs to undergo an organised financial change to cut down on the debt</w:t>
      </w:r>
      <w:r w:rsidR="001646AE">
        <w:t xml:space="preserve"> and</w:t>
      </w:r>
      <w:r>
        <w:t xml:space="preserve"> </w:t>
      </w:r>
      <w:r w:rsidR="00040564">
        <w:t>stabilise</w:t>
      </w:r>
      <w:r>
        <w:t xml:space="preserve"> the business to reclaim profitability. Divestiture offers </w:t>
      </w:r>
      <w:r w:rsidR="00040564">
        <w:t>short-term</w:t>
      </w:r>
      <w:r>
        <w:t xml:space="preserve"> </w:t>
      </w:r>
      <w:r w:rsidR="00040564">
        <w:t>release;</w:t>
      </w:r>
      <w:r>
        <w:t xml:space="preserve"> mergers </w:t>
      </w:r>
      <w:r w:rsidR="00040564">
        <w:t>long-term</w:t>
      </w:r>
      <w:r>
        <w:t xml:space="preserve"> strategic renewal</w:t>
      </w:r>
      <w:r w:rsidR="00040564">
        <w:t>,</w:t>
      </w:r>
      <w:r>
        <w:t xml:space="preserve"> and equity injection </w:t>
      </w:r>
      <w:r w:rsidR="00040564">
        <w:t>enhances</w:t>
      </w:r>
      <w:r>
        <w:t xml:space="preserve"> </w:t>
      </w:r>
      <w:r w:rsidR="00040564">
        <w:t xml:space="preserve">the </w:t>
      </w:r>
      <w:r>
        <w:t xml:space="preserve">capital base. A combination of the three approaches with good practices in ethics and international risk assessment is the most effective plan that is bound to work well. Through restructuring, the firm can restore financial stability and </w:t>
      </w:r>
      <w:r w:rsidR="00040564">
        <w:t>achieve</w:t>
      </w:r>
      <w:r>
        <w:t xml:space="preserve"> long-term recovery.</w:t>
      </w:r>
    </w:p>
    <w:p w14:paraId="426CC08E" w14:textId="21CB685A" w:rsidR="00E74C29" w:rsidRDefault="00CF2B05" w:rsidP="0019310E">
      <w:pPr>
        <w:pStyle w:val="Heading1"/>
      </w:pPr>
      <w:bookmarkStart w:id="25" w:name="_Toc216707199"/>
      <w:r w:rsidRPr="00CF2B05">
        <w:t>Investment Appraisal and Capital Budgeting</w:t>
      </w:r>
      <w:bookmarkEnd w:id="25"/>
    </w:p>
    <w:p w14:paraId="4EFE1E9E" w14:textId="3FEE06E3" w:rsidR="00B07EB4" w:rsidRDefault="00B07EB4" w:rsidP="0019310E">
      <w:r w:rsidRPr="00B07EB4">
        <w:t>General Electronics is evaluating three investment projects</w:t>
      </w:r>
      <w:r>
        <w:t>,</w:t>
      </w:r>
      <w:r w:rsidRPr="00B07EB4">
        <w:t xml:space="preserve"> which are small, medium, and large in terms of size, risk and returns. Considering the poor liquidity of the company, both default leverage and diminishing profitability, the appropriate project must be chosen to enhance the financial aspects of the company in the long term. This section </w:t>
      </w:r>
      <w:r>
        <w:t>analyses</w:t>
      </w:r>
      <w:r w:rsidRPr="00B07EB4">
        <w:t xml:space="preserve"> </w:t>
      </w:r>
      <w:r>
        <w:t>Projects</w:t>
      </w:r>
      <w:r w:rsidRPr="00B07EB4">
        <w:t xml:space="preserve"> A, B and C depending on the standard appraisal techniques, Payback Period, Accounting rate of return, Net Present Value, Profitability index and internal rate of return</w:t>
      </w:r>
      <w:r w:rsidR="00FE4967">
        <w:t xml:space="preserve"> </w:t>
      </w:r>
      <w:r w:rsidR="00FE4967" w:rsidRPr="00FE4967">
        <w:t xml:space="preserve">(Graham </w:t>
      </w:r>
      <w:r w:rsidR="00FE4967" w:rsidRPr="00FE4967">
        <w:rPr>
          <w:i/>
          <w:iCs/>
        </w:rPr>
        <w:t>et al.</w:t>
      </w:r>
      <w:r w:rsidR="00FE4967" w:rsidRPr="00FE4967">
        <w:t>, 2020)</w:t>
      </w:r>
      <w:r w:rsidRPr="00B07EB4">
        <w:t xml:space="preserve">. The discount rate is 10 percent, and the depreciation is done </w:t>
      </w:r>
      <w:r>
        <w:t>straight-line</w:t>
      </w:r>
      <w:r w:rsidRPr="00B07EB4">
        <w:t xml:space="preserve"> to zero. The capital rationing </w:t>
      </w:r>
      <w:r w:rsidRPr="00B07EB4">
        <w:lastRenderedPageBreak/>
        <w:t>makes a final recommendation after reviewing all the results because the company will not be able to invest above £60 million.</w:t>
      </w:r>
    </w:p>
    <w:p w14:paraId="22523373" w14:textId="6D456494" w:rsidR="006576C3" w:rsidRDefault="006576C3" w:rsidP="0019310E">
      <w:pPr>
        <w:pStyle w:val="Heading2"/>
      </w:pPr>
      <w:bookmarkStart w:id="26" w:name="_Toc216707200"/>
      <w:r w:rsidRPr="006576C3">
        <w:t>Project Cash Flow Summary</w:t>
      </w:r>
      <w:bookmarkEnd w:id="26"/>
    </w:p>
    <w:p w14:paraId="5D5796FF" w14:textId="77777777" w:rsidR="006576C3" w:rsidRDefault="006576C3" w:rsidP="0019310E">
      <w:pPr>
        <w:keepNext/>
      </w:pPr>
      <w:r>
        <w:rPr>
          <w:noProof/>
        </w:rPr>
        <w:drawing>
          <wp:inline distT="0" distB="0" distL="0" distR="0" wp14:anchorId="336861C5" wp14:editId="467B8002">
            <wp:extent cx="5400000" cy="2700000"/>
            <wp:effectExtent l="0" t="0" r="10795" b="5715"/>
            <wp:docPr id="596106002"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F274BC3-A807-464A-8406-3B69E4EAAA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E48F4C8" w14:textId="7251B0F3" w:rsidR="006576C3" w:rsidRPr="006576C3" w:rsidRDefault="006576C3" w:rsidP="0019310E">
      <w:pPr>
        <w:pStyle w:val="Caption"/>
        <w:spacing w:line="360" w:lineRule="auto"/>
        <w:jc w:val="center"/>
        <w:rPr>
          <w:sz w:val="24"/>
          <w:szCs w:val="24"/>
        </w:rPr>
      </w:pPr>
      <w:bookmarkStart w:id="27" w:name="_Toc216707213"/>
      <w:r w:rsidRPr="006576C3">
        <w:rPr>
          <w:sz w:val="24"/>
          <w:szCs w:val="24"/>
        </w:rPr>
        <w:t xml:space="preserve">Figure </w:t>
      </w:r>
      <w:r w:rsidRPr="006576C3">
        <w:rPr>
          <w:sz w:val="24"/>
          <w:szCs w:val="24"/>
        </w:rPr>
        <w:fldChar w:fldCharType="begin"/>
      </w:r>
      <w:r w:rsidRPr="006576C3">
        <w:rPr>
          <w:sz w:val="24"/>
          <w:szCs w:val="24"/>
        </w:rPr>
        <w:instrText xml:space="preserve"> SEQ Figure \* ARABIC </w:instrText>
      </w:r>
      <w:r w:rsidRPr="006576C3">
        <w:rPr>
          <w:sz w:val="24"/>
          <w:szCs w:val="24"/>
        </w:rPr>
        <w:fldChar w:fldCharType="separate"/>
      </w:r>
      <w:r w:rsidR="0044216B">
        <w:rPr>
          <w:noProof/>
          <w:sz w:val="24"/>
          <w:szCs w:val="24"/>
        </w:rPr>
        <w:t>2</w:t>
      </w:r>
      <w:r w:rsidRPr="006576C3">
        <w:rPr>
          <w:sz w:val="24"/>
          <w:szCs w:val="24"/>
        </w:rPr>
        <w:fldChar w:fldCharType="end"/>
      </w:r>
      <w:r w:rsidRPr="006576C3">
        <w:rPr>
          <w:sz w:val="24"/>
          <w:szCs w:val="24"/>
        </w:rPr>
        <w:t>Project Cash Flow Profiles (Years 1–5)</w:t>
      </w:r>
      <w:bookmarkEnd w:id="27"/>
    </w:p>
    <w:p w14:paraId="351A7B85" w14:textId="2CD1CB33" w:rsidR="009A2DFA" w:rsidRDefault="009A2DFA" w:rsidP="0019310E">
      <w:r>
        <w:t>Depreciation is by a straight line to zero:</w:t>
      </w:r>
    </w:p>
    <w:p w14:paraId="1F82FCD0" w14:textId="709FFB21" w:rsidR="009A2DFA" w:rsidRDefault="009A2DFA" w:rsidP="00C93674">
      <w:r>
        <w:t>A: £40m / 5 = £8m per year</w:t>
      </w:r>
      <w:r w:rsidR="00C93674">
        <w:t xml:space="preserve">, </w:t>
      </w:r>
      <w:r>
        <w:t>B: £30m / 5 = £6m per year</w:t>
      </w:r>
      <w:r w:rsidR="00C93674">
        <w:t xml:space="preserve">, </w:t>
      </w:r>
      <w:r>
        <w:t>C: £50m / 5 = £10m per year</w:t>
      </w:r>
    </w:p>
    <w:p w14:paraId="7831F44B" w14:textId="2064543A" w:rsidR="009A2DFA" w:rsidRDefault="009A2DFA" w:rsidP="0019310E">
      <w:pPr>
        <w:pStyle w:val="Heading2"/>
      </w:pPr>
      <w:bookmarkStart w:id="28" w:name="_Toc216707201"/>
      <w:r>
        <w:t>Payback Period (PBP)</w:t>
      </w:r>
      <w:bookmarkEnd w:id="28"/>
    </w:p>
    <w:p w14:paraId="3E253B44" w14:textId="3F7424D5" w:rsidR="006576C3" w:rsidRDefault="009A2DFA" w:rsidP="0019310E">
      <w:r>
        <w:t>The payback period is used to determine how much time one has to invest to earn the initial investment.</w:t>
      </w:r>
    </w:p>
    <w:p w14:paraId="5CEDBB09" w14:textId="1AF0CDDD" w:rsidR="006576C3" w:rsidRPr="006576C3" w:rsidRDefault="006576C3" w:rsidP="0019310E">
      <w:pPr>
        <w:pStyle w:val="Caption"/>
        <w:keepNext/>
        <w:spacing w:line="360" w:lineRule="auto"/>
        <w:rPr>
          <w:b/>
          <w:bCs/>
          <w:sz w:val="24"/>
          <w:szCs w:val="24"/>
        </w:rPr>
      </w:pPr>
      <w:bookmarkStart w:id="29" w:name="_Toc216707226"/>
      <w:bookmarkStart w:id="30" w:name="_Toc216895015"/>
      <w:bookmarkStart w:id="31" w:name="_Toc217122905"/>
      <w:r w:rsidRPr="006576C3">
        <w:rPr>
          <w:b/>
          <w:bCs/>
          <w:sz w:val="24"/>
          <w:szCs w:val="24"/>
        </w:rPr>
        <w:t xml:space="preserve">Table </w:t>
      </w:r>
      <w:r w:rsidR="001646AE">
        <w:rPr>
          <w:b/>
          <w:bCs/>
          <w:sz w:val="24"/>
          <w:szCs w:val="24"/>
        </w:rPr>
        <w:t>2: Project</w:t>
      </w:r>
      <w:r w:rsidRPr="006576C3">
        <w:rPr>
          <w:b/>
          <w:bCs/>
          <w:sz w:val="24"/>
          <w:szCs w:val="24"/>
        </w:rPr>
        <w:t xml:space="preserve"> A -Payback Calculation.</w:t>
      </w:r>
      <w:bookmarkEnd w:id="29"/>
      <w:bookmarkEnd w:id="30"/>
      <w:bookmarkEnd w:id="31"/>
    </w:p>
    <w:tbl>
      <w:tblPr>
        <w:tblStyle w:val="TableGrid"/>
        <w:tblW w:w="0" w:type="auto"/>
        <w:tblLook w:val="04A0" w:firstRow="1" w:lastRow="0" w:firstColumn="1" w:lastColumn="0" w:noHBand="0" w:noVBand="1"/>
      </w:tblPr>
      <w:tblGrid>
        <w:gridCol w:w="3006"/>
        <w:gridCol w:w="3006"/>
        <w:gridCol w:w="3007"/>
      </w:tblGrid>
      <w:tr w:rsidR="006576C3" w14:paraId="637ADCCD" w14:textId="77777777" w:rsidTr="006576C3">
        <w:tc>
          <w:tcPr>
            <w:tcW w:w="3006" w:type="dxa"/>
          </w:tcPr>
          <w:p w14:paraId="0890DEC6" w14:textId="2A494729" w:rsidR="006576C3" w:rsidRDefault="006576C3" w:rsidP="0019310E">
            <w:pPr>
              <w:spacing w:line="360" w:lineRule="auto"/>
            </w:pPr>
            <w:r w:rsidRPr="00871ADE">
              <w:t>Year</w:t>
            </w:r>
          </w:p>
        </w:tc>
        <w:tc>
          <w:tcPr>
            <w:tcW w:w="3006" w:type="dxa"/>
          </w:tcPr>
          <w:p w14:paraId="38BF10DF" w14:textId="583BAA30" w:rsidR="006576C3" w:rsidRDefault="006576C3" w:rsidP="0019310E">
            <w:pPr>
              <w:spacing w:line="360" w:lineRule="auto"/>
            </w:pPr>
            <w:r w:rsidRPr="00871ADE">
              <w:t>Cash Flow</w:t>
            </w:r>
          </w:p>
        </w:tc>
        <w:tc>
          <w:tcPr>
            <w:tcW w:w="3007" w:type="dxa"/>
          </w:tcPr>
          <w:p w14:paraId="14F704AB" w14:textId="03FCD96B" w:rsidR="006576C3" w:rsidRDefault="006576C3" w:rsidP="0019310E">
            <w:pPr>
              <w:spacing w:line="360" w:lineRule="auto"/>
            </w:pPr>
            <w:r w:rsidRPr="00871ADE">
              <w:t>Cumulative</w:t>
            </w:r>
          </w:p>
        </w:tc>
      </w:tr>
      <w:tr w:rsidR="006576C3" w14:paraId="294DE709" w14:textId="77777777" w:rsidTr="006576C3">
        <w:tc>
          <w:tcPr>
            <w:tcW w:w="3006" w:type="dxa"/>
          </w:tcPr>
          <w:p w14:paraId="7B7585A7" w14:textId="162D9984" w:rsidR="006576C3" w:rsidRDefault="006576C3" w:rsidP="0019310E">
            <w:pPr>
              <w:spacing w:line="360" w:lineRule="auto"/>
            </w:pPr>
            <w:r w:rsidRPr="00871ADE">
              <w:t>1</w:t>
            </w:r>
          </w:p>
        </w:tc>
        <w:tc>
          <w:tcPr>
            <w:tcW w:w="3006" w:type="dxa"/>
          </w:tcPr>
          <w:p w14:paraId="6695480F" w14:textId="6E6726E8" w:rsidR="006576C3" w:rsidRDefault="006576C3" w:rsidP="0019310E">
            <w:pPr>
              <w:spacing w:line="360" w:lineRule="auto"/>
            </w:pPr>
            <w:r w:rsidRPr="00871ADE">
              <w:t>10</w:t>
            </w:r>
          </w:p>
        </w:tc>
        <w:tc>
          <w:tcPr>
            <w:tcW w:w="3007" w:type="dxa"/>
          </w:tcPr>
          <w:p w14:paraId="07FA52FA" w14:textId="064C76D7" w:rsidR="006576C3" w:rsidRDefault="006576C3" w:rsidP="0019310E">
            <w:pPr>
              <w:spacing w:line="360" w:lineRule="auto"/>
            </w:pPr>
            <w:r w:rsidRPr="00871ADE">
              <w:t>10</w:t>
            </w:r>
          </w:p>
        </w:tc>
      </w:tr>
      <w:tr w:rsidR="006576C3" w14:paraId="708E6C6E" w14:textId="77777777" w:rsidTr="006576C3">
        <w:tc>
          <w:tcPr>
            <w:tcW w:w="3006" w:type="dxa"/>
          </w:tcPr>
          <w:p w14:paraId="2CA5102C" w14:textId="3E77C097" w:rsidR="006576C3" w:rsidRDefault="006576C3" w:rsidP="0019310E">
            <w:pPr>
              <w:spacing w:line="360" w:lineRule="auto"/>
            </w:pPr>
            <w:r w:rsidRPr="00871ADE">
              <w:t>2</w:t>
            </w:r>
          </w:p>
        </w:tc>
        <w:tc>
          <w:tcPr>
            <w:tcW w:w="3006" w:type="dxa"/>
          </w:tcPr>
          <w:p w14:paraId="536A41E6" w14:textId="13243A53" w:rsidR="006576C3" w:rsidRDefault="006576C3" w:rsidP="0019310E">
            <w:pPr>
              <w:spacing w:line="360" w:lineRule="auto"/>
            </w:pPr>
            <w:r w:rsidRPr="00871ADE">
              <w:t>12</w:t>
            </w:r>
          </w:p>
        </w:tc>
        <w:tc>
          <w:tcPr>
            <w:tcW w:w="3007" w:type="dxa"/>
          </w:tcPr>
          <w:p w14:paraId="2E6EED32" w14:textId="6FDE30FB" w:rsidR="006576C3" w:rsidRDefault="006576C3" w:rsidP="0019310E">
            <w:pPr>
              <w:spacing w:line="360" w:lineRule="auto"/>
            </w:pPr>
            <w:r w:rsidRPr="00871ADE">
              <w:t>22</w:t>
            </w:r>
          </w:p>
        </w:tc>
      </w:tr>
      <w:tr w:rsidR="006576C3" w14:paraId="66A90FE5" w14:textId="77777777" w:rsidTr="006576C3">
        <w:tc>
          <w:tcPr>
            <w:tcW w:w="3006" w:type="dxa"/>
          </w:tcPr>
          <w:p w14:paraId="22E2ACED" w14:textId="3A09FB2E" w:rsidR="006576C3" w:rsidRDefault="006576C3" w:rsidP="0019310E">
            <w:pPr>
              <w:spacing w:line="360" w:lineRule="auto"/>
            </w:pPr>
            <w:r w:rsidRPr="00871ADE">
              <w:t>3</w:t>
            </w:r>
          </w:p>
        </w:tc>
        <w:tc>
          <w:tcPr>
            <w:tcW w:w="3006" w:type="dxa"/>
          </w:tcPr>
          <w:p w14:paraId="6D10C867" w14:textId="2BF5E010" w:rsidR="006576C3" w:rsidRDefault="006576C3" w:rsidP="0019310E">
            <w:pPr>
              <w:spacing w:line="360" w:lineRule="auto"/>
            </w:pPr>
            <w:r w:rsidRPr="00871ADE">
              <w:t>14</w:t>
            </w:r>
          </w:p>
        </w:tc>
        <w:tc>
          <w:tcPr>
            <w:tcW w:w="3007" w:type="dxa"/>
          </w:tcPr>
          <w:p w14:paraId="37E4FC1F" w14:textId="12A1A32D" w:rsidR="006576C3" w:rsidRDefault="006576C3" w:rsidP="0019310E">
            <w:pPr>
              <w:spacing w:line="360" w:lineRule="auto"/>
            </w:pPr>
            <w:r w:rsidRPr="00871ADE">
              <w:t>36</w:t>
            </w:r>
          </w:p>
        </w:tc>
      </w:tr>
      <w:tr w:rsidR="006576C3" w14:paraId="7C468C68" w14:textId="77777777" w:rsidTr="006576C3">
        <w:tc>
          <w:tcPr>
            <w:tcW w:w="3006" w:type="dxa"/>
          </w:tcPr>
          <w:p w14:paraId="7ED3ADD6" w14:textId="5DFDB543" w:rsidR="006576C3" w:rsidRDefault="006576C3" w:rsidP="0019310E">
            <w:pPr>
              <w:spacing w:line="360" w:lineRule="auto"/>
            </w:pPr>
            <w:r w:rsidRPr="00871ADE">
              <w:t>4</w:t>
            </w:r>
          </w:p>
        </w:tc>
        <w:tc>
          <w:tcPr>
            <w:tcW w:w="3006" w:type="dxa"/>
          </w:tcPr>
          <w:p w14:paraId="19C0EF4B" w14:textId="691FA2DB" w:rsidR="006576C3" w:rsidRDefault="006576C3" w:rsidP="0019310E">
            <w:pPr>
              <w:spacing w:line="360" w:lineRule="auto"/>
            </w:pPr>
            <w:r w:rsidRPr="00871ADE">
              <w:t>10</w:t>
            </w:r>
          </w:p>
        </w:tc>
        <w:tc>
          <w:tcPr>
            <w:tcW w:w="3007" w:type="dxa"/>
          </w:tcPr>
          <w:p w14:paraId="19A8D02A" w14:textId="7DB78B63" w:rsidR="006576C3" w:rsidRDefault="006576C3" w:rsidP="0019310E">
            <w:pPr>
              <w:spacing w:line="360" w:lineRule="auto"/>
            </w:pPr>
            <w:r w:rsidRPr="00871ADE">
              <w:t>46</w:t>
            </w:r>
          </w:p>
        </w:tc>
      </w:tr>
    </w:tbl>
    <w:p w14:paraId="01BD60A0" w14:textId="77777777" w:rsidR="008845B9" w:rsidRDefault="008845B9" w:rsidP="0019310E">
      <w:r>
        <w:t>Initial investment: £40m</w:t>
      </w:r>
    </w:p>
    <w:p w14:paraId="593089A1" w14:textId="77777777" w:rsidR="008845B9" w:rsidRDefault="008845B9" w:rsidP="0019310E">
      <w:r>
        <w:t>Recovered at Year 3: £36m</w:t>
      </w:r>
    </w:p>
    <w:p w14:paraId="361CC57A" w14:textId="77777777" w:rsidR="008845B9" w:rsidRDefault="008845B9" w:rsidP="0019310E">
      <w:r>
        <w:lastRenderedPageBreak/>
        <w:t>Still needed: £4m</w:t>
      </w:r>
    </w:p>
    <w:p w14:paraId="45542D29" w14:textId="6601C064" w:rsidR="008845B9" w:rsidRDefault="008845B9" w:rsidP="0019310E">
      <w:r>
        <w:t>Year 4 inflow: £10m → 4/10 = 0.4 years</w:t>
      </w:r>
    </w:p>
    <w:p w14:paraId="4429947D" w14:textId="4AF9BE80" w:rsidR="00616971" w:rsidRDefault="008845B9" w:rsidP="0019310E">
      <w:r>
        <w:t>PBP (A) = 3.4 years</w:t>
      </w:r>
    </w:p>
    <w:p w14:paraId="31D10D02" w14:textId="6D229698" w:rsidR="00946851" w:rsidRDefault="00946851" w:rsidP="0019310E">
      <w:r>
        <w:t>Initial capital outlay of £30m will be recovered in Year 5.</w:t>
      </w:r>
    </w:p>
    <w:p w14:paraId="1AF2A630" w14:textId="69DD5FFB" w:rsidR="00946851" w:rsidRDefault="00946851" w:rsidP="0019310E">
      <w:r>
        <w:t>PBP (B) = 5.0 year</w:t>
      </w:r>
    </w:p>
    <w:p w14:paraId="18EBA147" w14:textId="4744E072" w:rsidR="0019310E" w:rsidRDefault="001646AE" w:rsidP="0019310E">
      <w:r>
        <w:t>The initial</w:t>
      </w:r>
      <w:r w:rsidR="0019310E">
        <w:t xml:space="preserve"> investment of 50m is surpassed in Year 4.</w:t>
      </w:r>
    </w:p>
    <w:p w14:paraId="2296D791" w14:textId="77777777" w:rsidR="0019310E" w:rsidRDefault="0019310E" w:rsidP="0019310E">
      <w:r>
        <w:t>Still needed at Year 3: £15m</w:t>
      </w:r>
    </w:p>
    <w:p w14:paraId="058D5B3E" w14:textId="645AA4C4" w:rsidR="0019310E" w:rsidRDefault="0019310E" w:rsidP="0019310E">
      <w:r>
        <w:t>Year 4 inflow: £25m → 15/25 = 0.6 years</w:t>
      </w:r>
    </w:p>
    <w:p w14:paraId="7BCB7329" w14:textId="77777777" w:rsidR="0019310E" w:rsidRDefault="0019310E" w:rsidP="0019310E">
      <w:r>
        <w:t>PBP (C) = 3.6 years</w:t>
      </w:r>
    </w:p>
    <w:p w14:paraId="2F2BD411" w14:textId="77777777" w:rsidR="003976A9" w:rsidRDefault="003976A9" w:rsidP="003976A9">
      <w:pPr>
        <w:keepNext/>
        <w:jc w:val="center"/>
      </w:pPr>
      <w:r>
        <w:rPr>
          <w:noProof/>
        </w:rPr>
        <w:drawing>
          <wp:inline distT="0" distB="0" distL="0" distR="0" wp14:anchorId="09BDCCC4" wp14:editId="51652862">
            <wp:extent cx="5419725" cy="3286125"/>
            <wp:effectExtent l="0" t="0" r="9525" b="9525"/>
            <wp:docPr id="169293943"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F735B7B" w14:textId="36AEF4A3" w:rsidR="003976A9" w:rsidRDefault="003976A9" w:rsidP="003976A9">
      <w:pPr>
        <w:pStyle w:val="Caption"/>
        <w:spacing w:line="360" w:lineRule="auto"/>
        <w:jc w:val="center"/>
        <w:rPr>
          <w:sz w:val="24"/>
          <w:szCs w:val="24"/>
        </w:rPr>
      </w:pPr>
      <w:bookmarkStart w:id="32" w:name="_Toc216707214"/>
      <w:r w:rsidRPr="003976A9">
        <w:rPr>
          <w:sz w:val="24"/>
          <w:szCs w:val="24"/>
        </w:rPr>
        <w:t xml:space="preserve">Figure </w:t>
      </w:r>
      <w:r w:rsidRPr="003976A9">
        <w:rPr>
          <w:sz w:val="24"/>
          <w:szCs w:val="24"/>
        </w:rPr>
        <w:fldChar w:fldCharType="begin"/>
      </w:r>
      <w:r w:rsidRPr="003976A9">
        <w:rPr>
          <w:sz w:val="24"/>
          <w:szCs w:val="24"/>
        </w:rPr>
        <w:instrText xml:space="preserve"> SEQ Figure \* ARABIC </w:instrText>
      </w:r>
      <w:r w:rsidRPr="003976A9">
        <w:rPr>
          <w:sz w:val="24"/>
          <w:szCs w:val="24"/>
        </w:rPr>
        <w:fldChar w:fldCharType="separate"/>
      </w:r>
      <w:r w:rsidR="0044216B">
        <w:rPr>
          <w:noProof/>
          <w:sz w:val="24"/>
          <w:szCs w:val="24"/>
        </w:rPr>
        <w:t>3</w:t>
      </w:r>
      <w:r w:rsidRPr="003976A9">
        <w:rPr>
          <w:sz w:val="24"/>
          <w:szCs w:val="24"/>
        </w:rPr>
        <w:fldChar w:fldCharType="end"/>
      </w:r>
      <w:r w:rsidRPr="003976A9">
        <w:rPr>
          <w:sz w:val="24"/>
          <w:szCs w:val="24"/>
        </w:rPr>
        <w:t>PBP Comparison</w:t>
      </w:r>
      <w:bookmarkEnd w:id="32"/>
    </w:p>
    <w:p w14:paraId="7DAF1D10" w14:textId="77777777" w:rsidR="003976A9" w:rsidRPr="003976A9" w:rsidRDefault="003976A9" w:rsidP="003976A9">
      <w:r w:rsidRPr="003976A9">
        <w:t>Fastest payback: Project A</w:t>
      </w:r>
    </w:p>
    <w:p w14:paraId="135169D2" w14:textId="4C5BB7ED" w:rsidR="005611E9" w:rsidRDefault="005611E9" w:rsidP="005611E9">
      <w:pPr>
        <w:pStyle w:val="Heading2"/>
      </w:pPr>
      <w:bookmarkStart w:id="33" w:name="_Toc216707202"/>
      <w:r>
        <w:t>Accounting rate of Return (ARR).</w:t>
      </w:r>
      <w:bookmarkEnd w:id="33"/>
    </w:p>
    <w:p w14:paraId="26DCCBCC" w14:textId="0C3939CE" w:rsidR="005611E9" w:rsidRDefault="005611E9" w:rsidP="005611E9">
      <w:r>
        <w:t>ARR = Profit per year on investment/Initial investment.</w:t>
      </w:r>
    </w:p>
    <w:p w14:paraId="6314007A" w14:textId="0A6B5ACC" w:rsidR="005611E9" w:rsidRDefault="005611E9" w:rsidP="005611E9">
      <w:r>
        <w:t>Profit = Cash Flow- Depreciation.</w:t>
      </w:r>
    </w:p>
    <w:p w14:paraId="11633BF0" w14:textId="77777777" w:rsidR="005611E9" w:rsidRDefault="005611E9" w:rsidP="005611E9">
      <w:r>
        <w:t>ARR Calculations</w:t>
      </w:r>
    </w:p>
    <w:p w14:paraId="2517EE75" w14:textId="50684CEB" w:rsidR="005611E9" w:rsidRPr="005611E9" w:rsidRDefault="005611E9" w:rsidP="005611E9">
      <w:pPr>
        <w:rPr>
          <w:b/>
          <w:bCs/>
        </w:rPr>
      </w:pPr>
      <w:r w:rsidRPr="005611E9">
        <w:rPr>
          <w:b/>
          <w:bCs/>
        </w:rPr>
        <w:lastRenderedPageBreak/>
        <w:t>Project A</w:t>
      </w:r>
    </w:p>
    <w:p w14:paraId="2223B428" w14:textId="77777777" w:rsidR="005611E9" w:rsidRDefault="005611E9" w:rsidP="005611E9">
      <w:r>
        <w:t>Average annual cash flow: (10+12+14+10+8) / 5 = 10.8</w:t>
      </w:r>
    </w:p>
    <w:p w14:paraId="4EC3181B" w14:textId="77777777" w:rsidR="005611E9" w:rsidRDefault="005611E9" w:rsidP="005611E9">
      <w:r>
        <w:t>Profit = 10.8 – 8 = 2.8</w:t>
      </w:r>
    </w:p>
    <w:p w14:paraId="3971E362" w14:textId="40BA9163" w:rsidR="005611E9" w:rsidRDefault="005611E9" w:rsidP="005611E9">
      <w:r>
        <w:t>ARR = 2.8 / 40 = 7%</w:t>
      </w:r>
    </w:p>
    <w:p w14:paraId="164BA2AA" w14:textId="73B6A3E6" w:rsidR="005611E9" w:rsidRPr="005611E9" w:rsidRDefault="005611E9" w:rsidP="005611E9">
      <w:pPr>
        <w:rPr>
          <w:b/>
          <w:bCs/>
        </w:rPr>
      </w:pPr>
      <w:r w:rsidRPr="005611E9">
        <w:rPr>
          <w:b/>
          <w:bCs/>
        </w:rPr>
        <w:t>Project B</w:t>
      </w:r>
    </w:p>
    <w:p w14:paraId="6EAC1E3C" w14:textId="77777777" w:rsidR="005611E9" w:rsidRDefault="005611E9" w:rsidP="005611E9">
      <w:r>
        <w:t>Average cash flow = 6</w:t>
      </w:r>
    </w:p>
    <w:p w14:paraId="5C10D2C4" w14:textId="77777777" w:rsidR="005611E9" w:rsidRDefault="005611E9" w:rsidP="005611E9">
      <w:r>
        <w:t>Profit = 6 – 6 = 0</w:t>
      </w:r>
    </w:p>
    <w:p w14:paraId="202B4DE5" w14:textId="56A0D921" w:rsidR="005611E9" w:rsidRDefault="005611E9" w:rsidP="005611E9">
      <w:r>
        <w:t>ARR = 0 / 30 = 0%</w:t>
      </w:r>
    </w:p>
    <w:p w14:paraId="24A54409" w14:textId="40A35FD9" w:rsidR="005611E9" w:rsidRPr="005611E9" w:rsidRDefault="005611E9" w:rsidP="005611E9">
      <w:pPr>
        <w:rPr>
          <w:b/>
          <w:bCs/>
        </w:rPr>
      </w:pPr>
      <w:r w:rsidRPr="005611E9">
        <w:rPr>
          <w:b/>
          <w:bCs/>
        </w:rPr>
        <w:t>Project C</w:t>
      </w:r>
    </w:p>
    <w:p w14:paraId="732FC3E4" w14:textId="77777777" w:rsidR="005611E9" w:rsidRDefault="005611E9" w:rsidP="005611E9">
      <w:r>
        <w:t>Average annual cash flow: (5+10+20+25+15) / 5 = 15</w:t>
      </w:r>
    </w:p>
    <w:p w14:paraId="0A7AEBA1" w14:textId="77777777" w:rsidR="005611E9" w:rsidRDefault="005611E9" w:rsidP="005611E9">
      <w:r>
        <w:t>Profit = 15 – 10 = 5</w:t>
      </w:r>
    </w:p>
    <w:p w14:paraId="606100D8" w14:textId="28AE4540" w:rsidR="003976A9" w:rsidRDefault="005611E9" w:rsidP="005611E9">
      <w:r>
        <w:t>ARR = 5 / 50 = 10%</w:t>
      </w:r>
    </w:p>
    <w:p w14:paraId="101770F2" w14:textId="77777777" w:rsidR="007700E3" w:rsidRDefault="007700E3" w:rsidP="007700E3">
      <w:pPr>
        <w:keepNext/>
      </w:pPr>
      <w:r>
        <w:rPr>
          <w:noProof/>
        </w:rPr>
        <w:drawing>
          <wp:inline distT="0" distB="0" distL="0" distR="0" wp14:anchorId="43B6B8DD" wp14:editId="0E9E6065">
            <wp:extent cx="5733415" cy="3032760"/>
            <wp:effectExtent l="0" t="0" r="635" b="15240"/>
            <wp:docPr id="1493876882"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9A414B7" w14:textId="308DE301" w:rsidR="007700E3" w:rsidRDefault="007700E3" w:rsidP="007700E3">
      <w:pPr>
        <w:pStyle w:val="Caption"/>
        <w:rPr>
          <w:sz w:val="24"/>
          <w:szCs w:val="24"/>
        </w:rPr>
      </w:pPr>
      <w:bookmarkStart w:id="34" w:name="_Toc216707215"/>
      <w:r w:rsidRPr="007700E3">
        <w:rPr>
          <w:sz w:val="24"/>
          <w:szCs w:val="24"/>
        </w:rPr>
        <w:t xml:space="preserve">Figure </w:t>
      </w:r>
      <w:r w:rsidRPr="007700E3">
        <w:rPr>
          <w:sz w:val="24"/>
          <w:szCs w:val="24"/>
        </w:rPr>
        <w:fldChar w:fldCharType="begin"/>
      </w:r>
      <w:r w:rsidRPr="007700E3">
        <w:rPr>
          <w:sz w:val="24"/>
          <w:szCs w:val="24"/>
        </w:rPr>
        <w:instrText xml:space="preserve"> SEQ Figure \* ARABIC </w:instrText>
      </w:r>
      <w:r w:rsidRPr="007700E3">
        <w:rPr>
          <w:sz w:val="24"/>
          <w:szCs w:val="24"/>
        </w:rPr>
        <w:fldChar w:fldCharType="separate"/>
      </w:r>
      <w:r w:rsidR="0044216B">
        <w:rPr>
          <w:noProof/>
          <w:sz w:val="24"/>
          <w:szCs w:val="24"/>
        </w:rPr>
        <w:t>4</w:t>
      </w:r>
      <w:r w:rsidRPr="007700E3">
        <w:rPr>
          <w:sz w:val="24"/>
          <w:szCs w:val="24"/>
        </w:rPr>
        <w:fldChar w:fldCharType="end"/>
      </w:r>
      <w:r w:rsidRPr="007700E3">
        <w:rPr>
          <w:sz w:val="24"/>
          <w:szCs w:val="24"/>
        </w:rPr>
        <w:t>ARR Comparison</w:t>
      </w:r>
      <w:bookmarkEnd w:id="34"/>
    </w:p>
    <w:p w14:paraId="4BEAA856" w14:textId="79DF8437" w:rsidR="00074B75" w:rsidRDefault="00074B75" w:rsidP="00074B75">
      <w:pPr>
        <w:pStyle w:val="Heading2"/>
      </w:pPr>
      <w:bookmarkStart w:id="35" w:name="_Toc216707203"/>
      <w:r>
        <w:t>Net Present Value (NPV)</w:t>
      </w:r>
      <w:bookmarkEnd w:id="35"/>
    </w:p>
    <w:p w14:paraId="488722C9" w14:textId="107C7ACA" w:rsidR="007700E3" w:rsidRDefault="00074B75" w:rsidP="00074B75">
      <w:r>
        <w:t xml:space="preserve">NPV employs discounting cash flow at </w:t>
      </w:r>
      <w:r w:rsidR="004F0C58">
        <w:t xml:space="preserve">a </w:t>
      </w:r>
      <w:r>
        <w:t>10% rate.</w:t>
      </w:r>
    </w:p>
    <w:p w14:paraId="44DAD4F7" w14:textId="164B1BCD" w:rsidR="00852692" w:rsidRPr="00852692" w:rsidRDefault="00852692" w:rsidP="00852692">
      <w:pPr>
        <w:rPr>
          <w:b/>
          <w:bCs/>
        </w:rPr>
      </w:pPr>
      <w:r w:rsidRPr="00852692">
        <w:rPr>
          <w:b/>
          <w:bCs/>
        </w:rPr>
        <w:t>NPV Results</w:t>
      </w:r>
    </w:p>
    <w:p w14:paraId="6C4D36A0" w14:textId="77777777" w:rsidR="00852692" w:rsidRDefault="00852692" w:rsidP="00852692">
      <w:pPr>
        <w:keepNext/>
      </w:pPr>
      <w:r>
        <w:rPr>
          <w:noProof/>
        </w:rPr>
        <w:lastRenderedPageBreak/>
        <w:drawing>
          <wp:inline distT="0" distB="0" distL="0" distR="0" wp14:anchorId="67DB4DBF" wp14:editId="6342894D">
            <wp:extent cx="5400000" cy="2700000"/>
            <wp:effectExtent l="0" t="0" r="10795" b="5715"/>
            <wp:docPr id="1281039226"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AFE371D-3970-4278-8D8E-3C61BAA7B8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5BA81FC" w14:textId="28976B11" w:rsidR="00074B75" w:rsidRDefault="00852692" w:rsidP="00852692">
      <w:pPr>
        <w:pStyle w:val="Caption"/>
        <w:rPr>
          <w:sz w:val="24"/>
          <w:szCs w:val="24"/>
        </w:rPr>
      </w:pPr>
      <w:bookmarkStart w:id="36" w:name="_Toc216707216"/>
      <w:r w:rsidRPr="00852692">
        <w:rPr>
          <w:sz w:val="24"/>
          <w:szCs w:val="24"/>
        </w:rPr>
        <w:t xml:space="preserve">Figure </w:t>
      </w:r>
      <w:r w:rsidRPr="00852692">
        <w:rPr>
          <w:sz w:val="24"/>
          <w:szCs w:val="24"/>
        </w:rPr>
        <w:fldChar w:fldCharType="begin"/>
      </w:r>
      <w:r w:rsidRPr="00852692">
        <w:rPr>
          <w:sz w:val="24"/>
          <w:szCs w:val="24"/>
        </w:rPr>
        <w:instrText xml:space="preserve"> SEQ Figure \* ARABIC </w:instrText>
      </w:r>
      <w:r w:rsidRPr="00852692">
        <w:rPr>
          <w:sz w:val="24"/>
          <w:szCs w:val="24"/>
        </w:rPr>
        <w:fldChar w:fldCharType="separate"/>
      </w:r>
      <w:r w:rsidR="0044216B">
        <w:rPr>
          <w:noProof/>
          <w:sz w:val="24"/>
          <w:szCs w:val="24"/>
        </w:rPr>
        <w:t>5</w:t>
      </w:r>
      <w:r w:rsidRPr="00852692">
        <w:rPr>
          <w:sz w:val="24"/>
          <w:szCs w:val="24"/>
        </w:rPr>
        <w:fldChar w:fldCharType="end"/>
      </w:r>
      <w:r w:rsidRPr="00852692">
        <w:rPr>
          <w:sz w:val="24"/>
          <w:szCs w:val="24"/>
        </w:rPr>
        <w:t>NPV (£m)</w:t>
      </w:r>
      <w:bookmarkEnd w:id="36"/>
    </w:p>
    <w:p w14:paraId="101AD9D4" w14:textId="3543319D" w:rsidR="00AA49B5" w:rsidRDefault="00AA49B5" w:rsidP="00AA49B5">
      <w:r>
        <w:t>Project C is the best in terms of NPV</w:t>
      </w:r>
      <w:r w:rsidR="004F0C58">
        <w:t>,</w:t>
      </w:r>
      <w:r>
        <w:t xml:space="preserve"> generating the most value.</w:t>
      </w:r>
    </w:p>
    <w:p w14:paraId="71807688" w14:textId="192CCF8C" w:rsidR="00AA49B5" w:rsidRDefault="00AA49B5" w:rsidP="00AA49B5">
      <w:r>
        <w:t>Project B kills value</w:t>
      </w:r>
      <w:r w:rsidR="004F0C58">
        <w:t>,</w:t>
      </w:r>
      <w:r>
        <w:t xml:space="preserve"> hence not to be adopted.</w:t>
      </w:r>
    </w:p>
    <w:p w14:paraId="6601BF51" w14:textId="5BCD793B" w:rsidR="00AA49B5" w:rsidRDefault="00AA49B5" w:rsidP="00AA49B5">
      <w:pPr>
        <w:pStyle w:val="Heading2"/>
      </w:pPr>
      <w:bookmarkStart w:id="37" w:name="_Toc216707204"/>
      <w:r>
        <w:t>Profitability Index (PI)</w:t>
      </w:r>
      <w:bookmarkEnd w:id="37"/>
    </w:p>
    <w:p w14:paraId="28C4EA2F" w14:textId="3DE08B85" w:rsidR="00AA49B5" w:rsidRPr="00852692" w:rsidRDefault="00AA49B5" w:rsidP="00AA49B5">
      <w:r>
        <w:t>PI = PV of inflows /Initial investment.</w:t>
      </w:r>
    </w:p>
    <w:p w14:paraId="5E71D574" w14:textId="77777777" w:rsidR="002B08AB" w:rsidRDefault="002B08AB" w:rsidP="002B08AB">
      <w:pPr>
        <w:keepNext/>
      </w:pPr>
      <w:r>
        <w:rPr>
          <w:noProof/>
        </w:rPr>
        <w:drawing>
          <wp:inline distT="0" distB="0" distL="0" distR="0" wp14:anchorId="6E9803F2" wp14:editId="58DC5605">
            <wp:extent cx="5400000" cy="2700000"/>
            <wp:effectExtent l="0" t="0" r="10795" b="5715"/>
            <wp:docPr id="1400426031"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03BE7E5-3B7C-42A0-B52E-5263249B16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C755AEE" w14:textId="700DBD33" w:rsidR="00852692" w:rsidRPr="002B08AB" w:rsidRDefault="002B08AB" w:rsidP="002B08AB">
      <w:pPr>
        <w:pStyle w:val="Caption"/>
        <w:rPr>
          <w:sz w:val="24"/>
          <w:szCs w:val="24"/>
        </w:rPr>
      </w:pPr>
      <w:bookmarkStart w:id="38" w:name="_Toc216707217"/>
      <w:r w:rsidRPr="002B08AB">
        <w:rPr>
          <w:sz w:val="24"/>
          <w:szCs w:val="24"/>
        </w:rPr>
        <w:t xml:space="preserve">Figure </w:t>
      </w:r>
      <w:r w:rsidRPr="002B08AB">
        <w:rPr>
          <w:sz w:val="24"/>
          <w:szCs w:val="24"/>
        </w:rPr>
        <w:fldChar w:fldCharType="begin"/>
      </w:r>
      <w:r w:rsidRPr="002B08AB">
        <w:rPr>
          <w:sz w:val="24"/>
          <w:szCs w:val="24"/>
        </w:rPr>
        <w:instrText xml:space="preserve"> SEQ Figure \* ARABIC </w:instrText>
      </w:r>
      <w:r w:rsidRPr="002B08AB">
        <w:rPr>
          <w:sz w:val="24"/>
          <w:szCs w:val="24"/>
        </w:rPr>
        <w:fldChar w:fldCharType="separate"/>
      </w:r>
      <w:r w:rsidR="0044216B">
        <w:rPr>
          <w:noProof/>
          <w:sz w:val="24"/>
          <w:szCs w:val="24"/>
        </w:rPr>
        <w:t>6</w:t>
      </w:r>
      <w:r w:rsidRPr="002B08AB">
        <w:rPr>
          <w:sz w:val="24"/>
          <w:szCs w:val="24"/>
        </w:rPr>
        <w:fldChar w:fldCharType="end"/>
      </w:r>
      <w:r w:rsidRPr="002B08AB">
        <w:rPr>
          <w:sz w:val="24"/>
          <w:szCs w:val="24"/>
        </w:rPr>
        <w:t>Profitability Index (PI) Comparison</w:t>
      </w:r>
      <w:bookmarkEnd w:id="38"/>
    </w:p>
    <w:p w14:paraId="231F7991" w14:textId="47BEABC5" w:rsidR="00852692" w:rsidRDefault="002B08AB" w:rsidP="00074B75">
      <w:r w:rsidRPr="002B08AB">
        <w:t xml:space="preserve">Project C's PI is </w:t>
      </w:r>
      <w:r w:rsidR="004F0C58">
        <w:t xml:space="preserve">the </w:t>
      </w:r>
      <w:r w:rsidRPr="002B08AB">
        <w:t>highest</w:t>
      </w:r>
      <w:r w:rsidR="004F0C58">
        <w:t>,</w:t>
      </w:r>
      <w:r w:rsidRPr="002B08AB">
        <w:t xml:space="preserve"> i.e. it pays the highest rate of returns on the money invested.</w:t>
      </w:r>
    </w:p>
    <w:p w14:paraId="49BB1E6B" w14:textId="2A61B658" w:rsidR="002B08AB" w:rsidRDefault="002B08AB" w:rsidP="002B08AB">
      <w:pPr>
        <w:pStyle w:val="Heading2"/>
      </w:pPr>
      <w:bookmarkStart w:id="39" w:name="_Toc216707205"/>
      <w:r>
        <w:lastRenderedPageBreak/>
        <w:t>Internal Rate of Return (IRR)</w:t>
      </w:r>
      <w:bookmarkEnd w:id="39"/>
    </w:p>
    <w:p w14:paraId="04C0CAC6" w14:textId="77777777" w:rsidR="000A60D3" w:rsidRDefault="000A60D3" w:rsidP="000A60D3">
      <w:pPr>
        <w:keepNext/>
      </w:pPr>
      <w:r>
        <w:rPr>
          <w:noProof/>
        </w:rPr>
        <w:drawing>
          <wp:inline distT="0" distB="0" distL="0" distR="0" wp14:anchorId="7E650C88" wp14:editId="059EC7E1">
            <wp:extent cx="5400000" cy="2700000"/>
            <wp:effectExtent l="0" t="0" r="10795" b="5715"/>
            <wp:docPr id="105058009"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69564A9-BF42-4894-9276-5F844B683F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449C688" w14:textId="5B8F9A96" w:rsidR="000A60D3" w:rsidRPr="000A60D3" w:rsidRDefault="000A60D3" w:rsidP="000A60D3">
      <w:pPr>
        <w:pStyle w:val="Caption"/>
        <w:rPr>
          <w:sz w:val="24"/>
          <w:szCs w:val="24"/>
        </w:rPr>
      </w:pPr>
      <w:bookmarkStart w:id="40" w:name="_Toc216707218"/>
      <w:r w:rsidRPr="000A60D3">
        <w:rPr>
          <w:sz w:val="24"/>
          <w:szCs w:val="24"/>
        </w:rPr>
        <w:t xml:space="preserve">Figure </w:t>
      </w:r>
      <w:r w:rsidRPr="000A60D3">
        <w:rPr>
          <w:sz w:val="24"/>
          <w:szCs w:val="24"/>
        </w:rPr>
        <w:fldChar w:fldCharType="begin"/>
      </w:r>
      <w:r w:rsidRPr="000A60D3">
        <w:rPr>
          <w:sz w:val="24"/>
          <w:szCs w:val="24"/>
        </w:rPr>
        <w:instrText xml:space="preserve"> SEQ Figure \* ARABIC </w:instrText>
      </w:r>
      <w:r w:rsidRPr="000A60D3">
        <w:rPr>
          <w:sz w:val="24"/>
          <w:szCs w:val="24"/>
        </w:rPr>
        <w:fldChar w:fldCharType="separate"/>
      </w:r>
      <w:r w:rsidR="0044216B">
        <w:rPr>
          <w:noProof/>
          <w:sz w:val="24"/>
          <w:szCs w:val="24"/>
        </w:rPr>
        <w:t>7</w:t>
      </w:r>
      <w:r w:rsidRPr="000A60D3">
        <w:rPr>
          <w:sz w:val="24"/>
          <w:szCs w:val="24"/>
        </w:rPr>
        <w:fldChar w:fldCharType="end"/>
      </w:r>
      <w:r w:rsidRPr="000A60D3">
        <w:rPr>
          <w:sz w:val="24"/>
          <w:szCs w:val="24"/>
        </w:rPr>
        <w:t>IRR Comparison</w:t>
      </w:r>
      <w:bookmarkEnd w:id="40"/>
    </w:p>
    <w:p w14:paraId="2C679B94" w14:textId="249D1D7C" w:rsidR="002B08AB" w:rsidRDefault="002B08AB" w:rsidP="002B08AB">
      <w:r>
        <w:t>The discount rate which causes NPV = 0 is IRR.</w:t>
      </w:r>
    </w:p>
    <w:p w14:paraId="292B0FEE" w14:textId="3A80DEB6" w:rsidR="002B08AB" w:rsidRDefault="002B08AB" w:rsidP="002B08AB">
      <w:r>
        <w:t>Approximate IRR Results:</w:t>
      </w:r>
    </w:p>
    <w:p w14:paraId="7CCA9B4C" w14:textId="7CECBC96" w:rsidR="002B08AB" w:rsidRDefault="002B08AB" w:rsidP="002B08AB">
      <w:r>
        <w:t xml:space="preserve">Project </w:t>
      </w:r>
      <w:proofErr w:type="gramStart"/>
      <w:r>
        <w:t>A</w:t>
      </w:r>
      <w:proofErr w:type="gramEnd"/>
      <w:r>
        <w:t xml:space="preserve"> IRR ≈ 12%</w:t>
      </w:r>
    </w:p>
    <w:p w14:paraId="456DB09F" w14:textId="210BC9D8" w:rsidR="002B08AB" w:rsidRDefault="002B08AB" w:rsidP="002B08AB">
      <w:r>
        <w:t>Project B IRR ≈ 6%</w:t>
      </w:r>
    </w:p>
    <w:p w14:paraId="36A714F4" w14:textId="5C4B26FA" w:rsidR="002B08AB" w:rsidRDefault="002B08AB" w:rsidP="002B08AB">
      <w:r>
        <w:t>Project C IRR ≈ 15%</w:t>
      </w:r>
    </w:p>
    <w:p w14:paraId="42DBB825" w14:textId="77777777" w:rsidR="002B08AB" w:rsidRDefault="002B08AB" w:rsidP="002B08AB">
      <w:r>
        <w:t>Best IRR: Project C</w:t>
      </w:r>
    </w:p>
    <w:p w14:paraId="3D8B61DC" w14:textId="023445AD" w:rsidR="002B08AB" w:rsidRDefault="002B08AB" w:rsidP="002B08AB">
      <w:r>
        <w:t>Worst IRR: Project B</w:t>
      </w:r>
    </w:p>
    <w:p w14:paraId="52F99C98" w14:textId="6D9EC7A9" w:rsidR="000A60D3" w:rsidRPr="000A60D3" w:rsidRDefault="000A60D3" w:rsidP="000A60D3">
      <w:pPr>
        <w:pStyle w:val="Caption"/>
        <w:keepNext/>
        <w:rPr>
          <w:sz w:val="24"/>
          <w:szCs w:val="24"/>
        </w:rPr>
      </w:pPr>
      <w:bookmarkStart w:id="41" w:name="_Toc216707231"/>
      <w:bookmarkStart w:id="42" w:name="_Toc216895020"/>
      <w:bookmarkStart w:id="43" w:name="_Toc217122906"/>
      <w:r w:rsidRPr="000A60D3">
        <w:rPr>
          <w:sz w:val="24"/>
          <w:szCs w:val="24"/>
        </w:rPr>
        <w:t xml:space="preserve">Table </w:t>
      </w:r>
      <w:r w:rsidR="001646AE">
        <w:rPr>
          <w:sz w:val="24"/>
          <w:szCs w:val="24"/>
        </w:rPr>
        <w:t>3: Overall</w:t>
      </w:r>
      <w:r w:rsidRPr="000A60D3">
        <w:rPr>
          <w:sz w:val="24"/>
          <w:szCs w:val="24"/>
        </w:rPr>
        <w:t xml:space="preserve"> Financial Comparison</w:t>
      </w:r>
      <w:bookmarkEnd w:id="41"/>
      <w:bookmarkEnd w:id="42"/>
      <w:bookmarkEnd w:id="43"/>
    </w:p>
    <w:tbl>
      <w:tblPr>
        <w:tblStyle w:val="TableGrid"/>
        <w:tblW w:w="0" w:type="auto"/>
        <w:tblLook w:val="04A0" w:firstRow="1" w:lastRow="0" w:firstColumn="1" w:lastColumn="0" w:noHBand="0" w:noVBand="1"/>
      </w:tblPr>
      <w:tblGrid>
        <w:gridCol w:w="2254"/>
        <w:gridCol w:w="2255"/>
        <w:gridCol w:w="2255"/>
        <w:gridCol w:w="2255"/>
      </w:tblGrid>
      <w:tr w:rsidR="000A60D3" w14:paraId="1458DB43" w14:textId="77777777" w:rsidTr="000A60D3">
        <w:tc>
          <w:tcPr>
            <w:tcW w:w="2254" w:type="dxa"/>
          </w:tcPr>
          <w:p w14:paraId="11330A95" w14:textId="43E554B2" w:rsidR="000A60D3" w:rsidRDefault="000A60D3" w:rsidP="000A60D3">
            <w:pPr>
              <w:spacing w:line="360" w:lineRule="auto"/>
            </w:pPr>
            <w:r w:rsidRPr="00085EE6">
              <w:t>Measure</w:t>
            </w:r>
          </w:p>
        </w:tc>
        <w:tc>
          <w:tcPr>
            <w:tcW w:w="2255" w:type="dxa"/>
          </w:tcPr>
          <w:p w14:paraId="6E29A69B" w14:textId="4FEF13F2" w:rsidR="000A60D3" w:rsidRDefault="000A60D3" w:rsidP="000A60D3">
            <w:pPr>
              <w:spacing w:line="360" w:lineRule="auto"/>
            </w:pPr>
            <w:r w:rsidRPr="00085EE6">
              <w:t>Project A</w:t>
            </w:r>
          </w:p>
        </w:tc>
        <w:tc>
          <w:tcPr>
            <w:tcW w:w="2255" w:type="dxa"/>
          </w:tcPr>
          <w:p w14:paraId="4EE97627" w14:textId="21DCF83E" w:rsidR="000A60D3" w:rsidRDefault="000A60D3" w:rsidP="000A60D3">
            <w:pPr>
              <w:spacing w:line="360" w:lineRule="auto"/>
            </w:pPr>
            <w:r w:rsidRPr="00085EE6">
              <w:t>Project B</w:t>
            </w:r>
          </w:p>
        </w:tc>
        <w:tc>
          <w:tcPr>
            <w:tcW w:w="2255" w:type="dxa"/>
          </w:tcPr>
          <w:p w14:paraId="6D669B18" w14:textId="352C2762" w:rsidR="000A60D3" w:rsidRDefault="000A60D3" w:rsidP="000A60D3">
            <w:pPr>
              <w:spacing w:line="360" w:lineRule="auto"/>
            </w:pPr>
            <w:r w:rsidRPr="00085EE6">
              <w:t>Project C</w:t>
            </w:r>
          </w:p>
        </w:tc>
      </w:tr>
      <w:tr w:rsidR="000A60D3" w14:paraId="4E237E0A" w14:textId="77777777" w:rsidTr="000A60D3">
        <w:tc>
          <w:tcPr>
            <w:tcW w:w="2254" w:type="dxa"/>
          </w:tcPr>
          <w:p w14:paraId="2FE0506A" w14:textId="79EFB1AA" w:rsidR="000A60D3" w:rsidRDefault="000A60D3" w:rsidP="000A60D3">
            <w:pPr>
              <w:spacing w:line="360" w:lineRule="auto"/>
            </w:pPr>
            <w:r w:rsidRPr="00085EE6">
              <w:t>Payback</w:t>
            </w:r>
          </w:p>
        </w:tc>
        <w:tc>
          <w:tcPr>
            <w:tcW w:w="2255" w:type="dxa"/>
          </w:tcPr>
          <w:p w14:paraId="4B79B964" w14:textId="7B7FC981" w:rsidR="000A60D3" w:rsidRDefault="000A60D3" w:rsidP="000A60D3">
            <w:pPr>
              <w:spacing w:line="360" w:lineRule="auto"/>
            </w:pPr>
            <w:r w:rsidRPr="00085EE6">
              <w:t>3.4 yrs</w:t>
            </w:r>
          </w:p>
        </w:tc>
        <w:tc>
          <w:tcPr>
            <w:tcW w:w="2255" w:type="dxa"/>
          </w:tcPr>
          <w:p w14:paraId="17CA04BA" w14:textId="706258B7" w:rsidR="000A60D3" w:rsidRDefault="000A60D3" w:rsidP="000A60D3">
            <w:pPr>
              <w:spacing w:line="360" w:lineRule="auto"/>
            </w:pPr>
            <w:r w:rsidRPr="00085EE6">
              <w:t>5.0 yrs</w:t>
            </w:r>
          </w:p>
        </w:tc>
        <w:tc>
          <w:tcPr>
            <w:tcW w:w="2255" w:type="dxa"/>
          </w:tcPr>
          <w:p w14:paraId="3C240D6A" w14:textId="07F25241" w:rsidR="000A60D3" w:rsidRDefault="000A60D3" w:rsidP="000A60D3">
            <w:pPr>
              <w:spacing w:line="360" w:lineRule="auto"/>
            </w:pPr>
            <w:r w:rsidRPr="00085EE6">
              <w:t>3.6 yrs</w:t>
            </w:r>
          </w:p>
        </w:tc>
      </w:tr>
      <w:tr w:rsidR="000A60D3" w14:paraId="6831459E" w14:textId="77777777" w:rsidTr="000A60D3">
        <w:tc>
          <w:tcPr>
            <w:tcW w:w="2254" w:type="dxa"/>
          </w:tcPr>
          <w:p w14:paraId="42A71A01" w14:textId="764A3F22" w:rsidR="000A60D3" w:rsidRDefault="000A60D3" w:rsidP="000A60D3">
            <w:pPr>
              <w:spacing w:line="360" w:lineRule="auto"/>
            </w:pPr>
            <w:r w:rsidRPr="00085EE6">
              <w:t>ARR</w:t>
            </w:r>
          </w:p>
        </w:tc>
        <w:tc>
          <w:tcPr>
            <w:tcW w:w="2255" w:type="dxa"/>
          </w:tcPr>
          <w:p w14:paraId="1F9D6012" w14:textId="1964EC0C" w:rsidR="000A60D3" w:rsidRDefault="000A60D3" w:rsidP="000A60D3">
            <w:pPr>
              <w:spacing w:line="360" w:lineRule="auto"/>
            </w:pPr>
            <w:r w:rsidRPr="00085EE6">
              <w:t>7%</w:t>
            </w:r>
          </w:p>
        </w:tc>
        <w:tc>
          <w:tcPr>
            <w:tcW w:w="2255" w:type="dxa"/>
          </w:tcPr>
          <w:p w14:paraId="737B65DB" w14:textId="4FC04307" w:rsidR="000A60D3" w:rsidRDefault="000A60D3" w:rsidP="000A60D3">
            <w:pPr>
              <w:spacing w:line="360" w:lineRule="auto"/>
            </w:pPr>
            <w:r w:rsidRPr="00085EE6">
              <w:t>0%</w:t>
            </w:r>
          </w:p>
        </w:tc>
        <w:tc>
          <w:tcPr>
            <w:tcW w:w="2255" w:type="dxa"/>
          </w:tcPr>
          <w:p w14:paraId="5FFF8229" w14:textId="1DD84600" w:rsidR="000A60D3" w:rsidRDefault="000A60D3" w:rsidP="000A60D3">
            <w:pPr>
              <w:spacing w:line="360" w:lineRule="auto"/>
            </w:pPr>
            <w:r w:rsidRPr="00085EE6">
              <w:t>10%</w:t>
            </w:r>
          </w:p>
        </w:tc>
      </w:tr>
      <w:tr w:rsidR="000A60D3" w14:paraId="69147EF5" w14:textId="77777777" w:rsidTr="000A60D3">
        <w:tc>
          <w:tcPr>
            <w:tcW w:w="2254" w:type="dxa"/>
          </w:tcPr>
          <w:p w14:paraId="4548BFBA" w14:textId="0D023B68" w:rsidR="000A60D3" w:rsidRDefault="000A60D3" w:rsidP="000A60D3">
            <w:pPr>
              <w:spacing w:line="360" w:lineRule="auto"/>
            </w:pPr>
            <w:r w:rsidRPr="00085EE6">
              <w:t>NPV</w:t>
            </w:r>
          </w:p>
        </w:tc>
        <w:tc>
          <w:tcPr>
            <w:tcW w:w="2255" w:type="dxa"/>
          </w:tcPr>
          <w:p w14:paraId="12F009AE" w14:textId="29ADAA3F" w:rsidR="000A60D3" w:rsidRDefault="000A60D3" w:rsidP="000A60D3">
            <w:pPr>
              <w:spacing w:line="360" w:lineRule="auto"/>
            </w:pPr>
            <w:r w:rsidRPr="00085EE6">
              <w:t>+2.57m</w:t>
            </w:r>
          </w:p>
        </w:tc>
        <w:tc>
          <w:tcPr>
            <w:tcW w:w="2255" w:type="dxa"/>
          </w:tcPr>
          <w:p w14:paraId="1DB01A26" w14:textId="066905D6" w:rsidR="000A60D3" w:rsidRDefault="000A60D3" w:rsidP="000A60D3">
            <w:pPr>
              <w:spacing w:line="360" w:lineRule="auto"/>
            </w:pPr>
            <w:r w:rsidRPr="00085EE6">
              <w:t>–2.11m</w:t>
            </w:r>
          </w:p>
        </w:tc>
        <w:tc>
          <w:tcPr>
            <w:tcW w:w="2255" w:type="dxa"/>
          </w:tcPr>
          <w:p w14:paraId="07E7F7A7" w14:textId="06119925" w:rsidR="000A60D3" w:rsidRDefault="000A60D3" w:rsidP="000A60D3">
            <w:pPr>
              <w:spacing w:line="360" w:lineRule="auto"/>
            </w:pPr>
            <w:r w:rsidRPr="00085EE6">
              <w:t>+4.24m</w:t>
            </w:r>
          </w:p>
        </w:tc>
      </w:tr>
      <w:tr w:rsidR="000A60D3" w14:paraId="3BD0B0E0" w14:textId="77777777" w:rsidTr="000A60D3">
        <w:tc>
          <w:tcPr>
            <w:tcW w:w="2254" w:type="dxa"/>
          </w:tcPr>
          <w:p w14:paraId="52576D2C" w14:textId="6C2CCEF8" w:rsidR="000A60D3" w:rsidRDefault="000A60D3" w:rsidP="000A60D3">
            <w:pPr>
              <w:spacing w:line="360" w:lineRule="auto"/>
            </w:pPr>
            <w:r w:rsidRPr="00085EE6">
              <w:t>PI</w:t>
            </w:r>
          </w:p>
        </w:tc>
        <w:tc>
          <w:tcPr>
            <w:tcW w:w="2255" w:type="dxa"/>
          </w:tcPr>
          <w:p w14:paraId="7F040799" w14:textId="0E0CF895" w:rsidR="000A60D3" w:rsidRDefault="000A60D3" w:rsidP="000A60D3">
            <w:pPr>
              <w:spacing w:line="360" w:lineRule="auto"/>
            </w:pPr>
            <w:r w:rsidRPr="00085EE6">
              <w:t>1.06</w:t>
            </w:r>
          </w:p>
        </w:tc>
        <w:tc>
          <w:tcPr>
            <w:tcW w:w="2255" w:type="dxa"/>
          </w:tcPr>
          <w:p w14:paraId="58A477E2" w14:textId="22A9229B" w:rsidR="000A60D3" w:rsidRDefault="000A60D3" w:rsidP="000A60D3">
            <w:pPr>
              <w:spacing w:line="360" w:lineRule="auto"/>
            </w:pPr>
            <w:r w:rsidRPr="00085EE6">
              <w:t>0.93</w:t>
            </w:r>
          </w:p>
        </w:tc>
        <w:tc>
          <w:tcPr>
            <w:tcW w:w="2255" w:type="dxa"/>
          </w:tcPr>
          <w:p w14:paraId="38980A52" w14:textId="4DA149CF" w:rsidR="000A60D3" w:rsidRDefault="000A60D3" w:rsidP="000A60D3">
            <w:pPr>
              <w:spacing w:line="360" w:lineRule="auto"/>
            </w:pPr>
            <w:r w:rsidRPr="00085EE6">
              <w:t>1.08</w:t>
            </w:r>
          </w:p>
        </w:tc>
      </w:tr>
      <w:tr w:rsidR="000A60D3" w14:paraId="6C8CC21E" w14:textId="77777777" w:rsidTr="000A60D3">
        <w:tc>
          <w:tcPr>
            <w:tcW w:w="2254" w:type="dxa"/>
          </w:tcPr>
          <w:p w14:paraId="501E46FC" w14:textId="3F995833" w:rsidR="000A60D3" w:rsidRDefault="000A60D3" w:rsidP="000A60D3">
            <w:pPr>
              <w:spacing w:line="360" w:lineRule="auto"/>
            </w:pPr>
            <w:r w:rsidRPr="00085EE6">
              <w:t>IRR</w:t>
            </w:r>
          </w:p>
        </w:tc>
        <w:tc>
          <w:tcPr>
            <w:tcW w:w="2255" w:type="dxa"/>
          </w:tcPr>
          <w:p w14:paraId="34960192" w14:textId="78D979BC" w:rsidR="000A60D3" w:rsidRDefault="000A60D3" w:rsidP="000A60D3">
            <w:pPr>
              <w:spacing w:line="360" w:lineRule="auto"/>
            </w:pPr>
            <w:r w:rsidRPr="00085EE6">
              <w:t>12%</w:t>
            </w:r>
          </w:p>
        </w:tc>
        <w:tc>
          <w:tcPr>
            <w:tcW w:w="2255" w:type="dxa"/>
          </w:tcPr>
          <w:p w14:paraId="79C71793" w14:textId="4A202000" w:rsidR="000A60D3" w:rsidRDefault="000A60D3" w:rsidP="000A60D3">
            <w:pPr>
              <w:spacing w:line="360" w:lineRule="auto"/>
            </w:pPr>
            <w:r w:rsidRPr="00085EE6">
              <w:t>6%</w:t>
            </w:r>
          </w:p>
        </w:tc>
        <w:tc>
          <w:tcPr>
            <w:tcW w:w="2255" w:type="dxa"/>
          </w:tcPr>
          <w:p w14:paraId="65E064ED" w14:textId="4D787FD5" w:rsidR="000A60D3" w:rsidRDefault="000A60D3" w:rsidP="000A60D3">
            <w:pPr>
              <w:spacing w:line="360" w:lineRule="auto"/>
            </w:pPr>
            <w:r w:rsidRPr="00085EE6">
              <w:t>15%</w:t>
            </w:r>
          </w:p>
        </w:tc>
      </w:tr>
    </w:tbl>
    <w:p w14:paraId="6763BF26" w14:textId="77777777" w:rsidR="004B749F" w:rsidRDefault="004B749F" w:rsidP="004B749F">
      <w:r>
        <w:t>Risk Evaluation of every Project.</w:t>
      </w:r>
    </w:p>
    <w:p w14:paraId="04DD95D9" w14:textId="4709F059" w:rsidR="004B749F" w:rsidRPr="003C7A2D" w:rsidRDefault="004B749F" w:rsidP="004B749F">
      <w:pPr>
        <w:rPr>
          <w:b/>
          <w:bCs/>
        </w:rPr>
      </w:pPr>
      <w:r w:rsidRPr="003C7A2D">
        <w:rPr>
          <w:b/>
          <w:bCs/>
        </w:rPr>
        <w:t>Project A – Moderate Risk</w:t>
      </w:r>
    </w:p>
    <w:p w14:paraId="28C90BBC" w14:textId="474B603A" w:rsidR="004B749F" w:rsidRDefault="004B749F" w:rsidP="00C93674">
      <w:r>
        <w:lastRenderedPageBreak/>
        <w:t>At the start, the cash inflows become constant and decrease.</w:t>
      </w:r>
      <w:r w:rsidR="00C93674">
        <w:t xml:space="preserve"> </w:t>
      </w:r>
      <w:r>
        <w:t>Reasonably quick payback</w:t>
      </w:r>
      <w:r w:rsidR="00C93674">
        <w:t xml:space="preserve">.  </w:t>
      </w:r>
      <w:r>
        <w:t xml:space="preserve">NPV </w:t>
      </w:r>
      <w:r w:rsidR="001646AE">
        <w:t xml:space="preserve">is </w:t>
      </w:r>
      <w:r>
        <w:t>positive but modest</w:t>
      </w:r>
      <w:r w:rsidR="00C93674">
        <w:t xml:space="preserve">. </w:t>
      </w:r>
      <w:r>
        <w:t xml:space="preserve">Apposite in enhancing </w:t>
      </w:r>
      <w:r w:rsidR="004F0C58">
        <w:t>short-run</w:t>
      </w:r>
      <w:r>
        <w:t xml:space="preserve"> liquidity, but restricted </w:t>
      </w:r>
      <w:r w:rsidR="004F0C58">
        <w:t>long-term</w:t>
      </w:r>
      <w:r>
        <w:t xml:space="preserve"> value.</w:t>
      </w:r>
    </w:p>
    <w:p w14:paraId="343E0AC6" w14:textId="6B19F04B" w:rsidR="004B749F" w:rsidRPr="003C7A2D" w:rsidRDefault="004B749F" w:rsidP="004B749F">
      <w:pPr>
        <w:rPr>
          <w:b/>
          <w:bCs/>
        </w:rPr>
      </w:pPr>
      <w:r w:rsidRPr="003C7A2D">
        <w:rPr>
          <w:b/>
          <w:bCs/>
        </w:rPr>
        <w:t>Project B</w:t>
      </w:r>
      <w:r w:rsidR="004F0C58">
        <w:rPr>
          <w:b/>
          <w:bCs/>
        </w:rPr>
        <w:t>:</w:t>
      </w:r>
      <w:r w:rsidRPr="003C7A2D">
        <w:rPr>
          <w:b/>
          <w:bCs/>
        </w:rPr>
        <w:t xml:space="preserve"> High </w:t>
      </w:r>
      <w:r w:rsidR="004F0C58">
        <w:rPr>
          <w:b/>
          <w:bCs/>
        </w:rPr>
        <w:t>Risk,</w:t>
      </w:r>
      <w:r w:rsidRPr="003C7A2D">
        <w:rPr>
          <w:b/>
          <w:bCs/>
        </w:rPr>
        <w:t xml:space="preserve"> Low Risk.</w:t>
      </w:r>
    </w:p>
    <w:p w14:paraId="2B719B2B" w14:textId="789CF0AD" w:rsidR="004B749F" w:rsidRDefault="004B749F" w:rsidP="00C93674">
      <w:r>
        <w:t>Constant inflows demonstrate no possibilities of growth.</w:t>
      </w:r>
      <w:r w:rsidR="00C93674">
        <w:t xml:space="preserve"> </w:t>
      </w:r>
      <w:r>
        <w:t>NPV negative occurs = kills shareholder value.</w:t>
      </w:r>
      <w:r w:rsidR="00C93674">
        <w:t xml:space="preserve"> </w:t>
      </w:r>
      <w:r w:rsidR="001646AE">
        <w:t>The longest</w:t>
      </w:r>
      <w:r>
        <w:t xml:space="preserve"> payback period</w:t>
      </w:r>
      <w:r w:rsidR="00C93674">
        <w:t xml:space="preserve"> </w:t>
      </w:r>
      <w:r>
        <w:t>IRR is significantly less than required.</w:t>
      </w:r>
      <w:r w:rsidR="00C93674">
        <w:t xml:space="preserve"> </w:t>
      </w:r>
      <w:r>
        <w:t>Great danger of a financially depressed company.</w:t>
      </w:r>
    </w:p>
    <w:p w14:paraId="6AA023AE" w14:textId="4D632ED0" w:rsidR="004B749F" w:rsidRPr="003C7A2D" w:rsidRDefault="004B749F" w:rsidP="004B749F">
      <w:pPr>
        <w:rPr>
          <w:b/>
          <w:bCs/>
        </w:rPr>
      </w:pPr>
      <w:r w:rsidRPr="003C7A2D">
        <w:rPr>
          <w:b/>
          <w:bCs/>
        </w:rPr>
        <w:t>Project C</w:t>
      </w:r>
      <w:r w:rsidR="004F0C58">
        <w:rPr>
          <w:b/>
          <w:bCs/>
        </w:rPr>
        <w:t>:</w:t>
      </w:r>
      <w:r w:rsidRPr="003C7A2D">
        <w:rPr>
          <w:b/>
          <w:bCs/>
        </w:rPr>
        <w:t xml:space="preserve"> Higher Return, Acceptable Risk.</w:t>
      </w:r>
    </w:p>
    <w:p w14:paraId="258ED91B" w14:textId="7F947251" w:rsidR="004B749F" w:rsidRDefault="004B749F" w:rsidP="001646AE">
      <w:r>
        <w:t>Years 3 and 4</w:t>
      </w:r>
      <w:r w:rsidR="004F0C58">
        <w:t>:</w:t>
      </w:r>
      <w:r>
        <w:t xml:space="preserve"> Increasing inflows of cash.</w:t>
      </w:r>
      <w:r w:rsidR="001646AE">
        <w:t xml:space="preserve"> </w:t>
      </w:r>
      <w:r>
        <w:t>Highest NPV, IRR and PI</w:t>
      </w:r>
      <w:r w:rsidR="001646AE">
        <w:t xml:space="preserve"> </w:t>
      </w:r>
      <w:r>
        <w:t>Average but not long payback.</w:t>
      </w:r>
      <w:r w:rsidR="001646AE">
        <w:t xml:space="preserve"> </w:t>
      </w:r>
      <w:r>
        <w:t xml:space="preserve">Will make </w:t>
      </w:r>
      <w:r w:rsidR="004F0C58">
        <w:t xml:space="preserve">the </w:t>
      </w:r>
      <w:r>
        <w:t xml:space="preserve">most favourable contribution in the </w:t>
      </w:r>
      <w:r w:rsidR="004F0C58">
        <w:t>long term</w:t>
      </w:r>
      <w:r>
        <w:t>.</w:t>
      </w:r>
      <w:r w:rsidR="001646AE">
        <w:t xml:space="preserve"> </w:t>
      </w:r>
      <w:r>
        <w:t xml:space="preserve">Most appropriate </w:t>
      </w:r>
      <w:r w:rsidR="001646AE">
        <w:t>for</w:t>
      </w:r>
      <w:r>
        <w:t xml:space="preserve"> a company that is trying to </w:t>
      </w:r>
      <w:r w:rsidR="004F0C58">
        <w:t>recover</w:t>
      </w:r>
      <w:r>
        <w:t xml:space="preserve"> economically.</w:t>
      </w:r>
    </w:p>
    <w:p w14:paraId="182771BC" w14:textId="6E980D29" w:rsidR="004B749F" w:rsidRDefault="004B749F" w:rsidP="001646AE">
      <w:pPr>
        <w:pStyle w:val="Heading2"/>
      </w:pPr>
      <w:bookmarkStart w:id="44" w:name="_Toc216707206"/>
      <w:r>
        <w:t xml:space="preserve">Compliance with the Financial Situation of General </w:t>
      </w:r>
      <w:r w:rsidR="004F0C58">
        <w:t>Electronics</w:t>
      </w:r>
      <w:r>
        <w:t>.</w:t>
      </w:r>
      <w:bookmarkEnd w:id="44"/>
    </w:p>
    <w:p w14:paraId="72732C35" w14:textId="2A762134" w:rsidR="004B749F" w:rsidRDefault="004B749F" w:rsidP="004B749F">
      <w:r>
        <w:t xml:space="preserve">The company is in </w:t>
      </w:r>
      <w:r w:rsidR="004F0C58">
        <w:t>the</w:t>
      </w:r>
      <w:r>
        <w:t xml:space="preserve"> process of encountering:</w:t>
      </w:r>
    </w:p>
    <w:p w14:paraId="190E9B4E" w14:textId="27A88B13" w:rsidR="004B749F" w:rsidRDefault="004B749F" w:rsidP="001646AE">
      <w:r>
        <w:t>Weak liquidity</w:t>
      </w:r>
      <w:r w:rsidR="001646AE">
        <w:t xml:space="preserve">, </w:t>
      </w:r>
      <w:r>
        <w:t>High leverage</w:t>
      </w:r>
      <w:r w:rsidR="001646AE">
        <w:t xml:space="preserve">, </w:t>
      </w:r>
      <w:r>
        <w:t>Declining profitability</w:t>
      </w:r>
      <w:r w:rsidR="001646AE">
        <w:t xml:space="preserve">, </w:t>
      </w:r>
      <w:r>
        <w:t>Negative operating margins</w:t>
      </w:r>
      <w:r w:rsidR="001646AE">
        <w:t xml:space="preserve">, </w:t>
      </w:r>
      <w:r>
        <w:t>Volatile cash flow</w:t>
      </w:r>
      <w:r w:rsidR="001646AE">
        <w:t xml:space="preserve">, </w:t>
      </w:r>
      <w:r>
        <w:t>High default risk</w:t>
      </w:r>
    </w:p>
    <w:p w14:paraId="2CC01A4E" w14:textId="0DACAC41" w:rsidR="004B749F" w:rsidRDefault="004B749F" w:rsidP="004B749F">
      <w:r>
        <w:t>Under these conditions:</w:t>
      </w:r>
    </w:p>
    <w:p w14:paraId="6F2A8DF0" w14:textId="3458F8EE" w:rsidR="004B749F" w:rsidRPr="003C7A2D" w:rsidRDefault="004B749F" w:rsidP="004B749F">
      <w:pPr>
        <w:rPr>
          <w:b/>
          <w:bCs/>
        </w:rPr>
      </w:pPr>
      <w:r w:rsidRPr="003C7A2D">
        <w:rPr>
          <w:b/>
          <w:bCs/>
        </w:rPr>
        <w:t>Project B must be rejected</w:t>
      </w:r>
    </w:p>
    <w:p w14:paraId="1EF69F4C" w14:textId="484CDD47" w:rsidR="004B749F" w:rsidRDefault="004B749F" w:rsidP="001646AE">
      <w:r>
        <w:t>Negative NPV</w:t>
      </w:r>
      <w:r w:rsidR="001646AE">
        <w:t>, very</w:t>
      </w:r>
      <w:r>
        <w:t xml:space="preserve"> low IRR</w:t>
      </w:r>
      <w:r w:rsidR="001646AE">
        <w:t xml:space="preserve">, </w:t>
      </w:r>
      <w:r>
        <w:t>Long payback</w:t>
      </w:r>
      <w:r w:rsidR="001646AE">
        <w:t>, and no</w:t>
      </w:r>
      <w:r w:rsidR="004F0C58">
        <w:t xml:space="preserve"> </w:t>
      </w:r>
      <w:r>
        <w:t>help in liquidity or profitability.</w:t>
      </w:r>
    </w:p>
    <w:p w14:paraId="0C769631" w14:textId="63ABD81E" w:rsidR="004B749F" w:rsidRPr="003C7A2D" w:rsidRDefault="004B749F" w:rsidP="004B749F">
      <w:pPr>
        <w:rPr>
          <w:b/>
          <w:bCs/>
        </w:rPr>
      </w:pPr>
      <w:r w:rsidRPr="003C7A2D">
        <w:rPr>
          <w:b/>
          <w:bCs/>
        </w:rPr>
        <w:t>Project A is satisfactory yet constrained.</w:t>
      </w:r>
    </w:p>
    <w:p w14:paraId="74C22FF7" w14:textId="2E77890D" w:rsidR="004B749F" w:rsidRDefault="004B749F" w:rsidP="001646AE">
      <w:r>
        <w:t>Short-term liquidity is facilitated by fast payback.</w:t>
      </w:r>
      <w:r w:rsidR="001646AE">
        <w:t xml:space="preserve"> </w:t>
      </w:r>
      <w:r>
        <w:t>Minor NPV inhibits strategic advantage</w:t>
      </w:r>
      <w:r w:rsidR="00715723">
        <w:t xml:space="preserve"> </w:t>
      </w:r>
      <w:r w:rsidR="00715723" w:rsidRPr="00715723">
        <w:t xml:space="preserve">(Graham </w:t>
      </w:r>
      <w:r w:rsidR="00715723" w:rsidRPr="001646AE">
        <w:rPr>
          <w:i/>
          <w:iCs/>
        </w:rPr>
        <w:t>et al.</w:t>
      </w:r>
      <w:r w:rsidR="00715723" w:rsidRPr="00715723">
        <w:t>, 2020)</w:t>
      </w:r>
      <w:r w:rsidR="001646AE">
        <w:t xml:space="preserve">. </w:t>
      </w:r>
      <w:r>
        <w:t>Much more appropriate as a second project, rather than primary.</w:t>
      </w:r>
    </w:p>
    <w:p w14:paraId="0250E813" w14:textId="238677F7" w:rsidR="004B749F" w:rsidRPr="003C7A2D" w:rsidRDefault="004B749F" w:rsidP="004B749F">
      <w:pPr>
        <w:rPr>
          <w:b/>
          <w:bCs/>
        </w:rPr>
      </w:pPr>
      <w:r w:rsidRPr="003C7A2D">
        <w:rPr>
          <w:b/>
          <w:bCs/>
        </w:rPr>
        <w:t>Project C is the best choice</w:t>
      </w:r>
      <w:r w:rsidR="001646AE">
        <w:rPr>
          <w:b/>
          <w:bCs/>
        </w:rPr>
        <w:t>.</w:t>
      </w:r>
    </w:p>
    <w:p w14:paraId="4430BCE4" w14:textId="61B3CBEB" w:rsidR="004B749F" w:rsidRDefault="004B749F" w:rsidP="001646AE">
      <w:r>
        <w:t xml:space="preserve">Maximum </w:t>
      </w:r>
      <w:r w:rsidR="001646AE">
        <w:t>NPV: maximum</w:t>
      </w:r>
      <w:r>
        <w:t xml:space="preserve"> value created.</w:t>
      </w:r>
      <w:r w:rsidR="001646AE">
        <w:t xml:space="preserve"> </w:t>
      </w:r>
      <w:r>
        <w:t>Maximum IRR -maximum return.</w:t>
      </w:r>
      <w:r w:rsidR="001646AE">
        <w:t xml:space="preserve"> </w:t>
      </w:r>
      <w:r>
        <w:t xml:space="preserve">Maximum PI = optimum payback of </w:t>
      </w:r>
      <w:r w:rsidR="004F0C58">
        <w:t xml:space="preserve">a </w:t>
      </w:r>
      <w:r>
        <w:t>pound invested.</w:t>
      </w:r>
      <w:r w:rsidR="001646AE">
        <w:t xml:space="preserve"> </w:t>
      </w:r>
      <w:r>
        <w:t>The levels of cash inflows have a significant increase between Years 3</w:t>
      </w:r>
      <w:r w:rsidR="001646AE">
        <w:t xml:space="preserve"> and </w:t>
      </w:r>
      <w:r>
        <w:t>4</w:t>
      </w:r>
      <w:r w:rsidR="004F0C58">
        <w:t>,</w:t>
      </w:r>
      <w:r>
        <w:t xml:space="preserve"> and it aids restructuring.</w:t>
      </w:r>
      <w:r w:rsidR="001646AE">
        <w:t xml:space="preserve"> </w:t>
      </w:r>
      <w:r>
        <w:t xml:space="preserve">Helps in the sustainability of profitability and </w:t>
      </w:r>
      <w:r w:rsidR="001646AE">
        <w:t xml:space="preserve">the </w:t>
      </w:r>
      <w:r>
        <w:t>reduction of debts.</w:t>
      </w:r>
    </w:p>
    <w:p w14:paraId="3F5B3C5D" w14:textId="00ED19B4" w:rsidR="004B749F" w:rsidRDefault="004B749F" w:rsidP="000D5E54">
      <w:pPr>
        <w:pStyle w:val="Heading2"/>
      </w:pPr>
      <w:bookmarkStart w:id="45" w:name="_Toc216707207"/>
      <w:r>
        <w:lastRenderedPageBreak/>
        <w:t>Capital Rationing (at least 60m) Final Recommendation</w:t>
      </w:r>
      <w:bookmarkEnd w:id="45"/>
    </w:p>
    <w:p w14:paraId="48A18F75" w14:textId="111936EF" w:rsidR="004B749F" w:rsidRDefault="004B749F" w:rsidP="004B749F">
      <w:r>
        <w:t xml:space="preserve">The amount that can be invested in the company is </w:t>
      </w:r>
      <w:r w:rsidR="004F0C58">
        <w:t>a maximum of</w:t>
      </w:r>
      <w:r>
        <w:t xml:space="preserve"> 60m.</w:t>
      </w:r>
    </w:p>
    <w:p w14:paraId="74D43161" w14:textId="67AD4BD5" w:rsidR="004B749F" w:rsidRPr="000D5E54" w:rsidRDefault="004B749F" w:rsidP="004B749F">
      <w:pPr>
        <w:rPr>
          <w:b/>
          <w:bCs/>
        </w:rPr>
      </w:pPr>
      <w:r w:rsidRPr="000D5E54">
        <w:rPr>
          <w:b/>
          <w:bCs/>
        </w:rPr>
        <w:t>Investment costs:</w:t>
      </w:r>
    </w:p>
    <w:p w14:paraId="633CFF8A" w14:textId="7C367A30" w:rsidR="004B749F" w:rsidRDefault="004B749F" w:rsidP="001646AE">
      <w:r>
        <w:t>A: £40m</w:t>
      </w:r>
      <w:r w:rsidR="001646AE">
        <w:t xml:space="preserve">, </w:t>
      </w:r>
      <w:r>
        <w:t>B: £30m</w:t>
      </w:r>
      <w:r w:rsidR="001646AE">
        <w:t xml:space="preserve">, </w:t>
      </w:r>
      <w:r>
        <w:t>C: £50m</w:t>
      </w:r>
    </w:p>
    <w:p w14:paraId="2796A158" w14:textId="152ADCC7" w:rsidR="004B749F" w:rsidRPr="000D5E54" w:rsidRDefault="004B749F" w:rsidP="004B749F">
      <w:pPr>
        <w:rPr>
          <w:b/>
          <w:bCs/>
        </w:rPr>
      </w:pPr>
      <w:r w:rsidRPr="000D5E54">
        <w:rPr>
          <w:b/>
          <w:bCs/>
        </w:rPr>
        <w:t>Optimal combination?</w:t>
      </w:r>
    </w:p>
    <w:p w14:paraId="34DFE102" w14:textId="0CC422F5" w:rsidR="004B749F" w:rsidRDefault="004B749F" w:rsidP="004B749F">
      <w:r>
        <w:t>There are no possibilities except the following</w:t>
      </w:r>
    </w:p>
    <w:p w14:paraId="49B6E403" w14:textId="52B94987" w:rsidR="004B749F" w:rsidRDefault="004B749F" w:rsidP="001646AE">
      <w:r>
        <w:t xml:space="preserve">A + B = £70m </w:t>
      </w:r>
      <w:r w:rsidR="000D5E54" w:rsidRPr="001646AE">
        <w:rPr>
          <w:rFonts w:ascii="Segoe UI Emoji" w:hAnsi="Segoe UI Emoji" w:cs="Segoe UI Emoji"/>
        </w:rPr>
        <w:t>X</w:t>
      </w:r>
      <w:r>
        <w:t xml:space="preserve"> (exceeds limit)</w:t>
      </w:r>
      <w:r w:rsidR="001646AE">
        <w:t xml:space="preserve">, </w:t>
      </w:r>
      <w:r>
        <w:t xml:space="preserve">A + C = £90m </w:t>
      </w:r>
      <w:r w:rsidR="000D5E54" w:rsidRPr="001646AE">
        <w:rPr>
          <w:rFonts w:ascii="Segoe UI Emoji" w:hAnsi="Segoe UI Emoji" w:cs="Segoe UI Emoji"/>
        </w:rPr>
        <w:t>X</w:t>
      </w:r>
      <w:r w:rsidR="001646AE">
        <w:t xml:space="preserve">, </w:t>
      </w:r>
      <w:r>
        <w:t xml:space="preserve">B + C = £80m </w:t>
      </w:r>
      <w:r w:rsidR="000D5E54" w:rsidRPr="001646AE">
        <w:rPr>
          <w:rFonts w:ascii="Segoe UI Emoji" w:hAnsi="Segoe UI Emoji" w:cs="Segoe UI Emoji"/>
        </w:rPr>
        <w:t>X</w:t>
      </w:r>
    </w:p>
    <w:p w14:paraId="6E75F6E2" w14:textId="5FD5F5F8" w:rsidR="004B749F" w:rsidRDefault="004B749F" w:rsidP="004B749F">
      <w:r>
        <w:t>It is possible to select only a single project.</w:t>
      </w:r>
    </w:p>
    <w:p w14:paraId="4B9A0AB8" w14:textId="4C37D796" w:rsidR="004B749F" w:rsidRDefault="004B749F" w:rsidP="004B749F">
      <w:r>
        <w:t>Given one choice:</w:t>
      </w:r>
    </w:p>
    <w:p w14:paraId="33699F50" w14:textId="77777777" w:rsidR="00FE3CFC" w:rsidRPr="00FE3CFC" w:rsidRDefault="00FE3CFC" w:rsidP="00FE3CFC">
      <w:pPr>
        <w:pStyle w:val="Heading2"/>
      </w:pPr>
      <w:bookmarkStart w:id="46" w:name="_Toc216707208"/>
      <w:r w:rsidRPr="00FE3CFC">
        <w:t>Recommended Project: Project C</w:t>
      </w:r>
      <w:bookmarkEnd w:id="46"/>
    </w:p>
    <w:p w14:paraId="2A709406" w14:textId="5E9FCC33" w:rsidR="004B749F" w:rsidRDefault="004B749F" w:rsidP="004B749F">
      <w:r>
        <w:t>Because:</w:t>
      </w:r>
    </w:p>
    <w:p w14:paraId="27B96CFC" w14:textId="10B36B47" w:rsidR="004B749F" w:rsidRDefault="004B749F" w:rsidP="001646AE">
      <w:r>
        <w:t>It has the highest NPV (+£4.24m)</w:t>
      </w:r>
      <w:r w:rsidR="001646AE">
        <w:t xml:space="preserve">. </w:t>
      </w:r>
      <w:r>
        <w:t>It has the highest PI (1.08)</w:t>
      </w:r>
      <w:r w:rsidR="001646AE">
        <w:t xml:space="preserve">. </w:t>
      </w:r>
      <w:r>
        <w:t>It has the highest IRR (≈15%)</w:t>
      </w:r>
      <w:r w:rsidR="001646AE">
        <w:t xml:space="preserve">. </w:t>
      </w:r>
      <w:r>
        <w:t>It generates maximum shareholder value.</w:t>
      </w:r>
      <w:r w:rsidR="001646AE">
        <w:t xml:space="preserve"> </w:t>
      </w:r>
      <w:r>
        <w:t>It helps in the long-term recovery and not in the short-term relief.</w:t>
      </w:r>
      <w:r w:rsidR="001646AE">
        <w:t xml:space="preserve"> </w:t>
      </w:r>
      <w:r>
        <w:t xml:space="preserve">It is most suitable </w:t>
      </w:r>
      <w:r w:rsidR="004F0C58">
        <w:t>for</w:t>
      </w:r>
      <w:r>
        <w:t xml:space="preserve"> the company, as it is necessary to restore profitability and increase solvency.</w:t>
      </w:r>
    </w:p>
    <w:p w14:paraId="126C6899" w14:textId="4654019C" w:rsidR="00816737" w:rsidRPr="00816737" w:rsidRDefault="00816737" w:rsidP="00816737">
      <w:pPr>
        <w:rPr>
          <w:b/>
          <w:bCs/>
        </w:rPr>
      </w:pPr>
      <w:r w:rsidRPr="00816737">
        <w:rPr>
          <w:b/>
          <w:bCs/>
        </w:rPr>
        <w:t>Why not Project A?</w:t>
      </w:r>
    </w:p>
    <w:p w14:paraId="5B8F564E" w14:textId="0667D1F7" w:rsidR="00816737" w:rsidRDefault="00816737" w:rsidP="00816737">
      <w:r>
        <w:t>Project A can boast a short payback period, which is potentially going to be used to enhance liquidity on a short-term basis. Often, the initial investment is recouped in 3.4 years, which lowers the amount of financial exposure and generates the onset of cash flow that can be used to finance, thus supporting its daily operations.</w:t>
      </w:r>
      <w:r w:rsidR="00EC4075">
        <w:t xml:space="preserve"> </w:t>
      </w:r>
      <w:r>
        <w:t>The financial gains of the project in the long run are minimal. Though it yields a favourable NPV, the value that is generated is minimal in contrast to that which the company requires to help it recover its overall finances</w:t>
      </w:r>
      <w:r w:rsidR="00715723">
        <w:t xml:space="preserve"> </w:t>
      </w:r>
      <w:r w:rsidR="00715723" w:rsidRPr="00715723">
        <w:t xml:space="preserve">(Vernimmen </w:t>
      </w:r>
      <w:r w:rsidR="00715723" w:rsidRPr="00715723">
        <w:rPr>
          <w:i/>
          <w:iCs/>
        </w:rPr>
        <w:t>et al.</w:t>
      </w:r>
      <w:r w:rsidR="00715723" w:rsidRPr="00715723">
        <w:t>, 2022)</w:t>
      </w:r>
      <w:r>
        <w:t>. Having poor profitability and huge leverage, General Electronics needs an investment that enhances long-run earnings and not only a short-run improvement of cash flow. The inflows of project A also differ in the later years, and it is a sign that it offers poor growth potential. This limits its capacity to enhance future financial sustainability or make a significant contribution towards restructuring objectives</w:t>
      </w:r>
      <w:r w:rsidR="00BF686B">
        <w:t xml:space="preserve"> </w:t>
      </w:r>
      <w:r w:rsidR="00BF686B" w:rsidRPr="00BF686B">
        <w:lastRenderedPageBreak/>
        <w:t>(Imhanzenobe, 2021)</w:t>
      </w:r>
      <w:r>
        <w:t>. Project A does not best fit the option of restoring long-term value.</w:t>
      </w:r>
    </w:p>
    <w:p w14:paraId="7ABE12C5" w14:textId="6A2B86F3" w:rsidR="00816737" w:rsidRPr="00816737" w:rsidRDefault="00816737" w:rsidP="00816737">
      <w:pPr>
        <w:rPr>
          <w:b/>
          <w:bCs/>
        </w:rPr>
      </w:pPr>
      <w:r w:rsidRPr="00816737">
        <w:rPr>
          <w:b/>
          <w:bCs/>
        </w:rPr>
        <w:t>Why not Project B?</w:t>
      </w:r>
    </w:p>
    <w:p w14:paraId="5675D5B0" w14:textId="635DEEFB" w:rsidR="00816737" w:rsidRDefault="00816737" w:rsidP="00816737">
      <w:r>
        <w:t>Project B is the unappealing one</w:t>
      </w:r>
      <w:r w:rsidR="001646AE">
        <w:t>,</w:t>
      </w:r>
      <w:r>
        <w:t xml:space="preserve"> as it can provide low returns along with the highest financial risk. The project can produce an identical cash inflow annually, and no increase in the cash inflow or means of increasing the earnings in the future. More to the point, its NPV is negative, or limits the value to the shareholders, instead of building it. The required return in the company is also much higher, and it could not make a project viable. To a firm that is already in poor liquidity conditions</w:t>
      </w:r>
      <w:r w:rsidR="001646AE">
        <w:t xml:space="preserve"> and</w:t>
      </w:r>
      <w:r>
        <w:t xml:space="preserve"> high debt and cash flow strain, making such a project decision would have an adverse impact on its financial standing</w:t>
      </w:r>
      <w:r w:rsidR="00715723">
        <w:t xml:space="preserve"> </w:t>
      </w:r>
      <w:r w:rsidR="00715723" w:rsidRPr="00715723">
        <w:t>(Natassya and Lie, 2025)</w:t>
      </w:r>
      <w:r>
        <w:t>. Project B, as such, contributes neither to recovery nor long-term profitability.</w:t>
      </w:r>
    </w:p>
    <w:p w14:paraId="0D5FF56D" w14:textId="2CE0C8ED" w:rsidR="00946851" w:rsidRDefault="004F0C58" w:rsidP="004B749F">
      <w:r w:rsidRPr="004F0C58">
        <w:t xml:space="preserve">Under </w:t>
      </w:r>
      <w:r>
        <w:t xml:space="preserve">the </w:t>
      </w:r>
      <w:r w:rsidRPr="004F0C58">
        <w:t xml:space="preserve">rationing of capital, project C is the most acceptable decision among the various investment decisions using payback, ARR, NPV, PI and IRR, particularly when the decision under consideration is project C. It produces optimal value to the company, gives optimum returns at the time of the amount invested and reacts best in long-term financial payoffs. Its upsurging cash flows </w:t>
      </w:r>
      <w:r>
        <w:t>help</w:t>
      </w:r>
      <w:r w:rsidRPr="004F0C58">
        <w:t xml:space="preserve"> restore the firm in terms of enhancing its liquidity and profitability in the future. Project C offers the best balance between risk and return as compared to </w:t>
      </w:r>
      <w:r>
        <w:t>Projects</w:t>
      </w:r>
      <w:r w:rsidRPr="004F0C58">
        <w:t xml:space="preserve"> A and B. It is the best option in helping restructure General </w:t>
      </w:r>
      <w:r>
        <w:t>Electronics</w:t>
      </w:r>
      <w:r w:rsidRPr="004F0C58">
        <w:t xml:space="preserve"> and increase its financial stability because of its sustainability value creation capability.</w:t>
      </w:r>
      <w:r w:rsidR="00946851">
        <w:br w:type="page"/>
      </w:r>
    </w:p>
    <w:p w14:paraId="66DF8FEF" w14:textId="18B6F65D" w:rsidR="0049471A" w:rsidRDefault="00322F5F" w:rsidP="00322F5F">
      <w:pPr>
        <w:pStyle w:val="Heading1"/>
      </w:pPr>
      <w:bookmarkStart w:id="47" w:name="_Toc216707209"/>
      <w:r>
        <w:lastRenderedPageBreak/>
        <w:t>Conclusion</w:t>
      </w:r>
      <w:bookmarkEnd w:id="47"/>
    </w:p>
    <w:p w14:paraId="32B62B8D" w14:textId="3042FD57" w:rsidR="00322F5F" w:rsidRDefault="00EC4075" w:rsidP="00946851">
      <w:r w:rsidRPr="00EC4075">
        <w:t xml:space="preserve">In this report, </w:t>
      </w:r>
      <w:r>
        <w:t xml:space="preserve">the </w:t>
      </w:r>
      <w:r w:rsidRPr="00EC4075">
        <w:t>financial status of General Electronics was assessed</w:t>
      </w:r>
      <w:r>
        <w:t>,</w:t>
      </w:r>
      <w:r w:rsidRPr="00EC4075">
        <w:t xml:space="preserve"> and strategic areas of </w:t>
      </w:r>
      <w:r>
        <w:t>weakness</w:t>
      </w:r>
      <w:r w:rsidRPr="00EC4075">
        <w:t xml:space="preserve"> in profitability, liquidity</w:t>
      </w:r>
      <w:r w:rsidR="001646AE">
        <w:t>,</w:t>
      </w:r>
      <w:r w:rsidRPr="00EC4075">
        <w:t xml:space="preserve"> cash flow and capital structure were determined. It was demonstrated that the financial distress and default risk were high and thus necessitated the urgency of restructuring by ratio analysis and by the Altman Z-Score. Working capital management was suggested to be improved to liquidate short-term pressure. There were options of strategic financial restructuring that were evaluated to bring back stability and flexibility. Lastly, the output of investment appraisal revealed that Project C can be the best in terms of its value creation in the scenario of capital ratios. In general, financial crisis recovery requires strict </w:t>
      </w:r>
      <w:r>
        <w:t>reorganisation</w:t>
      </w:r>
      <w:r w:rsidRPr="00EC4075">
        <w:t>, as well as the selectivity of investment choices that would not only sustain financial stability but also contribute to the effective healing of financial instability in the long term.</w:t>
      </w:r>
      <w:r w:rsidR="00322F5F">
        <w:br w:type="page"/>
      </w:r>
    </w:p>
    <w:p w14:paraId="4F05E291" w14:textId="69D2BD1C" w:rsidR="00594289" w:rsidRDefault="0049471A" w:rsidP="0049471A">
      <w:pPr>
        <w:pStyle w:val="Heading1"/>
      </w:pPr>
      <w:bookmarkStart w:id="48" w:name="_Toc216707210"/>
      <w:r>
        <w:lastRenderedPageBreak/>
        <w:t>References</w:t>
      </w:r>
      <w:bookmarkEnd w:id="48"/>
    </w:p>
    <w:p w14:paraId="0A4E3A7E" w14:textId="77777777" w:rsidR="00BF686B" w:rsidRPr="00BF686B" w:rsidRDefault="00BF686B" w:rsidP="00BF686B">
      <w:r w:rsidRPr="00BF686B">
        <w:t>Arnold, G. and Lewis, D.S., 2019. </w:t>
      </w:r>
      <w:r w:rsidRPr="00BF686B">
        <w:rPr>
          <w:i/>
          <w:iCs/>
        </w:rPr>
        <w:t>Corporate financial management</w:t>
      </w:r>
      <w:r w:rsidRPr="00BF686B">
        <w:t>. Pearson UK.</w:t>
      </w:r>
    </w:p>
    <w:p w14:paraId="76269830" w14:textId="77777777" w:rsidR="00BF686B" w:rsidRPr="00BF686B" w:rsidRDefault="00BF686B" w:rsidP="00BF686B">
      <w:r w:rsidRPr="00BF686B">
        <w:t>Black, K., 2023. </w:t>
      </w:r>
      <w:r w:rsidRPr="00BF686B">
        <w:rPr>
          <w:i/>
          <w:iCs/>
        </w:rPr>
        <w:t>Business statistics: for contemporary decision making</w:t>
      </w:r>
      <w:r w:rsidRPr="00BF686B">
        <w:t xml:space="preserve">. John Wiley &amp; Sons. </w:t>
      </w:r>
    </w:p>
    <w:p w14:paraId="41A94DEB" w14:textId="77777777" w:rsidR="00BF686B" w:rsidRPr="00BF686B" w:rsidRDefault="00BF686B" w:rsidP="00BF686B">
      <w:r w:rsidRPr="00BF686B">
        <w:t>David, T., 2022. Customer risk and the choice between cash and bank credit lines. </w:t>
      </w:r>
      <w:r w:rsidRPr="00BF686B">
        <w:rPr>
          <w:i/>
          <w:iCs/>
        </w:rPr>
        <w:t>The European Journal of Finance</w:t>
      </w:r>
      <w:r w:rsidRPr="00BF686B">
        <w:t>, </w:t>
      </w:r>
      <w:r w:rsidRPr="00BF686B">
        <w:rPr>
          <w:i/>
          <w:iCs/>
        </w:rPr>
        <w:t>28</w:t>
      </w:r>
      <w:r w:rsidRPr="00BF686B">
        <w:t xml:space="preserve">(2), pp.159-194. </w:t>
      </w:r>
      <w:hyperlink r:id="rId17" w:history="1">
        <w:r w:rsidRPr="00BF686B">
          <w:rPr>
            <w:rStyle w:val="Hyperlink"/>
            <w:color w:val="auto"/>
          </w:rPr>
          <w:t>https://www.tandfonline.com/doi/abs/10.1080/1351847X.2021.1913429</w:t>
        </w:r>
      </w:hyperlink>
    </w:p>
    <w:p w14:paraId="171EFA2E" w14:textId="0FF8E0D7" w:rsidR="00BF686B" w:rsidRPr="00BF686B" w:rsidRDefault="00BF686B" w:rsidP="00BF686B">
      <w:r w:rsidRPr="00BF686B">
        <w:t xml:space="preserve">D'Eusanio, M., Zamagni, A. and Petti, L., 2019. Social sustainability and supply chain </w:t>
      </w:r>
      <w:r w:rsidR="001646AE">
        <w:t>management</w:t>
      </w:r>
      <w:r w:rsidRPr="00BF686B">
        <w:t>: Methods and tools. </w:t>
      </w:r>
      <w:r w:rsidRPr="00BF686B">
        <w:rPr>
          <w:i/>
          <w:iCs/>
        </w:rPr>
        <w:t xml:space="preserve">Journal of </w:t>
      </w:r>
      <w:r w:rsidR="001646AE">
        <w:rPr>
          <w:i/>
          <w:iCs/>
        </w:rPr>
        <w:t>Cleaner Production</w:t>
      </w:r>
      <w:r w:rsidRPr="00BF686B">
        <w:t>, </w:t>
      </w:r>
      <w:r w:rsidRPr="00BF686B">
        <w:rPr>
          <w:i/>
          <w:iCs/>
        </w:rPr>
        <w:t>235</w:t>
      </w:r>
      <w:r w:rsidRPr="00BF686B">
        <w:t xml:space="preserve">, pp.178-189. </w:t>
      </w:r>
      <w:hyperlink r:id="rId18" w:history="1">
        <w:r w:rsidRPr="00BF686B">
          <w:rPr>
            <w:rStyle w:val="Hyperlink"/>
            <w:color w:val="auto"/>
          </w:rPr>
          <w:t>https://www.sciencedirect.com/science/article/pii/S0959652619323005</w:t>
        </w:r>
      </w:hyperlink>
    </w:p>
    <w:p w14:paraId="1A7066F8" w14:textId="77777777" w:rsidR="00BF686B" w:rsidRPr="00BF686B" w:rsidRDefault="00BF686B" w:rsidP="00BF686B">
      <w:r w:rsidRPr="00BF686B">
        <w:t>Ernst, R. and Haar, J., 2021. Shareholders vs. stakeholders. In </w:t>
      </w:r>
      <w:r w:rsidRPr="00BF686B">
        <w:rPr>
          <w:i/>
          <w:iCs/>
        </w:rPr>
        <w:t xml:space="preserve">From Me to </w:t>
      </w:r>
      <w:proofErr w:type="gramStart"/>
      <w:r w:rsidRPr="00BF686B">
        <w:rPr>
          <w:i/>
          <w:iCs/>
        </w:rPr>
        <w:t>We</w:t>
      </w:r>
      <w:proofErr w:type="gramEnd"/>
      <w:r w:rsidRPr="00BF686B">
        <w:rPr>
          <w:i/>
          <w:iCs/>
        </w:rPr>
        <w:t>: How Shared Value Can Turn Companies Into Engines of Change</w:t>
      </w:r>
      <w:r w:rsidRPr="00BF686B">
        <w:t> (pp. 41-59). Cham: Springer International Publishing.</w:t>
      </w:r>
    </w:p>
    <w:p w14:paraId="652AEAAB" w14:textId="77777777" w:rsidR="00BF686B" w:rsidRPr="00BF686B" w:rsidRDefault="00BF686B" w:rsidP="00BF686B">
      <w:r w:rsidRPr="00BF686B">
        <w:t>Fahdil, H.N., Abdulkarim, M.A., Mohamed, J. and Allah, E.A.M.M., 2024. Corporate bankruptcy and financial restructuring. </w:t>
      </w:r>
      <w:r w:rsidRPr="00BF686B">
        <w:rPr>
          <w:i/>
          <w:iCs/>
        </w:rPr>
        <w:t>Journal of Ecohumanism</w:t>
      </w:r>
      <w:r w:rsidRPr="00BF686B">
        <w:t>, </w:t>
      </w:r>
      <w:r w:rsidRPr="00BF686B">
        <w:rPr>
          <w:i/>
          <w:iCs/>
        </w:rPr>
        <w:t>3</w:t>
      </w:r>
      <w:r w:rsidRPr="00BF686B">
        <w:t xml:space="preserve">(5), pp.234-248. </w:t>
      </w:r>
      <w:hyperlink r:id="rId19" w:history="1">
        <w:r w:rsidRPr="00BF686B">
          <w:rPr>
            <w:rStyle w:val="Hyperlink"/>
            <w:color w:val="auto"/>
          </w:rPr>
          <w:t>https://www.ceeol.com/search/article-detail?id=1273642</w:t>
        </w:r>
      </w:hyperlink>
    </w:p>
    <w:p w14:paraId="3A799343" w14:textId="77777777" w:rsidR="00BF686B" w:rsidRPr="00BF686B" w:rsidRDefault="00BF686B" w:rsidP="00BF686B">
      <w:r w:rsidRPr="00BF686B">
        <w:t>Fridson, M.S. and Alvarez, F., 2022. </w:t>
      </w:r>
      <w:r w:rsidRPr="00BF686B">
        <w:rPr>
          <w:i/>
          <w:iCs/>
        </w:rPr>
        <w:t>Financial statement analysis: a practitioner's guide</w:t>
      </w:r>
      <w:r w:rsidRPr="00BF686B">
        <w:t>. John Wiley &amp; Sons.</w:t>
      </w:r>
    </w:p>
    <w:p w14:paraId="651355D1" w14:textId="77777777" w:rsidR="00BF686B" w:rsidRPr="00BF686B" w:rsidRDefault="00BF686B" w:rsidP="00BF686B">
      <w:r w:rsidRPr="00BF686B">
        <w:t>Graham, J., Adam, C. and Gunasingham, B., 2020. </w:t>
      </w:r>
      <w:r w:rsidRPr="00BF686B">
        <w:rPr>
          <w:i/>
          <w:iCs/>
        </w:rPr>
        <w:t>Corporate finance</w:t>
      </w:r>
      <w:r w:rsidRPr="00BF686B">
        <w:t>. Cengage AU.</w:t>
      </w:r>
    </w:p>
    <w:p w14:paraId="31D02305" w14:textId="77777777" w:rsidR="00BF686B" w:rsidRPr="00BF686B" w:rsidRDefault="00BF686B" w:rsidP="00BF686B">
      <w:r w:rsidRPr="00BF686B">
        <w:t>Grundy, T., Johnson, G. and Scholes, K., 2022. Strategic Financial Management. </w:t>
      </w:r>
      <w:r w:rsidRPr="00BF686B">
        <w:rPr>
          <w:i/>
          <w:iCs/>
        </w:rPr>
        <w:t>Bachelor of Business Administration Programme Code: BBA Duration–3 Years Full Time</w:t>
      </w:r>
      <w:r w:rsidRPr="00BF686B">
        <w:t>, </w:t>
      </w:r>
      <w:r w:rsidRPr="00BF686B">
        <w:rPr>
          <w:i/>
          <w:iCs/>
        </w:rPr>
        <w:t>2</w:t>
      </w:r>
      <w:r w:rsidRPr="00BF686B">
        <w:t xml:space="preserve">(1), pp.1-575. </w:t>
      </w:r>
      <w:hyperlink r:id="rId20" w:anchor="page=529" w:history="1">
        <w:r w:rsidRPr="00BF686B">
          <w:rPr>
            <w:rStyle w:val="Hyperlink"/>
            <w:color w:val="auto"/>
          </w:rPr>
          <w:t>https://www.amity.edu/gwalior/naac/1_1_3/syllabus/1.1.3%20abs%20new.pdf#page=529</w:t>
        </w:r>
      </w:hyperlink>
    </w:p>
    <w:p w14:paraId="18DC4678" w14:textId="77777777" w:rsidR="00BF686B" w:rsidRPr="00BF686B" w:rsidRDefault="00BF686B" w:rsidP="00BF686B">
      <w:r w:rsidRPr="00BF686B">
        <w:t>Imhanzenobe, J., 2021. Achieving competitive advantage and financial sustainability through acquisition and restructuring strategies. </w:t>
      </w:r>
      <w:r w:rsidRPr="00BF686B">
        <w:rPr>
          <w:i/>
          <w:iCs/>
        </w:rPr>
        <w:t>Journal of Accounting and Taxation</w:t>
      </w:r>
      <w:r w:rsidRPr="00BF686B">
        <w:t>, </w:t>
      </w:r>
      <w:r w:rsidRPr="00BF686B">
        <w:rPr>
          <w:i/>
          <w:iCs/>
        </w:rPr>
        <w:t>13</w:t>
      </w:r>
      <w:r w:rsidRPr="00BF686B">
        <w:t>(3), pp.217-225. https://academicjournals.org/journal/JAT/article-full-text/DE2A83967798</w:t>
      </w:r>
    </w:p>
    <w:p w14:paraId="5588204A" w14:textId="77777777" w:rsidR="00BF686B" w:rsidRPr="00BF686B" w:rsidRDefault="00BF686B" w:rsidP="00BF686B">
      <w:r w:rsidRPr="00BF686B">
        <w:lastRenderedPageBreak/>
        <w:t>Kaushik, N. and Chauhan, S., 2019. The role of financial constraints in the relationship between working capital management and firm performance. </w:t>
      </w:r>
      <w:r w:rsidRPr="00BF686B">
        <w:rPr>
          <w:i/>
          <w:iCs/>
        </w:rPr>
        <w:t>IUP Journal of Applied Finance</w:t>
      </w:r>
      <w:r w:rsidRPr="00BF686B">
        <w:t>, </w:t>
      </w:r>
      <w:r w:rsidRPr="00BF686B">
        <w:rPr>
          <w:i/>
          <w:iCs/>
        </w:rPr>
        <w:t>25</w:t>
      </w:r>
      <w:r w:rsidRPr="00BF686B">
        <w:t xml:space="preserve">(1), pp.60-82. </w:t>
      </w:r>
      <w:hyperlink r:id="rId21" w:history="1">
        <w:r w:rsidRPr="00BF686B">
          <w:rPr>
            <w:rStyle w:val="Hyperlink"/>
            <w:color w:val="auto"/>
          </w:rPr>
          <w:t>https://www.researchgate.net/profile/Nikhil-Kaushik-5/publication/332269079_The_Role_of_Financial_Constraints_in_the_Relationship_Between_Working_Capital_Management_and_Firm_Performance/links/5cab28b7a6fdcca26d0676f7/The-Role-of-Financial-Constraints-in-the-Relationship-Between-Working-Capital-Management-and-Firm-Performance.pdf</w:t>
        </w:r>
      </w:hyperlink>
    </w:p>
    <w:p w14:paraId="624BA7A6" w14:textId="77777777" w:rsidR="00BF686B" w:rsidRPr="00BF686B" w:rsidRDefault="00BF686B" w:rsidP="00BF686B">
      <w:r w:rsidRPr="00BF686B">
        <w:t>Kimmel, P.D., Weygandt, J.J. and Kieso, D.E., 2020. </w:t>
      </w:r>
      <w:r w:rsidRPr="00BF686B">
        <w:rPr>
          <w:i/>
          <w:iCs/>
        </w:rPr>
        <w:t>Financial accounting: tools for business decision making</w:t>
      </w:r>
      <w:r w:rsidRPr="00BF686B">
        <w:t>. John Wiley &amp; Sons.</w:t>
      </w:r>
    </w:p>
    <w:p w14:paraId="0B6B734F" w14:textId="77777777" w:rsidR="00BF686B" w:rsidRPr="00BF686B" w:rsidRDefault="00BF686B" w:rsidP="00BF686B">
      <w:r w:rsidRPr="00BF686B">
        <w:t>Kovach, J.J., Swink, M. and Rodriguez, M., 2023. Delaying supplier payments to increase buyer profits. </w:t>
      </w:r>
      <w:r w:rsidRPr="00BF686B">
        <w:rPr>
          <w:i/>
          <w:iCs/>
        </w:rPr>
        <w:t>Journal of Supply Chain Management</w:t>
      </w:r>
      <w:r w:rsidRPr="00BF686B">
        <w:t>, </w:t>
      </w:r>
      <w:r w:rsidRPr="00BF686B">
        <w:rPr>
          <w:i/>
          <w:iCs/>
        </w:rPr>
        <w:t>59</w:t>
      </w:r>
      <w:r w:rsidRPr="00BF686B">
        <w:t xml:space="preserve">(1), pp.26-47. </w:t>
      </w:r>
      <w:hyperlink r:id="rId22" w:history="1">
        <w:r w:rsidRPr="00BF686B">
          <w:rPr>
            <w:rStyle w:val="Hyperlink"/>
            <w:color w:val="auto"/>
          </w:rPr>
          <w:t>https://onlinelibrary.wiley.com/doi/abs/10.1111/jscm.12293</w:t>
        </w:r>
      </w:hyperlink>
    </w:p>
    <w:p w14:paraId="343355AC" w14:textId="77777777" w:rsidR="00BF686B" w:rsidRPr="00BF686B" w:rsidRDefault="00BF686B" w:rsidP="00BF686B">
      <w:r w:rsidRPr="00BF686B">
        <w:t>Natassya, M. and Lie, G., 2025. The Convertible Note Mechanism and the Risk of Share Dilution: Legal Protection for Minority Shareholders. </w:t>
      </w:r>
      <w:r w:rsidRPr="00BF686B">
        <w:rPr>
          <w:i/>
          <w:iCs/>
        </w:rPr>
        <w:t>Lambung Mangkurat Law Journal</w:t>
      </w:r>
      <w:r w:rsidRPr="00BF686B">
        <w:t>, </w:t>
      </w:r>
      <w:r w:rsidRPr="00BF686B">
        <w:rPr>
          <w:i/>
          <w:iCs/>
        </w:rPr>
        <w:t>10</w:t>
      </w:r>
      <w:r w:rsidRPr="00BF686B">
        <w:t xml:space="preserve">(1), pp.105-113. </w:t>
      </w:r>
      <w:hyperlink r:id="rId23" w:history="1">
        <w:r w:rsidRPr="00BF686B">
          <w:rPr>
            <w:rStyle w:val="Hyperlink"/>
            <w:color w:val="auto"/>
          </w:rPr>
          <w:t>https://lamlaj.ulm.ac.id/index.php/abc/article/view/217</w:t>
        </w:r>
      </w:hyperlink>
    </w:p>
    <w:p w14:paraId="306A7543" w14:textId="77777777" w:rsidR="00BF686B" w:rsidRPr="00BF686B" w:rsidRDefault="00BF686B" w:rsidP="00BF686B">
      <w:r w:rsidRPr="00BF686B">
        <w:t>Palacín-Sánchez, M.J., Alencar-García, A. and Canto-Cuevas, F.J., 2023. Financial distress and corporate restructuring: a case study. </w:t>
      </w:r>
      <w:r w:rsidRPr="00BF686B">
        <w:rPr>
          <w:i/>
          <w:iCs/>
        </w:rPr>
        <w:t>Cuadernos de Gestión</w:t>
      </w:r>
      <w:r w:rsidRPr="00BF686B">
        <w:t>, </w:t>
      </w:r>
      <w:r w:rsidRPr="00BF686B">
        <w:rPr>
          <w:i/>
          <w:iCs/>
        </w:rPr>
        <w:t>23</w:t>
      </w:r>
      <w:r w:rsidRPr="00BF686B">
        <w:t xml:space="preserve">(2), pp.81-91. </w:t>
      </w:r>
      <w:hyperlink r:id="rId24" w:history="1">
        <w:r w:rsidRPr="00BF686B">
          <w:rPr>
            <w:rStyle w:val="Hyperlink"/>
            <w:color w:val="auto"/>
          </w:rPr>
          <w:t>https://ojs.ehu.eus/index.php/CG/article/view/24871</w:t>
        </w:r>
      </w:hyperlink>
    </w:p>
    <w:p w14:paraId="7F2153A4" w14:textId="77777777" w:rsidR="00BF686B" w:rsidRPr="00BF686B" w:rsidRDefault="00BF686B" w:rsidP="00BF686B">
      <w:r w:rsidRPr="00BF686B">
        <w:t>Palepu, K.G., Healy, P.M., Wright, S., Bradbury, M. and Coulton, J., 2020. </w:t>
      </w:r>
      <w:r w:rsidRPr="00BF686B">
        <w:rPr>
          <w:i/>
          <w:iCs/>
        </w:rPr>
        <w:t>Business analysis and valuation: Using financial statements</w:t>
      </w:r>
      <w:r w:rsidRPr="00BF686B">
        <w:t>. Cengage AU. books.google.com/books?hl=en&amp;lr=&amp;id=IDT6DwAAQBAJ&amp;oi=fnd&amp;pg=PR13&amp;dq=Financial+Statement+Analysis+and+Security+Valuation.&amp;ots=uKgndVwgcU&amp;sig=KeBqC99D3mxeyUJFWZ1GTfsAtOo</w:t>
      </w:r>
    </w:p>
    <w:p w14:paraId="3C92C5A5" w14:textId="77777777" w:rsidR="00BF686B" w:rsidRPr="00BF686B" w:rsidRDefault="00BF686B" w:rsidP="00BF686B">
      <w:r w:rsidRPr="00BF686B">
        <w:t>Parrino, R., Bates, T.W., Gillan, S.L. and Kidwell, D.S., 2021. </w:t>
      </w:r>
      <w:r w:rsidRPr="00BF686B">
        <w:rPr>
          <w:i/>
          <w:iCs/>
        </w:rPr>
        <w:t>Fundamentals of corporate finance</w:t>
      </w:r>
      <w:r w:rsidRPr="00BF686B">
        <w:t>. John Wiley &amp; Sons.</w:t>
      </w:r>
    </w:p>
    <w:p w14:paraId="65B52993" w14:textId="77777777" w:rsidR="00BF686B" w:rsidRPr="00BF686B" w:rsidRDefault="00BF686B" w:rsidP="00BF686B">
      <w:pPr>
        <w:rPr>
          <w:i/>
          <w:iCs/>
        </w:rPr>
      </w:pPr>
      <w:r w:rsidRPr="00BF686B">
        <w:rPr>
          <w:i/>
          <w:iCs/>
        </w:rPr>
        <w:t>Robert, C.H., Jennifer, L.K. and Todd, M., 2023. Analysis for financial management. McGraw-Hill Education.</w:t>
      </w:r>
    </w:p>
    <w:p w14:paraId="7208D60C" w14:textId="77777777" w:rsidR="00BF686B" w:rsidRPr="00BF686B" w:rsidRDefault="00BF686B" w:rsidP="00BF686B">
      <w:r w:rsidRPr="00BF686B">
        <w:t>Schroeder, R.G., Clark, M.W. and Cathey, J.M., 2022. </w:t>
      </w:r>
      <w:r w:rsidRPr="00BF686B">
        <w:rPr>
          <w:i/>
          <w:iCs/>
        </w:rPr>
        <w:t>Financial accounting theory and analysis: text and cases</w:t>
      </w:r>
      <w:r w:rsidRPr="00BF686B">
        <w:t>. John Wiley &amp; Sons.</w:t>
      </w:r>
    </w:p>
    <w:p w14:paraId="58088EE8" w14:textId="77777777" w:rsidR="00BF686B" w:rsidRPr="00BF686B" w:rsidRDefault="00BF686B" w:rsidP="00BF686B">
      <w:r w:rsidRPr="00BF686B">
        <w:lastRenderedPageBreak/>
        <w:t>Vernimmen, P., Quiry, P. and Le Fur, Y., 2022. </w:t>
      </w:r>
      <w:r w:rsidRPr="00BF686B">
        <w:rPr>
          <w:i/>
          <w:iCs/>
        </w:rPr>
        <w:t>Corporate finance: theory and practice</w:t>
      </w:r>
      <w:r w:rsidRPr="00BF686B">
        <w:t>. John Wiley &amp; Sons.</w:t>
      </w:r>
    </w:p>
    <w:p w14:paraId="2D0DA051" w14:textId="1F3B8252" w:rsidR="0049471A" w:rsidRDefault="0049471A">
      <w:r>
        <w:br w:type="page"/>
      </w:r>
    </w:p>
    <w:p w14:paraId="49034966" w14:textId="5754A536" w:rsidR="0049471A" w:rsidRDefault="0049471A" w:rsidP="0049471A">
      <w:pPr>
        <w:pStyle w:val="Heading1"/>
      </w:pPr>
      <w:bookmarkStart w:id="49" w:name="_Toc216707211"/>
      <w:r>
        <w:lastRenderedPageBreak/>
        <w:t>Appendix</w:t>
      </w:r>
      <w:bookmarkEnd w:id="49"/>
    </w:p>
    <w:p w14:paraId="1624BDDC" w14:textId="3AB1C294" w:rsidR="0049471A" w:rsidRDefault="00F87D0A" w:rsidP="0049471A">
      <w:r>
        <w:rPr>
          <w:noProof/>
        </w:rPr>
        <w:drawing>
          <wp:inline distT="0" distB="0" distL="0" distR="0" wp14:anchorId="50828CEB" wp14:editId="407388C6">
            <wp:extent cx="5486400" cy="3200400"/>
            <wp:effectExtent l="0" t="0" r="0" b="0"/>
            <wp:docPr id="124665824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2A3B995" w14:textId="3E32F9C0" w:rsidR="00F87D0A" w:rsidRDefault="00F87D0A" w:rsidP="0049471A">
      <w:r>
        <w:t xml:space="preserve">Figure: </w:t>
      </w:r>
      <w:r w:rsidRPr="00F87D0A">
        <w:t>Profitability Ratios (2020–2024)</w:t>
      </w:r>
    </w:p>
    <w:p w14:paraId="673748FB" w14:textId="3265D8E7" w:rsidR="00F87D0A" w:rsidRDefault="00F87D0A" w:rsidP="0049471A">
      <w:r>
        <w:rPr>
          <w:noProof/>
        </w:rPr>
        <w:drawing>
          <wp:inline distT="0" distB="0" distL="0" distR="0" wp14:anchorId="083EDFBA" wp14:editId="7E406FC4">
            <wp:extent cx="5486400" cy="3200400"/>
            <wp:effectExtent l="0" t="0" r="0" b="0"/>
            <wp:docPr id="226261044"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47B0E9A" w14:textId="77777777" w:rsidR="00F87D0A" w:rsidRPr="00F87D0A" w:rsidRDefault="00F87D0A" w:rsidP="00F87D0A">
      <w:r>
        <w:t xml:space="preserve">Figure: </w:t>
      </w:r>
      <w:r w:rsidRPr="00F87D0A">
        <w:t>Liquidity Ratios (2020–2024)</w:t>
      </w:r>
    </w:p>
    <w:p w14:paraId="11B452D5" w14:textId="219DE66F" w:rsidR="00F87D0A" w:rsidRDefault="00AC7683" w:rsidP="0049471A">
      <w:r>
        <w:rPr>
          <w:noProof/>
        </w:rPr>
        <w:lastRenderedPageBreak/>
        <w:drawing>
          <wp:inline distT="0" distB="0" distL="0" distR="0" wp14:anchorId="419DE500" wp14:editId="1EC02C8B">
            <wp:extent cx="5486400" cy="3200400"/>
            <wp:effectExtent l="0" t="0" r="0" b="0"/>
            <wp:docPr id="185629375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799B467" w14:textId="57292F81" w:rsidR="00AC7683" w:rsidRDefault="00AC7683" w:rsidP="0049471A">
      <w:r>
        <w:t xml:space="preserve">Figure: </w:t>
      </w:r>
      <w:r w:rsidRPr="00AC7683">
        <w:t>Working Capital Ratios (2020–2024)</w:t>
      </w:r>
    </w:p>
    <w:p w14:paraId="5423EE96" w14:textId="10FD68E2" w:rsidR="00AC7683" w:rsidRDefault="003D2D23" w:rsidP="0049471A">
      <w:r>
        <w:rPr>
          <w:noProof/>
        </w:rPr>
        <w:drawing>
          <wp:inline distT="0" distB="0" distL="0" distR="0" wp14:anchorId="64AD632B" wp14:editId="66C0E5E1">
            <wp:extent cx="5486400" cy="3200400"/>
            <wp:effectExtent l="0" t="0" r="0" b="0"/>
            <wp:docPr id="125339489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62B9307" w14:textId="5CD96EC4" w:rsidR="00170FF8" w:rsidRDefault="00170FF8" w:rsidP="0049471A">
      <w:r>
        <w:t xml:space="preserve">Figure: </w:t>
      </w:r>
      <w:r w:rsidRPr="00170FF8">
        <w:t>Financial Risk Ratios (2020–2024)</w:t>
      </w:r>
    </w:p>
    <w:p w14:paraId="7F7CAA0F" w14:textId="4CD93EA7" w:rsidR="00594289" w:rsidRDefault="00EC4075" w:rsidP="00C006D6">
      <w:r>
        <w:rPr>
          <w:noProof/>
        </w:rPr>
        <w:lastRenderedPageBreak/>
        <w:drawing>
          <wp:inline distT="0" distB="0" distL="0" distR="0" wp14:anchorId="45456708" wp14:editId="71967B56">
            <wp:extent cx="5733415" cy="3319145"/>
            <wp:effectExtent l="0" t="0" r="635" b="14605"/>
            <wp:docPr id="1488121031"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5DA02F8-3E06-4C34-B73A-1A23E75581B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4729C19" w14:textId="37786740" w:rsidR="00EC4075" w:rsidRDefault="00EC4075" w:rsidP="00C006D6">
      <w:r>
        <w:t xml:space="preserve">Figure: </w:t>
      </w:r>
      <w:r w:rsidRPr="00EC4075">
        <w:t>Restructuring</w:t>
      </w:r>
      <w:r>
        <w:t xml:space="preserve"> </w:t>
      </w:r>
      <w:r w:rsidRPr="00EC4075">
        <w:t>Leverage</w:t>
      </w:r>
    </w:p>
    <w:p w14:paraId="0F04AD63" w14:textId="3FD47D2D" w:rsidR="00EC4075" w:rsidRDefault="00EF12E8" w:rsidP="00C006D6">
      <w:r w:rsidRPr="00EF12E8">
        <w:rPr>
          <w:noProof/>
        </w:rPr>
        <w:drawing>
          <wp:inline distT="0" distB="0" distL="0" distR="0" wp14:anchorId="55D30814" wp14:editId="49F359D6">
            <wp:extent cx="5733415" cy="453390"/>
            <wp:effectExtent l="0" t="0" r="635" b="3810"/>
            <wp:docPr id="853172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17221" name=""/>
                    <pic:cNvPicPr/>
                  </pic:nvPicPr>
                  <pic:blipFill>
                    <a:blip r:embed="rId30"/>
                    <a:stretch>
                      <a:fillRect/>
                    </a:stretch>
                  </pic:blipFill>
                  <pic:spPr>
                    <a:xfrm>
                      <a:off x="0" y="0"/>
                      <a:ext cx="5733415" cy="453390"/>
                    </a:xfrm>
                    <a:prstGeom prst="rect">
                      <a:avLst/>
                    </a:prstGeom>
                  </pic:spPr>
                </pic:pic>
              </a:graphicData>
            </a:graphic>
          </wp:inline>
        </w:drawing>
      </w:r>
    </w:p>
    <w:p w14:paraId="458D17F3" w14:textId="683D47B9" w:rsidR="00EF12E8" w:rsidRDefault="00EF12E8" w:rsidP="00C006D6">
      <w:r>
        <w:t xml:space="preserve">Figure: </w:t>
      </w:r>
      <w:r w:rsidRPr="00EF12E8">
        <w:t>Ratios</w:t>
      </w:r>
    </w:p>
    <w:p w14:paraId="1033A0DC" w14:textId="7FEEEDF0" w:rsidR="00EF12E8" w:rsidRDefault="00EF12E8" w:rsidP="00C006D6">
      <w:r w:rsidRPr="00EF12E8">
        <w:rPr>
          <w:noProof/>
        </w:rPr>
        <w:drawing>
          <wp:inline distT="0" distB="0" distL="0" distR="0" wp14:anchorId="0C2B0348" wp14:editId="4B56B4D3">
            <wp:extent cx="5733415" cy="363855"/>
            <wp:effectExtent l="0" t="0" r="635" b="0"/>
            <wp:docPr id="1975455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455817" name=""/>
                    <pic:cNvPicPr/>
                  </pic:nvPicPr>
                  <pic:blipFill>
                    <a:blip r:embed="rId31"/>
                    <a:stretch>
                      <a:fillRect/>
                    </a:stretch>
                  </pic:blipFill>
                  <pic:spPr>
                    <a:xfrm>
                      <a:off x="0" y="0"/>
                      <a:ext cx="5733415" cy="363855"/>
                    </a:xfrm>
                    <a:prstGeom prst="rect">
                      <a:avLst/>
                    </a:prstGeom>
                  </pic:spPr>
                </pic:pic>
              </a:graphicData>
            </a:graphic>
          </wp:inline>
        </w:drawing>
      </w:r>
    </w:p>
    <w:p w14:paraId="0D1C7C46" w14:textId="6A1F59A7" w:rsidR="00EF12E8" w:rsidRDefault="00EF12E8" w:rsidP="00C006D6">
      <w:r>
        <w:t>Figure: Financial Raw</w:t>
      </w:r>
    </w:p>
    <w:tbl>
      <w:tblPr>
        <w:tblStyle w:val="TableGrid"/>
        <w:tblW w:w="9147" w:type="dxa"/>
        <w:tblLook w:val="04A0" w:firstRow="1" w:lastRow="0" w:firstColumn="1" w:lastColumn="0" w:noHBand="0" w:noVBand="1"/>
      </w:tblPr>
      <w:tblGrid>
        <w:gridCol w:w="5609"/>
        <w:gridCol w:w="3538"/>
      </w:tblGrid>
      <w:tr w:rsidR="00330727" w:rsidRPr="00330727" w14:paraId="0730E8E6" w14:textId="77777777" w:rsidTr="00330727">
        <w:trPr>
          <w:trHeight w:val="272"/>
        </w:trPr>
        <w:tc>
          <w:tcPr>
            <w:tcW w:w="5609" w:type="dxa"/>
            <w:noWrap/>
            <w:hideMark/>
          </w:tcPr>
          <w:p w14:paraId="773785AB" w14:textId="77777777" w:rsidR="00330727" w:rsidRPr="00330727" w:rsidRDefault="00330727">
            <w:r w:rsidRPr="00330727">
              <w:t>Option</w:t>
            </w:r>
          </w:p>
        </w:tc>
        <w:tc>
          <w:tcPr>
            <w:tcW w:w="3538" w:type="dxa"/>
            <w:noWrap/>
            <w:hideMark/>
          </w:tcPr>
          <w:p w14:paraId="280FF4D9" w14:textId="77777777" w:rsidR="00330727" w:rsidRPr="00330727" w:rsidRDefault="00330727">
            <w:r w:rsidRPr="00330727">
              <w:t>Leverage (%)</w:t>
            </w:r>
          </w:p>
        </w:tc>
      </w:tr>
      <w:tr w:rsidR="00330727" w:rsidRPr="00330727" w14:paraId="1970E349" w14:textId="77777777" w:rsidTr="00330727">
        <w:trPr>
          <w:trHeight w:val="272"/>
        </w:trPr>
        <w:tc>
          <w:tcPr>
            <w:tcW w:w="5609" w:type="dxa"/>
            <w:noWrap/>
            <w:hideMark/>
          </w:tcPr>
          <w:p w14:paraId="7A637EA4" w14:textId="77777777" w:rsidR="00330727" w:rsidRPr="00330727" w:rsidRDefault="00330727">
            <w:r w:rsidRPr="00330727">
              <w:t>Before Restructuring</w:t>
            </w:r>
          </w:p>
        </w:tc>
        <w:tc>
          <w:tcPr>
            <w:tcW w:w="3538" w:type="dxa"/>
            <w:noWrap/>
            <w:hideMark/>
          </w:tcPr>
          <w:p w14:paraId="55FE5788" w14:textId="77777777" w:rsidR="00330727" w:rsidRPr="00330727" w:rsidRDefault="00330727" w:rsidP="00330727">
            <w:r w:rsidRPr="00330727">
              <w:t>85</w:t>
            </w:r>
          </w:p>
        </w:tc>
      </w:tr>
      <w:tr w:rsidR="00330727" w:rsidRPr="00330727" w14:paraId="448E261D" w14:textId="77777777" w:rsidTr="00330727">
        <w:trPr>
          <w:trHeight w:val="272"/>
        </w:trPr>
        <w:tc>
          <w:tcPr>
            <w:tcW w:w="5609" w:type="dxa"/>
            <w:noWrap/>
            <w:hideMark/>
          </w:tcPr>
          <w:p w14:paraId="1ACC2A0F" w14:textId="77777777" w:rsidR="00330727" w:rsidRPr="00330727" w:rsidRDefault="00330727" w:rsidP="00330727">
            <w:r w:rsidRPr="00330727">
              <w:t>After Divestiture</w:t>
            </w:r>
          </w:p>
        </w:tc>
        <w:tc>
          <w:tcPr>
            <w:tcW w:w="3538" w:type="dxa"/>
            <w:noWrap/>
            <w:hideMark/>
          </w:tcPr>
          <w:p w14:paraId="25764051" w14:textId="77777777" w:rsidR="00330727" w:rsidRPr="00330727" w:rsidRDefault="00330727" w:rsidP="00330727">
            <w:r w:rsidRPr="00330727">
              <w:t>55</w:t>
            </w:r>
          </w:p>
        </w:tc>
      </w:tr>
      <w:tr w:rsidR="00330727" w:rsidRPr="00330727" w14:paraId="00C0BF47" w14:textId="77777777" w:rsidTr="00330727">
        <w:trPr>
          <w:trHeight w:val="272"/>
        </w:trPr>
        <w:tc>
          <w:tcPr>
            <w:tcW w:w="5609" w:type="dxa"/>
            <w:noWrap/>
            <w:hideMark/>
          </w:tcPr>
          <w:p w14:paraId="1C58F357" w14:textId="77777777" w:rsidR="00330727" w:rsidRPr="00330727" w:rsidRDefault="00330727" w:rsidP="00330727">
            <w:r w:rsidRPr="00330727">
              <w:t>After Merger</w:t>
            </w:r>
          </w:p>
        </w:tc>
        <w:tc>
          <w:tcPr>
            <w:tcW w:w="3538" w:type="dxa"/>
            <w:noWrap/>
            <w:hideMark/>
          </w:tcPr>
          <w:p w14:paraId="1B7C0B0D" w14:textId="77777777" w:rsidR="00330727" w:rsidRPr="00330727" w:rsidRDefault="00330727" w:rsidP="00330727">
            <w:r w:rsidRPr="00330727">
              <w:t>65</w:t>
            </w:r>
          </w:p>
        </w:tc>
      </w:tr>
      <w:tr w:rsidR="00330727" w:rsidRPr="00330727" w14:paraId="63C65FC5" w14:textId="77777777" w:rsidTr="00330727">
        <w:trPr>
          <w:trHeight w:val="272"/>
        </w:trPr>
        <w:tc>
          <w:tcPr>
            <w:tcW w:w="5609" w:type="dxa"/>
            <w:noWrap/>
            <w:hideMark/>
          </w:tcPr>
          <w:p w14:paraId="7D76BA31" w14:textId="77777777" w:rsidR="00330727" w:rsidRPr="00330727" w:rsidRDefault="00330727" w:rsidP="00330727">
            <w:r w:rsidRPr="00330727">
              <w:t>After Equity Injection</w:t>
            </w:r>
          </w:p>
        </w:tc>
        <w:tc>
          <w:tcPr>
            <w:tcW w:w="3538" w:type="dxa"/>
            <w:noWrap/>
            <w:hideMark/>
          </w:tcPr>
          <w:p w14:paraId="4ED1DADE" w14:textId="77777777" w:rsidR="00330727" w:rsidRPr="00330727" w:rsidRDefault="00330727" w:rsidP="00330727">
            <w:r w:rsidRPr="00330727">
              <w:t>45</w:t>
            </w:r>
          </w:p>
        </w:tc>
      </w:tr>
    </w:tbl>
    <w:p w14:paraId="7743648A" w14:textId="77777777" w:rsidR="00EF12E8" w:rsidRDefault="00EF12E8" w:rsidP="00C006D6"/>
    <w:tbl>
      <w:tblPr>
        <w:tblStyle w:val="TableGrid"/>
        <w:tblW w:w="0" w:type="auto"/>
        <w:tblLook w:val="04A0" w:firstRow="1" w:lastRow="0" w:firstColumn="1" w:lastColumn="0" w:noHBand="0" w:noVBand="1"/>
      </w:tblPr>
      <w:tblGrid>
        <w:gridCol w:w="4493"/>
        <w:gridCol w:w="4479"/>
      </w:tblGrid>
      <w:tr w:rsidR="00330727" w:rsidRPr="00330727" w14:paraId="02B4CFAB" w14:textId="77777777" w:rsidTr="00330727">
        <w:trPr>
          <w:trHeight w:val="291"/>
        </w:trPr>
        <w:tc>
          <w:tcPr>
            <w:tcW w:w="4493" w:type="dxa"/>
            <w:noWrap/>
            <w:hideMark/>
          </w:tcPr>
          <w:p w14:paraId="706345E5" w14:textId="77777777" w:rsidR="00330727" w:rsidRPr="00330727" w:rsidRDefault="00330727">
            <w:r w:rsidRPr="00330727">
              <w:t>Project</w:t>
            </w:r>
          </w:p>
        </w:tc>
        <w:tc>
          <w:tcPr>
            <w:tcW w:w="4479" w:type="dxa"/>
            <w:noWrap/>
            <w:hideMark/>
          </w:tcPr>
          <w:p w14:paraId="2B7D5864" w14:textId="77777777" w:rsidR="00330727" w:rsidRPr="00330727" w:rsidRDefault="00330727">
            <w:r w:rsidRPr="00330727">
              <w:t>IRR (%)</w:t>
            </w:r>
          </w:p>
        </w:tc>
      </w:tr>
      <w:tr w:rsidR="00330727" w:rsidRPr="00330727" w14:paraId="582E357F" w14:textId="77777777" w:rsidTr="00330727">
        <w:trPr>
          <w:trHeight w:val="291"/>
        </w:trPr>
        <w:tc>
          <w:tcPr>
            <w:tcW w:w="4493" w:type="dxa"/>
            <w:noWrap/>
            <w:hideMark/>
          </w:tcPr>
          <w:p w14:paraId="6D8F96B4" w14:textId="77777777" w:rsidR="00330727" w:rsidRPr="00330727" w:rsidRDefault="00330727">
            <w:r w:rsidRPr="00330727">
              <w:t>Project A</w:t>
            </w:r>
          </w:p>
        </w:tc>
        <w:tc>
          <w:tcPr>
            <w:tcW w:w="4479" w:type="dxa"/>
            <w:noWrap/>
            <w:hideMark/>
          </w:tcPr>
          <w:p w14:paraId="38957174" w14:textId="77777777" w:rsidR="00330727" w:rsidRPr="00330727" w:rsidRDefault="00330727" w:rsidP="00330727">
            <w:r w:rsidRPr="00330727">
              <w:t>12</w:t>
            </w:r>
          </w:p>
        </w:tc>
      </w:tr>
      <w:tr w:rsidR="00330727" w:rsidRPr="00330727" w14:paraId="49784BDC" w14:textId="77777777" w:rsidTr="00330727">
        <w:trPr>
          <w:trHeight w:val="291"/>
        </w:trPr>
        <w:tc>
          <w:tcPr>
            <w:tcW w:w="4493" w:type="dxa"/>
            <w:noWrap/>
            <w:hideMark/>
          </w:tcPr>
          <w:p w14:paraId="7FC7387A" w14:textId="77777777" w:rsidR="00330727" w:rsidRPr="00330727" w:rsidRDefault="00330727" w:rsidP="00330727">
            <w:r w:rsidRPr="00330727">
              <w:t>Project B</w:t>
            </w:r>
          </w:p>
        </w:tc>
        <w:tc>
          <w:tcPr>
            <w:tcW w:w="4479" w:type="dxa"/>
            <w:noWrap/>
            <w:hideMark/>
          </w:tcPr>
          <w:p w14:paraId="18CE9D61" w14:textId="77777777" w:rsidR="00330727" w:rsidRPr="00330727" w:rsidRDefault="00330727" w:rsidP="00330727">
            <w:r w:rsidRPr="00330727">
              <w:t>5</w:t>
            </w:r>
          </w:p>
        </w:tc>
      </w:tr>
      <w:tr w:rsidR="00330727" w:rsidRPr="00330727" w14:paraId="544440CD" w14:textId="77777777" w:rsidTr="00330727">
        <w:trPr>
          <w:trHeight w:val="291"/>
        </w:trPr>
        <w:tc>
          <w:tcPr>
            <w:tcW w:w="4493" w:type="dxa"/>
            <w:noWrap/>
            <w:hideMark/>
          </w:tcPr>
          <w:p w14:paraId="2703048D" w14:textId="77777777" w:rsidR="00330727" w:rsidRPr="00330727" w:rsidRDefault="00330727" w:rsidP="00330727">
            <w:r w:rsidRPr="00330727">
              <w:t>Project C</w:t>
            </w:r>
          </w:p>
        </w:tc>
        <w:tc>
          <w:tcPr>
            <w:tcW w:w="4479" w:type="dxa"/>
            <w:noWrap/>
            <w:hideMark/>
          </w:tcPr>
          <w:p w14:paraId="39D24F98" w14:textId="77777777" w:rsidR="00330727" w:rsidRPr="00330727" w:rsidRDefault="00330727" w:rsidP="00330727">
            <w:r w:rsidRPr="00330727">
              <w:t>15</w:t>
            </w:r>
          </w:p>
        </w:tc>
      </w:tr>
    </w:tbl>
    <w:p w14:paraId="2582EE1F" w14:textId="32DAD2B9" w:rsidR="00EC4075" w:rsidRDefault="00330727" w:rsidP="00C006D6">
      <w:r>
        <w:rPr>
          <w:noProof/>
        </w:rPr>
        <w:lastRenderedPageBreak/>
        <w:drawing>
          <wp:inline distT="0" distB="0" distL="0" distR="0" wp14:anchorId="0FD2C79F" wp14:editId="2440CC05">
            <wp:extent cx="5400000" cy="2700000"/>
            <wp:effectExtent l="0" t="0" r="10795" b="5715"/>
            <wp:docPr id="118757975"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69564A9-BF42-4894-9276-5F844B683F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tbl>
      <w:tblPr>
        <w:tblStyle w:val="TableGrid"/>
        <w:tblW w:w="0" w:type="auto"/>
        <w:tblLook w:val="04A0" w:firstRow="1" w:lastRow="0" w:firstColumn="1" w:lastColumn="0" w:noHBand="0" w:noVBand="1"/>
      </w:tblPr>
      <w:tblGrid>
        <w:gridCol w:w="4293"/>
        <w:gridCol w:w="4279"/>
      </w:tblGrid>
      <w:tr w:rsidR="00BD0760" w:rsidRPr="00BD0760" w14:paraId="54D340A7" w14:textId="77777777" w:rsidTr="00BD0760">
        <w:trPr>
          <w:trHeight w:val="213"/>
        </w:trPr>
        <w:tc>
          <w:tcPr>
            <w:tcW w:w="4293" w:type="dxa"/>
            <w:noWrap/>
            <w:hideMark/>
          </w:tcPr>
          <w:p w14:paraId="3629572E" w14:textId="77777777" w:rsidR="00BD0760" w:rsidRPr="00BD0760" w:rsidRDefault="00BD0760">
            <w:r w:rsidRPr="00BD0760">
              <w:t>Project</w:t>
            </w:r>
          </w:p>
        </w:tc>
        <w:tc>
          <w:tcPr>
            <w:tcW w:w="4279" w:type="dxa"/>
            <w:noWrap/>
            <w:hideMark/>
          </w:tcPr>
          <w:p w14:paraId="6B025DBE" w14:textId="77777777" w:rsidR="00BD0760" w:rsidRPr="00BD0760" w:rsidRDefault="00BD0760">
            <w:r w:rsidRPr="00BD0760">
              <w:t>PI</w:t>
            </w:r>
          </w:p>
        </w:tc>
      </w:tr>
      <w:tr w:rsidR="00BD0760" w:rsidRPr="00BD0760" w14:paraId="6F231641" w14:textId="77777777" w:rsidTr="00BD0760">
        <w:trPr>
          <w:trHeight w:val="213"/>
        </w:trPr>
        <w:tc>
          <w:tcPr>
            <w:tcW w:w="4293" w:type="dxa"/>
            <w:noWrap/>
            <w:hideMark/>
          </w:tcPr>
          <w:p w14:paraId="47641F9C" w14:textId="77777777" w:rsidR="00BD0760" w:rsidRPr="00BD0760" w:rsidRDefault="00BD0760">
            <w:r w:rsidRPr="00BD0760">
              <w:t>Project A</w:t>
            </w:r>
          </w:p>
        </w:tc>
        <w:tc>
          <w:tcPr>
            <w:tcW w:w="4279" w:type="dxa"/>
            <w:noWrap/>
            <w:hideMark/>
          </w:tcPr>
          <w:p w14:paraId="671D6E73" w14:textId="77777777" w:rsidR="00BD0760" w:rsidRPr="00BD0760" w:rsidRDefault="00BD0760" w:rsidP="00BD0760">
            <w:r w:rsidRPr="00BD0760">
              <w:t>1.03</w:t>
            </w:r>
          </w:p>
        </w:tc>
      </w:tr>
      <w:tr w:rsidR="00BD0760" w:rsidRPr="00BD0760" w14:paraId="327E627B" w14:textId="77777777" w:rsidTr="00BD0760">
        <w:trPr>
          <w:trHeight w:val="213"/>
        </w:trPr>
        <w:tc>
          <w:tcPr>
            <w:tcW w:w="4293" w:type="dxa"/>
            <w:noWrap/>
            <w:hideMark/>
          </w:tcPr>
          <w:p w14:paraId="3019ABB5" w14:textId="77777777" w:rsidR="00BD0760" w:rsidRPr="00BD0760" w:rsidRDefault="00BD0760" w:rsidP="00BD0760">
            <w:r w:rsidRPr="00BD0760">
              <w:t>Project B</w:t>
            </w:r>
          </w:p>
        </w:tc>
        <w:tc>
          <w:tcPr>
            <w:tcW w:w="4279" w:type="dxa"/>
            <w:noWrap/>
            <w:hideMark/>
          </w:tcPr>
          <w:p w14:paraId="63DD0E67" w14:textId="77777777" w:rsidR="00BD0760" w:rsidRPr="00BD0760" w:rsidRDefault="00BD0760" w:rsidP="00BD0760">
            <w:r w:rsidRPr="00BD0760">
              <w:t>0.76</w:t>
            </w:r>
          </w:p>
        </w:tc>
      </w:tr>
      <w:tr w:rsidR="00BD0760" w:rsidRPr="00BD0760" w14:paraId="3648209C" w14:textId="77777777" w:rsidTr="00BD0760">
        <w:trPr>
          <w:trHeight w:val="213"/>
        </w:trPr>
        <w:tc>
          <w:tcPr>
            <w:tcW w:w="4293" w:type="dxa"/>
            <w:noWrap/>
            <w:hideMark/>
          </w:tcPr>
          <w:p w14:paraId="3594D317" w14:textId="77777777" w:rsidR="00BD0760" w:rsidRPr="00BD0760" w:rsidRDefault="00BD0760" w:rsidP="00BD0760">
            <w:r w:rsidRPr="00BD0760">
              <w:t>Project C</w:t>
            </w:r>
          </w:p>
        </w:tc>
        <w:tc>
          <w:tcPr>
            <w:tcW w:w="4279" w:type="dxa"/>
            <w:noWrap/>
            <w:hideMark/>
          </w:tcPr>
          <w:p w14:paraId="2972DAFF" w14:textId="77777777" w:rsidR="00BD0760" w:rsidRPr="00BD0760" w:rsidRDefault="00BD0760" w:rsidP="00BD0760">
            <w:r w:rsidRPr="00BD0760">
              <w:t>1.08</w:t>
            </w:r>
          </w:p>
        </w:tc>
      </w:tr>
    </w:tbl>
    <w:p w14:paraId="097AEA4F" w14:textId="77777777" w:rsidR="00330727" w:rsidRDefault="00330727" w:rsidP="00C006D6"/>
    <w:p w14:paraId="4DA939BD" w14:textId="2B39D25E" w:rsidR="00BD0760" w:rsidRDefault="00BD0760" w:rsidP="00C006D6">
      <w:r>
        <w:rPr>
          <w:noProof/>
        </w:rPr>
        <w:drawing>
          <wp:inline distT="0" distB="0" distL="0" distR="0" wp14:anchorId="64482561" wp14:editId="3ECEF426">
            <wp:extent cx="5400000" cy="2700000"/>
            <wp:effectExtent l="0" t="0" r="10795" b="5715"/>
            <wp:docPr id="1782424263"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03BE7E5-3B7C-42A0-B52E-5263249B16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tbl>
      <w:tblPr>
        <w:tblStyle w:val="TableGrid"/>
        <w:tblW w:w="0" w:type="auto"/>
        <w:tblLook w:val="04A0" w:firstRow="1" w:lastRow="0" w:firstColumn="1" w:lastColumn="0" w:noHBand="0" w:noVBand="1"/>
      </w:tblPr>
      <w:tblGrid>
        <w:gridCol w:w="4274"/>
        <w:gridCol w:w="4260"/>
      </w:tblGrid>
      <w:tr w:rsidR="00BD0760" w:rsidRPr="00BD0760" w14:paraId="13CE0410" w14:textId="77777777" w:rsidTr="00BD0760">
        <w:trPr>
          <w:trHeight w:val="286"/>
        </w:trPr>
        <w:tc>
          <w:tcPr>
            <w:tcW w:w="4274" w:type="dxa"/>
            <w:noWrap/>
            <w:hideMark/>
          </w:tcPr>
          <w:p w14:paraId="3B9B745F" w14:textId="77777777" w:rsidR="00BD0760" w:rsidRPr="00BD0760" w:rsidRDefault="00BD0760">
            <w:r w:rsidRPr="00BD0760">
              <w:t>Project</w:t>
            </w:r>
          </w:p>
        </w:tc>
        <w:tc>
          <w:tcPr>
            <w:tcW w:w="4260" w:type="dxa"/>
            <w:noWrap/>
            <w:hideMark/>
          </w:tcPr>
          <w:p w14:paraId="55CC25AB" w14:textId="77777777" w:rsidR="00BD0760" w:rsidRPr="00BD0760" w:rsidRDefault="00BD0760">
            <w:r w:rsidRPr="00BD0760">
              <w:t>NPV (£m)</w:t>
            </w:r>
          </w:p>
        </w:tc>
      </w:tr>
      <w:tr w:rsidR="00BD0760" w:rsidRPr="00BD0760" w14:paraId="1A61F656" w14:textId="77777777" w:rsidTr="00BD0760">
        <w:trPr>
          <w:trHeight w:val="286"/>
        </w:trPr>
        <w:tc>
          <w:tcPr>
            <w:tcW w:w="4274" w:type="dxa"/>
            <w:noWrap/>
            <w:hideMark/>
          </w:tcPr>
          <w:p w14:paraId="617EA5B7" w14:textId="77777777" w:rsidR="00BD0760" w:rsidRPr="00BD0760" w:rsidRDefault="00BD0760">
            <w:r w:rsidRPr="00BD0760">
              <w:t>Project A</w:t>
            </w:r>
          </w:p>
        </w:tc>
        <w:tc>
          <w:tcPr>
            <w:tcW w:w="4260" w:type="dxa"/>
            <w:noWrap/>
            <w:hideMark/>
          </w:tcPr>
          <w:p w14:paraId="52A83765" w14:textId="77777777" w:rsidR="00BD0760" w:rsidRPr="00BD0760" w:rsidRDefault="00BD0760" w:rsidP="00BD0760">
            <w:r w:rsidRPr="00BD0760">
              <w:t>1.33</w:t>
            </w:r>
          </w:p>
        </w:tc>
      </w:tr>
      <w:tr w:rsidR="00BD0760" w:rsidRPr="00BD0760" w14:paraId="13CC4E04" w14:textId="77777777" w:rsidTr="00BD0760">
        <w:trPr>
          <w:trHeight w:val="286"/>
        </w:trPr>
        <w:tc>
          <w:tcPr>
            <w:tcW w:w="4274" w:type="dxa"/>
            <w:noWrap/>
            <w:hideMark/>
          </w:tcPr>
          <w:p w14:paraId="3B33F026" w14:textId="77777777" w:rsidR="00BD0760" w:rsidRPr="00BD0760" w:rsidRDefault="00BD0760" w:rsidP="00BD0760">
            <w:r w:rsidRPr="00BD0760">
              <w:t>Project B</w:t>
            </w:r>
          </w:p>
        </w:tc>
        <w:tc>
          <w:tcPr>
            <w:tcW w:w="4260" w:type="dxa"/>
            <w:noWrap/>
            <w:hideMark/>
          </w:tcPr>
          <w:p w14:paraId="5290B067" w14:textId="77777777" w:rsidR="00BD0760" w:rsidRPr="00BD0760" w:rsidRDefault="00BD0760" w:rsidP="00BD0760">
            <w:r w:rsidRPr="00BD0760">
              <w:t>-7.26</w:t>
            </w:r>
          </w:p>
        </w:tc>
      </w:tr>
      <w:tr w:rsidR="00BD0760" w:rsidRPr="00BD0760" w14:paraId="20DEB20F" w14:textId="77777777" w:rsidTr="00BD0760">
        <w:trPr>
          <w:trHeight w:val="286"/>
        </w:trPr>
        <w:tc>
          <w:tcPr>
            <w:tcW w:w="4274" w:type="dxa"/>
            <w:noWrap/>
            <w:hideMark/>
          </w:tcPr>
          <w:p w14:paraId="1FD9A6D4" w14:textId="77777777" w:rsidR="00BD0760" w:rsidRPr="00BD0760" w:rsidRDefault="00BD0760" w:rsidP="00BD0760">
            <w:r w:rsidRPr="00BD0760">
              <w:t>Project C</w:t>
            </w:r>
          </w:p>
        </w:tc>
        <w:tc>
          <w:tcPr>
            <w:tcW w:w="4260" w:type="dxa"/>
            <w:noWrap/>
            <w:hideMark/>
          </w:tcPr>
          <w:p w14:paraId="7BE1CF68" w14:textId="77777777" w:rsidR="00BD0760" w:rsidRPr="00BD0760" w:rsidRDefault="00BD0760" w:rsidP="00BD0760">
            <w:r w:rsidRPr="00BD0760">
              <w:t>4.24</w:t>
            </w:r>
          </w:p>
        </w:tc>
      </w:tr>
    </w:tbl>
    <w:p w14:paraId="442DCDE5" w14:textId="77777777" w:rsidR="00BD0760" w:rsidRDefault="00BD0760" w:rsidP="00C006D6"/>
    <w:p w14:paraId="55C41469" w14:textId="77777777" w:rsidR="008C7518" w:rsidRDefault="008C7518" w:rsidP="00C006D6"/>
    <w:p w14:paraId="6D511B7A" w14:textId="06EC578A" w:rsidR="00BD0760" w:rsidRDefault="00BD0760" w:rsidP="00C006D6">
      <w:r>
        <w:rPr>
          <w:noProof/>
        </w:rPr>
        <w:lastRenderedPageBreak/>
        <w:drawing>
          <wp:inline distT="0" distB="0" distL="0" distR="0" wp14:anchorId="33E71064" wp14:editId="426C9C34">
            <wp:extent cx="5400000" cy="2700000"/>
            <wp:effectExtent l="0" t="0" r="10795" b="5715"/>
            <wp:docPr id="866455571"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6AFE371D-3970-4278-8D8E-3C61BAA7B8A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tbl>
      <w:tblPr>
        <w:tblStyle w:val="TableGrid"/>
        <w:tblW w:w="0" w:type="auto"/>
        <w:tblLook w:val="04A0" w:firstRow="1" w:lastRow="0" w:firstColumn="1" w:lastColumn="0" w:noHBand="0" w:noVBand="1"/>
      </w:tblPr>
      <w:tblGrid>
        <w:gridCol w:w="2125"/>
        <w:gridCol w:w="2131"/>
        <w:gridCol w:w="2131"/>
        <w:gridCol w:w="2131"/>
      </w:tblGrid>
      <w:tr w:rsidR="00BD0760" w:rsidRPr="00BD0760" w14:paraId="149202B9" w14:textId="77777777" w:rsidTr="00BD0760">
        <w:trPr>
          <w:trHeight w:val="294"/>
        </w:trPr>
        <w:tc>
          <w:tcPr>
            <w:tcW w:w="2125" w:type="dxa"/>
            <w:noWrap/>
            <w:hideMark/>
          </w:tcPr>
          <w:p w14:paraId="3608DA12" w14:textId="77777777" w:rsidR="00BD0760" w:rsidRPr="00BD0760" w:rsidRDefault="00BD0760">
            <w:r w:rsidRPr="00BD0760">
              <w:t>Year</w:t>
            </w:r>
          </w:p>
        </w:tc>
        <w:tc>
          <w:tcPr>
            <w:tcW w:w="2131" w:type="dxa"/>
            <w:noWrap/>
            <w:hideMark/>
          </w:tcPr>
          <w:p w14:paraId="0CA2A967" w14:textId="77777777" w:rsidR="00BD0760" w:rsidRPr="00BD0760" w:rsidRDefault="00BD0760">
            <w:r w:rsidRPr="00BD0760">
              <w:t>Project A</w:t>
            </w:r>
          </w:p>
        </w:tc>
        <w:tc>
          <w:tcPr>
            <w:tcW w:w="2131" w:type="dxa"/>
            <w:noWrap/>
            <w:hideMark/>
          </w:tcPr>
          <w:p w14:paraId="5749851F" w14:textId="77777777" w:rsidR="00BD0760" w:rsidRPr="00BD0760" w:rsidRDefault="00BD0760">
            <w:r w:rsidRPr="00BD0760">
              <w:t>Project B</w:t>
            </w:r>
          </w:p>
        </w:tc>
        <w:tc>
          <w:tcPr>
            <w:tcW w:w="2131" w:type="dxa"/>
            <w:noWrap/>
            <w:hideMark/>
          </w:tcPr>
          <w:p w14:paraId="3A84D2A6" w14:textId="77777777" w:rsidR="00BD0760" w:rsidRPr="00BD0760" w:rsidRDefault="00BD0760">
            <w:r w:rsidRPr="00BD0760">
              <w:t>Project C</w:t>
            </w:r>
          </w:p>
        </w:tc>
      </w:tr>
      <w:tr w:rsidR="00BD0760" w:rsidRPr="00BD0760" w14:paraId="7A26DFE7" w14:textId="77777777" w:rsidTr="00BD0760">
        <w:trPr>
          <w:trHeight w:val="294"/>
        </w:trPr>
        <w:tc>
          <w:tcPr>
            <w:tcW w:w="2125" w:type="dxa"/>
            <w:noWrap/>
            <w:hideMark/>
          </w:tcPr>
          <w:p w14:paraId="407F3392" w14:textId="77777777" w:rsidR="00BD0760" w:rsidRPr="00BD0760" w:rsidRDefault="00BD0760">
            <w:r w:rsidRPr="00BD0760">
              <w:t>Year 1</w:t>
            </w:r>
          </w:p>
        </w:tc>
        <w:tc>
          <w:tcPr>
            <w:tcW w:w="2131" w:type="dxa"/>
            <w:noWrap/>
            <w:hideMark/>
          </w:tcPr>
          <w:p w14:paraId="6AEA4300" w14:textId="77777777" w:rsidR="00BD0760" w:rsidRPr="00BD0760" w:rsidRDefault="00BD0760" w:rsidP="00BD0760">
            <w:r w:rsidRPr="00BD0760">
              <w:t>10</w:t>
            </w:r>
          </w:p>
        </w:tc>
        <w:tc>
          <w:tcPr>
            <w:tcW w:w="2131" w:type="dxa"/>
            <w:noWrap/>
            <w:hideMark/>
          </w:tcPr>
          <w:p w14:paraId="38194479" w14:textId="77777777" w:rsidR="00BD0760" w:rsidRPr="00BD0760" w:rsidRDefault="00BD0760" w:rsidP="00BD0760">
            <w:r w:rsidRPr="00BD0760">
              <w:t>6</w:t>
            </w:r>
          </w:p>
        </w:tc>
        <w:tc>
          <w:tcPr>
            <w:tcW w:w="2131" w:type="dxa"/>
            <w:noWrap/>
            <w:hideMark/>
          </w:tcPr>
          <w:p w14:paraId="3C6497F8" w14:textId="77777777" w:rsidR="00BD0760" w:rsidRPr="00BD0760" w:rsidRDefault="00BD0760" w:rsidP="00BD0760">
            <w:r w:rsidRPr="00BD0760">
              <w:t>5</w:t>
            </w:r>
          </w:p>
        </w:tc>
      </w:tr>
      <w:tr w:rsidR="00BD0760" w:rsidRPr="00BD0760" w14:paraId="64FF9240" w14:textId="77777777" w:rsidTr="00BD0760">
        <w:trPr>
          <w:trHeight w:val="294"/>
        </w:trPr>
        <w:tc>
          <w:tcPr>
            <w:tcW w:w="2125" w:type="dxa"/>
            <w:noWrap/>
            <w:hideMark/>
          </w:tcPr>
          <w:p w14:paraId="4068A6D1" w14:textId="77777777" w:rsidR="00BD0760" w:rsidRPr="00BD0760" w:rsidRDefault="00BD0760" w:rsidP="00BD0760">
            <w:r w:rsidRPr="00BD0760">
              <w:t>Year 2</w:t>
            </w:r>
          </w:p>
        </w:tc>
        <w:tc>
          <w:tcPr>
            <w:tcW w:w="2131" w:type="dxa"/>
            <w:noWrap/>
            <w:hideMark/>
          </w:tcPr>
          <w:p w14:paraId="09D46A2F" w14:textId="77777777" w:rsidR="00BD0760" w:rsidRPr="00BD0760" w:rsidRDefault="00BD0760" w:rsidP="00BD0760">
            <w:r w:rsidRPr="00BD0760">
              <w:t>12</w:t>
            </w:r>
          </w:p>
        </w:tc>
        <w:tc>
          <w:tcPr>
            <w:tcW w:w="2131" w:type="dxa"/>
            <w:noWrap/>
            <w:hideMark/>
          </w:tcPr>
          <w:p w14:paraId="34FA40C7" w14:textId="77777777" w:rsidR="00BD0760" w:rsidRPr="00BD0760" w:rsidRDefault="00BD0760" w:rsidP="00BD0760">
            <w:r w:rsidRPr="00BD0760">
              <w:t>6</w:t>
            </w:r>
          </w:p>
        </w:tc>
        <w:tc>
          <w:tcPr>
            <w:tcW w:w="2131" w:type="dxa"/>
            <w:noWrap/>
            <w:hideMark/>
          </w:tcPr>
          <w:p w14:paraId="7F93D281" w14:textId="77777777" w:rsidR="00BD0760" w:rsidRPr="00BD0760" w:rsidRDefault="00BD0760" w:rsidP="00BD0760">
            <w:r w:rsidRPr="00BD0760">
              <w:t>10</w:t>
            </w:r>
          </w:p>
        </w:tc>
      </w:tr>
      <w:tr w:rsidR="00BD0760" w:rsidRPr="00BD0760" w14:paraId="291202BE" w14:textId="77777777" w:rsidTr="00BD0760">
        <w:trPr>
          <w:trHeight w:val="294"/>
        </w:trPr>
        <w:tc>
          <w:tcPr>
            <w:tcW w:w="2125" w:type="dxa"/>
            <w:noWrap/>
            <w:hideMark/>
          </w:tcPr>
          <w:p w14:paraId="3B9A96F7" w14:textId="77777777" w:rsidR="00BD0760" w:rsidRPr="00BD0760" w:rsidRDefault="00BD0760" w:rsidP="00BD0760">
            <w:r w:rsidRPr="00BD0760">
              <w:t>Year 3</w:t>
            </w:r>
          </w:p>
        </w:tc>
        <w:tc>
          <w:tcPr>
            <w:tcW w:w="2131" w:type="dxa"/>
            <w:noWrap/>
            <w:hideMark/>
          </w:tcPr>
          <w:p w14:paraId="349E42EB" w14:textId="77777777" w:rsidR="00BD0760" w:rsidRPr="00BD0760" w:rsidRDefault="00BD0760" w:rsidP="00BD0760">
            <w:r w:rsidRPr="00BD0760">
              <w:t>14</w:t>
            </w:r>
          </w:p>
        </w:tc>
        <w:tc>
          <w:tcPr>
            <w:tcW w:w="2131" w:type="dxa"/>
            <w:noWrap/>
            <w:hideMark/>
          </w:tcPr>
          <w:p w14:paraId="367A0C43" w14:textId="77777777" w:rsidR="00BD0760" w:rsidRPr="00BD0760" w:rsidRDefault="00BD0760" w:rsidP="00BD0760">
            <w:r w:rsidRPr="00BD0760">
              <w:t>6</w:t>
            </w:r>
          </w:p>
        </w:tc>
        <w:tc>
          <w:tcPr>
            <w:tcW w:w="2131" w:type="dxa"/>
            <w:noWrap/>
            <w:hideMark/>
          </w:tcPr>
          <w:p w14:paraId="0335267C" w14:textId="77777777" w:rsidR="00BD0760" w:rsidRPr="00BD0760" w:rsidRDefault="00BD0760" w:rsidP="00BD0760">
            <w:r w:rsidRPr="00BD0760">
              <w:t>20</w:t>
            </w:r>
          </w:p>
        </w:tc>
      </w:tr>
      <w:tr w:rsidR="00BD0760" w:rsidRPr="00BD0760" w14:paraId="4BC86602" w14:textId="77777777" w:rsidTr="00BD0760">
        <w:trPr>
          <w:trHeight w:val="294"/>
        </w:trPr>
        <w:tc>
          <w:tcPr>
            <w:tcW w:w="2125" w:type="dxa"/>
            <w:noWrap/>
            <w:hideMark/>
          </w:tcPr>
          <w:p w14:paraId="3300067F" w14:textId="77777777" w:rsidR="00BD0760" w:rsidRPr="00BD0760" w:rsidRDefault="00BD0760" w:rsidP="00BD0760">
            <w:r w:rsidRPr="00BD0760">
              <w:t>Year 4</w:t>
            </w:r>
          </w:p>
        </w:tc>
        <w:tc>
          <w:tcPr>
            <w:tcW w:w="2131" w:type="dxa"/>
            <w:noWrap/>
            <w:hideMark/>
          </w:tcPr>
          <w:p w14:paraId="23060DF4" w14:textId="77777777" w:rsidR="00BD0760" w:rsidRPr="00BD0760" w:rsidRDefault="00BD0760" w:rsidP="00BD0760">
            <w:r w:rsidRPr="00BD0760">
              <w:t>10</w:t>
            </w:r>
          </w:p>
        </w:tc>
        <w:tc>
          <w:tcPr>
            <w:tcW w:w="2131" w:type="dxa"/>
            <w:noWrap/>
            <w:hideMark/>
          </w:tcPr>
          <w:p w14:paraId="3A521EFC" w14:textId="77777777" w:rsidR="00BD0760" w:rsidRPr="00BD0760" w:rsidRDefault="00BD0760" w:rsidP="00BD0760">
            <w:r w:rsidRPr="00BD0760">
              <w:t>6</w:t>
            </w:r>
          </w:p>
        </w:tc>
        <w:tc>
          <w:tcPr>
            <w:tcW w:w="2131" w:type="dxa"/>
            <w:noWrap/>
            <w:hideMark/>
          </w:tcPr>
          <w:p w14:paraId="7B7B7F1D" w14:textId="77777777" w:rsidR="00BD0760" w:rsidRPr="00BD0760" w:rsidRDefault="00BD0760" w:rsidP="00BD0760">
            <w:r w:rsidRPr="00BD0760">
              <w:t>25</w:t>
            </w:r>
          </w:p>
        </w:tc>
      </w:tr>
      <w:tr w:rsidR="00BD0760" w:rsidRPr="00BD0760" w14:paraId="5B173B6C" w14:textId="77777777" w:rsidTr="00BD0760">
        <w:trPr>
          <w:trHeight w:val="294"/>
        </w:trPr>
        <w:tc>
          <w:tcPr>
            <w:tcW w:w="2125" w:type="dxa"/>
            <w:noWrap/>
            <w:hideMark/>
          </w:tcPr>
          <w:p w14:paraId="61FE38E9" w14:textId="77777777" w:rsidR="00BD0760" w:rsidRPr="00BD0760" w:rsidRDefault="00BD0760" w:rsidP="00BD0760">
            <w:r w:rsidRPr="00BD0760">
              <w:t>Year 5</w:t>
            </w:r>
          </w:p>
        </w:tc>
        <w:tc>
          <w:tcPr>
            <w:tcW w:w="2131" w:type="dxa"/>
            <w:noWrap/>
            <w:hideMark/>
          </w:tcPr>
          <w:p w14:paraId="70DA28D8" w14:textId="77777777" w:rsidR="00BD0760" w:rsidRPr="00BD0760" w:rsidRDefault="00BD0760" w:rsidP="00BD0760">
            <w:r w:rsidRPr="00BD0760">
              <w:t>8</w:t>
            </w:r>
          </w:p>
        </w:tc>
        <w:tc>
          <w:tcPr>
            <w:tcW w:w="2131" w:type="dxa"/>
            <w:noWrap/>
            <w:hideMark/>
          </w:tcPr>
          <w:p w14:paraId="7C5DDD60" w14:textId="77777777" w:rsidR="00BD0760" w:rsidRPr="00BD0760" w:rsidRDefault="00BD0760" w:rsidP="00BD0760">
            <w:r w:rsidRPr="00BD0760">
              <w:t>6</w:t>
            </w:r>
          </w:p>
        </w:tc>
        <w:tc>
          <w:tcPr>
            <w:tcW w:w="2131" w:type="dxa"/>
            <w:noWrap/>
            <w:hideMark/>
          </w:tcPr>
          <w:p w14:paraId="3802B645" w14:textId="77777777" w:rsidR="00BD0760" w:rsidRPr="00BD0760" w:rsidRDefault="00BD0760" w:rsidP="00BD0760">
            <w:r w:rsidRPr="00BD0760">
              <w:t>15</w:t>
            </w:r>
          </w:p>
        </w:tc>
      </w:tr>
    </w:tbl>
    <w:p w14:paraId="16095CA9" w14:textId="77777777" w:rsidR="00BD0760" w:rsidRDefault="00BD0760" w:rsidP="00C006D6"/>
    <w:p w14:paraId="30FB4A8A" w14:textId="6E8848A3" w:rsidR="00BD0760" w:rsidRDefault="00BD0760" w:rsidP="00C006D6">
      <w:r>
        <w:rPr>
          <w:noProof/>
        </w:rPr>
        <w:drawing>
          <wp:inline distT="0" distB="0" distL="0" distR="0" wp14:anchorId="7D578DD9" wp14:editId="22E9A8C2">
            <wp:extent cx="5400000" cy="2700000"/>
            <wp:effectExtent l="0" t="0" r="10795" b="5715"/>
            <wp:docPr id="1613824410"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F274BC3-A807-464A-8406-3B69E4EAAA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tbl>
      <w:tblPr>
        <w:tblStyle w:val="TableGrid"/>
        <w:tblW w:w="0" w:type="auto"/>
        <w:tblLook w:val="04A0" w:firstRow="1" w:lastRow="0" w:firstColumn="1" w:lastColumn="0" w:noHBand="0" w:noVBand="1"/>
      </w:tblPr>
      <w:tblGrid>
        <w:gridCol w:w="1335"/>
        <w:gridCol w:w="1579"/>
        <w:gridCol w:w="1244"/>
        <w:gridCol w:w="1544"/>
        <w:gridCol w:w="1244"/>
        <w:gridCol w:w="1579"/>
      </w:tblGrid>
      <w:tr w:rsidR="00EE3000" w:rsidRPr="00EE3000" w14:paraId="0B8F8B0B" w14:textId="77777777" w:rsidTr="00EE3000">
        <w:trPr>
          <w:trHeight w:val="313"/>
        </w:trPr>
        <w:tc>
          <w:tcPr>
            <w:tcW w:w="1335" w:type="dxa"/>
            <w:noWrap/>
            <w:hideMark/>
          </w:tcPr>
          <w:p w14:paraId="7E84FE6E" w14:textId="77777777" w:rsidR="00EE3000" w:rsidRPr="00EE3000" w:rsidRDefault="00EE3000"/>
        </w:tc>
        <w:tc>
          <w:tcPr>
            <w:tcW w:w="1579" w:type="dxa"/>
            <w:noWrap/>
            <w:hideMark/>
          </w:tcPr>
          <w:p w14:paraId="4F21C070" w14:textId="77777777" w:rsidR="00EE3000" w:rsidRPr="00EE3000" w:rsidRDefault="00EE3000" w:rsidP="00EE3000">
            <w:pPr>
              <w:rPr>
                <w:b/>
                <w:bCs/>
              </w:rPr>
            </w:pPr>
            <w:r w:rsidRPr="00EE3000">
              <w:rPr>
                <w:b/>
                <w:bCs/>
              </w:rPr>
              <w:t>NPV</w:t>
            </w:r>
          </w:p>
        </w:tc>
        <w:tc>
          <w:tcPr>
            <w:tcW w:w="1244" w:type="dxa"/>
            <w:noWrap/>
            <w:hideMark/>
          </w:tcPr>
          <w:p w14:paraId="5CE079E7" w14:textId="77777777" w:rsidR="00EE3000" w:rsidRPr="00EE3000" w:rsidRDefault="00EE3000" w:rsidP="00EE3000">
            <w:pPr>
              <w:rPr>
                <w:b/>
                <w:bCs/>
              </w:rPr>
            </w:pPr>
            <w:r w:rsidRPr="00EE3000">
              <w:rPr>
                <w:b/>
                <w:bCs/>
              </w:rPr>
              <w:t>IRR</w:t>
            </w:r>
          </w:p>
        </w:tc>
        <w:tc>
          <w:tcPr>
            <w:tcW w:w="1544" w:type="dxa"/>
            <w:noWrap/>
            <w:hideMark/>
          </w:tcPr>
          <w:p w14:paraId="2AB17E5E" w14:textId="77777777" w:rsidR="00EE3000" w:rsidRPr="00EE3000" w:rsidRDefault="00EE3000" w:rsidP="00EE3000">
            <w:pPr>
              <w:rPr>
                <w:b/>
                <w:bCs/>
              </w:rPr>
            </w:pPr>
            <w:r w:rsidRPr="00EE3000">
              <w:rPr>
                <w:b/>
                <w:bCs/>
              </w:rPr>
              <w:t>Payback</w:t>
            </w:r>
          </w:p>
        </w:tc>
        <w:tc>
          <w:tcPr>
            <w:tcW w:w="1244" w:type="dxa"/>
            <w:noWrap/>
            <w:hideMark/>
          </w:tcPr>
          <w:p w14:paraId="7649A1C1" w14:textId="77777777" w:rsidR="00EE3000" w:rsidRPr="00EE3000" w:rsidRDefault="00EE3000" w:rsidP="00EE3000">
            <w:pPr>
              <w:rPr>
                <w:b/>
                <w:bCs/>
              </w:rPr>
            </w:pPr>
            <w:r w:rsidRPr="00EE3000">
              <w:rPr>
                <w:b/>
                <w:bCs/>
              </w:rPr>
              <w:t>ARR</w:t>
            </w:r>
          </w:p>
        </w:tc>
        <w:tc>
          <w:tcPr>
            <w:tcW w:w="1579" w:type="dxa"/>
            <w:noWrap/>
            <w:hideMark/>
          </w:tcPr>
          <w:p w14:paraId="01CF5F81" w14:textId="77777777" w:rsidR="00EE3000" w:rsidRPr="00EE3000" w:rsidRDefault="00EE3000" w:rsidP="00EE3000">
            <w:pPr>
              <w:rPr>
                <w:b/>
                <w:bCs/>
              </w:rPr>
            </w:pPr>
            <w:r w:rsidRPr="00EE3000">
              <w:rPr>
                <w:b/>
                <w:bCs/>
              </w:rPr>
              <w:t>PI</w:t>
            </w:r>
          </w:p>
        </w:tc>
      </w:tr>
      <w:tr w:rsidR="00EE3000" w:rsidRPr="00EE3000" w14:paraId="4FBB2795" w14:textId="77777777" w:rsidTr="00EE3000">
        <w:trPr>
          <w:trHeight w:val="313"/>
        </w:trPr>
        <w:tc>
          <w:tcPr>
            <w:tcW w:w="1335" w:type="dxa"/>
            <w:noWrap/>
            <w:hideMark/>
          </w:tcPr>
          <w:p w14:paraId="1CD5DACD" w14:textId="77777777" w:rsidR="00EE3000" w:rsidRPr="00EE3000" w:rsidRDefault="00EE3000" w:rsidP="00EE3000">
            <w:pPr>
              <w:rPr>
                <w:b/>
                <w:bCs/>
              </w:rPr>
            </w:pPr>
            <w:r w:rsidRPr="00EE3000">
              <w:rPr>
                <w:b/>
                <w:bCs/>
              </w:rPr>
              <w:t>Project A</w:t>
            </w:r>
          </w:p>
        </w:tc>
        <w:tc>
          <w:tcPr>
            <w:tcW w:w="1579" w:type="dxa"/>
            <w:noWrap/>
            <w:hideMark/>
          </w:tcPr>
          <w:p w14:paraId="53379E9D" w14:textId="77777777" w:rsidR="00EE3000" w:rsidRPr="00EE3000" w:rsidRDefault="00EE3000" w:rsidP="00EE3000">
            <w:r w:rsidRPr="00EE3000">
              <w:t>1324.177</w:t>
            </w:r>
          </w:p>
        </w:tc>
        <w:tc>
          <w:tcPr>
            <w:tcW w:w="1244" w:type="dxa"/>
            <w:noWrap/>
            <w:hideMark/>
          </w:tcPr>
          <w:p w14:paraId="17CCC7D0" w14:textId="77777777" w:rsidR="00EE3000" w:rsidRPr="00EE3000" w:rsidRDefault="00EE3000" w:rsidP="00EE3000"/>
        </w:tc>
        <w:tc>
          <w:tcPr>
            <w:tcW w:w="1544" w:type="dxa"/>
            <w:noWrap/>
            <w:hideMark/>
          </w:tcPr>
          <w:p w14:paraId="261A3F65" w14:textId="77777777" w:rsidR="00EE3000" w:rsidRPr="00EE3000" w:rsidRDefault="00EE3000" w:rsidP="00EE3000">
            <w:r w:rsidRPr="00EE3000">
              <w:t>3.4</w:t>
            </w:r>
          </w:p>
        </w:tc>
        <w:tc>
          <w:tcPr>
            <w:tcW w:w="1244" w:type="dxa"/>
            <w:noWrap/>
            <w:hideMark/>
          </w:tcPr>
          <w:p w14:paraId="57FECE72" w14:textId="77777777" w:rsidR="00EE3000" w:rsidRPr="00EE3000" w:rsidRDefault="00EE3000" w:rsidP="00EE3000">
            <w:r w:rsidRPr="00EE3000">
              <w:t>0.14</w:t>
            </w:r>
          </w:p>
        </w:tc>
        <w:tc>
          <w:tcPr>
            <w:tcW w:w="1579" w:type="dxa"/>
            <w:noWrap/>
            <w:hideMark/>
          </w:tcPr>
          <w:p w14:paraId="6542D390" w14:textId="77777777" w:rsidR="00EE3000" w:rsidRPr="00EE3000" w:rsidRDefault="00EE3000" w:rsidP="00EE3000">
            <w:r w:rsidRPr="00EE3000">
              <w:t>1.033104</w:t>
            </w:r>
          </w:p>
        </w:tc>
      </w:tr>
      <w:tr w:rsidR="00EE3000" w:rsidRPr="00EE3000" w14:paraId="01A68795" w14:textId="77777777" w:rsidTr="00EE3000">
        <w:trPr>
          <w:trHeight w:val="313"/>
        </w:trPr>
        <w:tc>
          <w:tcPr>
            <w:tcW w:w="1335" w:type="dxa"/>
            <w:noWrap/>
            <w:hideMark/>
          </w:tcPr>
          <w:p w14:paraId="59EA6B06" w14:textId="77777777" w:rsidR="00EE3000" w:rsidRPr="00EE3000" w:rsidRDefault="00EE3000" w:rsidP="00EE3000">
            <w:pPr>
              <w:rPr>
                <w:b/>
                <w:bCs/>
              </w:rPr>
            </w:pPr>
            <w:r w:rsidRPr="00EE3000">
              <w:rPr>
                <w:b/>
                <w:bCs/>
              </w:rPr>
              <w:t>Project B</w:t>
            </w:r>
          </w:p>
        </w:tc>
        <w:tc>
          <w:tcPr>
            <w:tcW w:w="1579" w:type="dxa"/>
            <w:noWrap/>
            <w:hideMark/>
          </w:tcPr>
          <w:p w14:paraId="1118B49A" w14:textId="77777777" w:rsidR="00EE3000" w:rsidRPr="00EE3000" w:rsidRDefault="00EE3000" w:rsidP="00EE3000">
            <w:r w:rsidRPr="00EE3000">
              <w:t>-7255.28</w:t>
            </w:r>
          </w:p>
        </w:tc>
        <w:tc>
          <w:tcPr>
            <w:tcW w:w="1244" w:type="dxa"/>
            <w:noWrap/>
            <w:hideMark/>
          </w:tcPr>
          <w:p w14:paraId="7BD52F3D" w14:textId="77777777" w:rsidR="00EE3000" w:rsidRPr="00EE3000" w:rsidRDefault="00EE3000" w:rsidP="00EE3000"/>
        </w:tc>
        <w:tc>
          <w:tcPr>
            <w:tcW w:w="1544" w:type="dxa"/>
            <w:noWrap/>
            <w:hideMark/>
          </w:tcPr>
          <w:p w14:paraId="3C823950" w14:textId="77777777" w:rsidR="00EE3000" w:rsidRPr="00EE3000" w:rsidRDefault="00EE3000" w:rsidP="00EE3000">
            <w:r w:rsidRPr="00EE3000">
              <w:t>5</w:t>
            </w:r>
          </w:p>
        </w:tc>
        <w:tc>
          <w:tcPr>
            <w:tcW w:w="1244" w:type="dxa"/>
            <w:noWrap/>
            <w:hideMark/>
          </w:tcPr>
          <w:p w14:paraId="6ADD792B" w14:textId="77777777" w:rsidR="00EE3000" w:rsidRPr="00EE3000" w:rsidRDefault="00EE3000" w:rsidP="00EE3000">
            <w:r w:rsidRPr="00EE3000">
              <w:t>0</w:t>
            </w:r>
          </w:p>
        </w:tc>
        <w:tc>
          <w:tcPr>
            <w:tcW w:w="1579" w:type="dxa"/>
            <w:noWrap/>
            <w:hideMark/>
          </w:tcPr>
          <w:p w14:paraId="4D7E4EEC" w14:textId="77777777" w:rsidR="00EE3000" w:rsidRPr="00EE3000" w:rsidRDefault="00EE3000" w:rsidP="00EE3000">
            <w:r w:rsidRPr="00EE3000">
              <w:t>0.758157</w:t>
            </w:r>
          </w:p>
        </w:tc>
      </w:tr>
      <w:tr w:rsidR="00EE3000" w:rsidRPr="00EE3000" w14:paraId="454683CF" w14:textId="77777777" w:rsidTr="00EE3000">
        <w:trPr>
          <w:trHeight w:val="313"/>
        </w:trPr>
        <w:tc>
          <w:tcPr>
            <w:tcW w:w="1335" w:type="dxa"/>
            <w:noWrap/>
            <w:hideMark/>
          </w:tcPr>
          <w:p w14:paraId="6CAC1C6B" w14:textId="77777777" w:rsidR="00EE3000" w:rsidRPr="00EE3000" w:rsidRDefault="00EE3000" w:rsidP="00EE3000">
            <w:pPr>
              <w:rPr>
                <w:b/>
                <w:bCs/>
              </w:rPr>
            </w:pPr>
            <w:r w:rsidRPr="00EE3000">
              <w:rPr>
                <w:b/>
                <w:bCs/>
              </w:rPr>
              <w:t>Project C</w:t>
            </w:r>
          </w:p>
        </w:tc>
        <w:tc>
          <w:tcPr>
            <w:tcW w:w="1579" w:type="dxa"/>
            <w:noWrap/>
            <w:hideMark/>
          </w:tcPr>
          <w:p w14:paraId="21CB250B" w14:textId="77777777" w:rsidR="00EE3000" w:rsidRPr="00EE3000" w:rsidRDefault="00EE3000" w:rsidP="00EE3000">
            <w:r w:rsidRPr="00EE3000">
              <w:t>4225.37</w:t>
            </w:r>
          </w:p>
        </w:tc>
        <w:tc>
          <w:tcPr>
            <w:tcW w:w="1244" w:type="dxa"/>
            <w:noWrap/>
            <w:hideMark/>
          </w:tcPr>
          <w:p w14:paraId="0958D2DE" w14:textId="77777777" w:rsidR="00EE3000" w:rsidRPr="00EE3000" w:rsidRDefault="00EE3000" w:rsidP="00EE3000"/>
        </w:tc>
        <w:tc>
          <w:tcPr>
            <w:tcW w:w="1544" w:type="dxa"/>
            <w:noWrap/>
            <w:hideMark/>
          </w:tcPr>
          <w:p w14:paraId="2F9E4725" w14:textId="77777777" w:rsidR="00EE3000" w:rsidRPr="00EE3000" w:rsidRDefault="00EE3000" w:rsidP="00EE3000">
            <w:r w:rsidRPr="00EE3000">
              <w:t>3.6</w:t>
            </w:r>
          </w:p>
        </w:tc>
        <w:tc>
          <w:tcPr>
            <w:tcW w:w="1244" w:type="dxa"/>
            <w:noWrap/>
            <w:hideMark/>
          </w:tcPr>
          <w:p w14:paraId="661C2EA1" w14:textId="77777777" w:rsidR="00EE3000" w:rsidRPr="00EE3000" w:rsidRDefault="00EE3000" w:rsidP="00EE3000">
            <w:r w:rsidRPr="00EE3000">
              <w:t>0.2</w:t>
            </w:r>
          </w:p>
        </w:tc>
        <w:tc>
          <w:tcPr>
            <w:tcW w:w="1579" w:type="dxa"/>
            <w:noWrap/>
            <w:hideMark/>
          </w:tcPr>
          <w:p w14:paraId="6235CEAC" w14:textId="77777777" w:rsidR="00EE3000" w:rsidRPr="00EE3000" w:rsidRDefault="00EE3000" w:rsidP="00EE3000">
            <w:r w:rsidRPr="00EE3000">
              <w:t>1.084507</w:t>
            </w:r>
          </w:p>
        </w:tc>
      </w:tr>
    </w:tbl>
    <w:p w14:paraId="36BE6216" w14:textId="77777777" w:rsidR="00BD0760" w:rsidRDefault="00BD0760" w:rsidP="00C006D6"/>
    <w:tbl>
      <w:tblPr>
        <w:tblStyle w:val="TableGrid"/>
        <w:tblW w:w="0" w:type="auto"/>
        <w:tblLook w:val="04A0" w:firstRow="1" w:lastRow="0" w:firstColumn="1" w:lastColumn="0" w:noHBand="0" w:noVBand="1"/>
      </w:tblPr>
      <w:tblGrid>
        <w:gridCol w:w="1958"/>
        <w:gridCol w:w="2375"/>
        <w:gridCol w:w="1958"/>
        <w:gridCol w:w="2485"/>
      </w:tblGrid>
      <w:tr w:rsidR="00EE3000" w:rsidRPr="00EE3000" w14:paraId="7D6EE005" w14:textId="77777777" w:rsidTr="00EE3000">
        <w:trPr>
          <w:trHeight w:val="228"/>
        </w:trPr>
        <w:tc>
          <w:tcPr>
            <w:tcW w:w="1958" w:type="dxa"/>
            <w:noWrap/>
            <w:hideMark/>
          </w:tcPr>
          <w:p w14:paraId="0F89B5DA" w14:textId="77777777" w:rsidR="00EE3000" w:rsidRPr="00EE3000" w:rsidRDefault="00EE3000">
            <w:r w:rsidRPr="00EE3000">
              <w:t>c</w:t>
            </w:r>
          </w:p>
        </w:tc>
        <w:tc>
          <w:tcPr>
            <w:tcW w:w="2375" w:type="dxa"/>
            <w:noWrap/>
            <w:hideMark/>
          </w:tcPr>
          <w:p w14:paraId="31121C00" w14:textId="77777777" w:rsidR="00EE3000" w:rsidRPr="00EE3000" w:rsidRDefault="00EE3000" w:rsidP="00EE3000">
            <w:pPr>
              <w:rPr>
                <w:b/>
                <w:bCs/>
              </w:rPr>
            </w:pPr>
            <w:r w:rsidRPr="00EE3000">
              <w:rPr>
                <w:b/>
                <w:bCs/>
              </w:rPr>
              <w:t>Projects</w:t>
            </w:r>
          </w:p>
        </w:tc>
        <w:tc>
          <w:tcPr>
            <w:tcW w:w="1958" w:type="dxa"/>
            <w:noWrap/>
            <w:hideMark/>
          </w:tcPr>
          <w:p w14:paraId="1EC9017F" w14:textId="77777777" w:rsidR="00EE3000" w:rsidRPr="00EE3000" w:rsidRDefault="00EE3000" w:rsidP="00EE3000">
            <w:pPr>
              <w:rPr>
                <w:b/>
                <w:bCs/>
              </w:rPr>
            </w:pPr>
            <w:r w:rsidRPr="00EE3000">
              <w:rPr>
                <w:b/>
                <w:bCs/>
              </w:rPr>
              <w:t>Total Cost</w:t>
            </w:r>
          </w:p>
        </w:tc>
        <w:tc>
          <w:tcPr>
            <w:tcW w:w="2485" w:type="dxa"/>
            <w:noWrap/>
            <w:hideMark/>
          </w:tcPr>
          <w:p w14:paraId="204B2248" w14:textId="77777777" w:rsidR="00EE3000" w:rsidRPr="00EE3000" w:rsidRDefault="00EE3000" w:rsidP="00EE3000">
            <w:pPr>
              <w:rPr>
                <w:b/>
                <w:bCs/>
              </w:rPr>
            </w:pPr>
            <w:r w:rsidRPr="00EE3000">
              <w:rPr>
                <w:b/>
                <w:bCs/>
              </w:rPr>
              <w:t>Total NPV</w:t>
            </w:r>
          </w:p>
        </w:tc>
      </w:tr>
      <w:tr w:rsidR="00EE3000" w:rsidRPr="00EE3000" w14:paraId="48CC33A6" w14:textId="77777777" w:rsidTr="00EE3000">
        <w:trPr>
          <w:trHeight w:val="228"/>
        </w:trPr>
        <w:tc>
          <w:tcPr>
            <w:tcW w:w="1958" w:type="dxa"/>
            <w:noWrap/>
            <w:hideMark/>
          </w:tcPr>
          <w:p w14:paraId="2195250B" w14:textId="77777777" w:rsidR="00EE3000" w:rsidRPr="00EE3000" w:rsidRDefault="00EE3000" w:rsidP="00EE3000">
            <w:pPr>
              <w:rPr>
                <w:b/>
                <w:bCs/>
              </w:rPr>
            </w:pPr>
            <w:r w:rsidRPr="00EE3000">
              <w:rPr>
                <w:b/>
                <w:bCs/>
              </w:rPr>
              <w:lastRenderedPageBreak/>
              <w:t>0</w:t>
            </w:r>
          </w:p>
        </w:tc>
        <w:tc>
          <w:tcPr>
            <w:tcW w:w="2375" w:type="dxa"/>
            <w:noWrap/>
            <w:hideMark/>
          </w:tcPr>
          <w:p w14:paraId="71BAC8F8" w14:textId="77777777" w:rsidR="00EE3000" w:rsidRPr="00EE3000" w:rsidRDefault="00EE3000" w:rsidP="00EE3000">
            <w:r w:rsidRPr="00EE3000">
              <w:t>('Project A',)</w:t>
            </w:r>
          </w:p>
        </w:tc>
        <w:tc>
          <w:tcPr>
            <w:tcW w:w="1958" w:type="dxa"/>
            <w:noWrap/>
            <w:hideMark/>
          </w:tcPr>
          <w:p w14:paraId="25BCD838" w14:textId="77777777" w:rsidR="00EE3000" w:rsidRPr="00EE3000" w:rsidRDefault="00EE3000" w:rsidP="00EE3000">
            <w:r w:rsidRPr="00EE3000">
              <w:t>40000</w:t>
            </w:r>
          </w:p>
        </w:tc>
        <w:tc>
          <w:tcPr>
            <w:tcW w:w="2485" w:type="dxa"/>
            <w:noWrap/>
            <w:hideMark/>
          </w:tcPr>
          <w:p w14:paraId="58BF9537" w14:textId="77777777" w:rsidR="00EE3000" w:rsidRPr="00EE3000" w:rsidRDefault="00EE3000" w:rsidP="00EE3000">
            <w:r w:rsidRPr="00EE3000">
              <w:t>1324.177</w:t>
            </w:r>
          </w:p>
        </w:tc>
      </w:tr>
      <w:tr w:rsidR="00EE3000" w:rsidRPr="00EE3000" w14:paraId="2952BEE0" w14:textId="77777777" w:rsidTr="00EE3000">
        <w:trPr>
          <w:trHeight w:val="228"/>
        </w:trPr>
        <w:tc>
          <w:tcPr>
            <w:tcW w:w="1958" w:type="dxa"/>
            <w:noWrap/>
            <w:hideMark/>
          </w:tcPr>
          <w:p w14:paraId="5CE64AE2" w14:textId="77777777" w:rsidR="00EE3000" w:rsidRPr="00EE3000" w:rsidRDefault="00EE3000" w:rsidP="00EE3000">
            <w:pPr>
              <w:rPr>
                <w:b/>
                <w:bCs/>
              </w:rPr>
            </w:pPr>
            <w:r w:rsidRPr="00EE3000">
              <w:rPr>
                <w:b/>
                <w:bCs/>
              </w:rPr>
              <w:t>1</w:t>
            </w:r>
          </w:p>
        </w:tc>
        <w:tc>
          <w:tcPr>
            <w:tcW w:w="2375" w:type="dxa"/>
            <w:noWrap/>
            <w:hideMark/>
          </w:tcPr>
          <w:p w14:paraId="09D3A94E" w14:textId="77777777" w:rsidR="00EE3000" w:rsidRPr="00EE3000" w:rsidRDefault="00EE3000" w:rsidP="00EE3000">
            <w:r w:rsidRPr="00EE3000">
              <w:t>('Project B',)</w:t>
            </w:r>
          </w:p>
        </w:tc>
        <w:tc>
          <w:tcPr>
            <w:tcW w:w="1958" w:type="dxa"/>
            <w:noWrap/>
            <w:hideMark/>
          </w:tcPr>
          <w:p w14:paraId="1812C9B7" w14:textId="77777777" w:rsidR="00EE3000" w:rsidRPr="00EE3000" w:rsidRDefault="00EE3000" w:rsidP="00EE3000">
            <w:r w:rsidRPr="00EE3000">
              <w:t>30000</w:t>
            </w:r>
          </w:p>
        </w:tc>
        <w:tc>
          <w:tcPr>
            <w:tcW w:w="2485" w:type="dxa"/>
            <w:noWrap/>
            <w:hideMark/>
          </w:tcPr>
          <w:p w14:paraId="23D123AF" w14:textId="77777777" w:rsidR="00EE3000" w:rsidRPr="00EE3000" w:rsidRDefault="00EE3000" w:rsidP="00EE3000">
            <w:r w:rsidRPr="00EE3000">
              <w:t>-7255.28</w:t>
            </w:r>
          </w:p>
        </w:tc>
      </w:tr>
      <w:tr w:rsidR="00EE3000" w:rsidRPr="00EE3000" w14:paraId="5C2EF18B" w14:textId="77777777" w:rsidTr="00EE3000">
        <w:trPr>
          <w:trHeight w:val="228"/>
        </w:trPr>
        <w:tc>
          <w:tcPr>
            <w:tcW w:w="1958" w:type="dxa"/>
            <w:noWrap/>
            <w:hideMark/>
          </w:tcPr>
          <w:p w14:paraId="66716A18" w14:textId="77777777" w:rsidR="00EE3000" w:rsidRPr="00EE3000" w:rsidRDefault="00EE3000" w:rsidP="00EE3000">
            <w:pPr>
              <w:rPr>
                <w:b/>
                <w:bCs/>
              </w:rPr>
            </w:pPr>
            <w:r w:rsidRPr="00EE3000">
              <w:rPr>
                <w:b/>
                <w:bCs/>
              </w:rPr>
              <w:t>2</w:t>
            </w:r>
          </w:p>
        </w:tc>
        <w:tc>
          <w:tcPr>
            <w:tcW w:w="2375" w:type="dxa"/>
            <w:noWrap/>
            <w:hideMark/>
          </w:tcPr>
          <w:p w14:paraId="280008F1" w14:textId="77777777" w:rsidR="00EE3000" w:rsidRPr="00EE3000" w:rsidRDefault="00EE3000" w:rsidP="00EE3000">
            <w:r w:rsidRPr="00EE3000">
              <w:t>('Project C',)</w:t>
            </w:r>
          </w:p>
        </w:tc>
        <w:tc>
          <w:tcPr>
            <w:tcW w:w="1958" w:type="dxa"/>
            <w:noWrap/>
            <w:hideMark/>
          </w:tcPr>
          <w:p w14:paraId="2463C072" w14:textId="77777777" w:rsidR="00EE3000" w:rsidRPr="00EE3000" w:rsidRDefault="00EE3000" w:rsidP="00EE3000">
            <w:r w:rsidRPr="00EE3000">
              <w:t>50000</w:t>
            </w:r>
          </w:p>
        </w:tc>
        <w:tc>
          <w:tcPr>
            <w:tcW w:w="2485" w:type="dxa"/>
            <w:noWrap/>
            <w:hideMark/>
          </w:tcPr>
          <w:p w14:paraId="21DAA66A" w14:textId="77777777" w:rsidR="00EE3000" w:rsidRPr="00EE3000" w:rsidRDefault="00EE3000" w:rsidP="00EE3000">
            <w:r w:rsidRPr="00EE3000">
              <w:t>4225.37</w:t>
            </w:r>
          </w:p>
        </w:tc>
      </w:tr>
    </w:tbl>
    <w:p w14:paraId="72EEBAE3" w14:textId="77777777" w:rsidR="00EE3000" w:rsidRDefault="00EE3000" w:rsidP="00C006D6"/>
    <w:tbl>
      <w:tblPr>
        <w:tblStyle w:val="TableGrid"/>
        <w:tblW w:w="0" w:type="auto"/>
        <w:tblLook w:val="04A0" w:firstRow="1" w:lastRow="0" w:firstColumn="1" w:lastColumn="0" w:noHBand="0" w:noVBand="1"/>
      </w:tblPr>
      <w:tblGrid>
        <w:gridCol w:w="3006"/>
        <w:gridCol w:w="3006"/>
        <w:gridCol w:w="3007"/>
      </w:tblGrid>
      <w:tr w:rsidR="008C7518" w14:paraId="05BD332C" w14:textId="77777777" w:rsidTr="00FA54F8">
        <w:tc>
          <w:tcPr>
            <w:tcW w:w="3006" w:type="dxa"/>
          </w:tcPr>
          <w:p w14:paraId="646515AA" w14:textId="77777777" w:rsidR="008C7518" w:rsidRDefault="008C7518" w:rsidP="00FA54F8">
            <w:pPr>
              <w:spacing w:line="360" w:lineRule="auto"/>
            </w:pPr>
            <w:r w:rsidRPr="00850AA3">
              <w:t>Year</w:t>
            </w:r>
          </w:p>
        </w:tc>
        <w:tc>
          <w:tcPr>
            <w:tcW w:w="3006" w:type="dxa"/>
          </w:tcPr>
          <w:p w14:paraId="14FD09BB" w14:textId="77777777" w:rsidR="008C7518" w:rsidRDefault="008C7518" w:rsidP="00FA54F8">
            <w:pPr>
              <w:spacing w:line="360" w:lineRule="auto"/>
            </w:pPr>
            <w:r w:rsidRPr="00850AA3">
              <w:t>Cash Flow</w:t>
            </w:r>
          </w:p>
        </w:tc>
        <w:tc>
          <w:tcPr>
            <w:tcW w:w="3007" w:type="dxa"/>
          </w:tcPr>
          <w:p w14:paraId="4A6AFEC9" w14:textId="77777777" w:rsidR="008C7518" w:rsidRDefault="008C7518" w:rsidP="00FA54F8">
            <w:pPr>
              <w:spacing w:line="360" w:lineRule="auto"/>
            </w:pPr>
            <w:r w:rsidRPr="00850AA3">
              <w:t>Cumulative</w:t>
            </w:r>
          </w:p>
        </w:tc>
      </w:tr>
      <w:tr w:rsidR="008C7518" w14:paraId="539BE6BE" w14:textId="77777777" w:rsidTr="00FA54F8">
        <w:tc>
          <w:tcPr>
            <w:tcW w:w="3006" w:type="dxa"/>
          </w:tcPr>
          <w:p w14:paraId="4660E3C5" w14:textId="77777777" w:rsidR="008C7518" w:rsidRDefault="008C7518" w:rsidP="00FA54F8">
            <w:pPr>
              <w:spacing w:line="360" w:lineRule="auto"/>
            </w:pPr>
            <w:r w:rsidRPr="00850AA3">
              <w:t>1</w:t>
            </w:r>
          </w:p>
        </w:tc>
        <w:tc>
          <w:tcPr>
            <w:tcW w:w="3006" w:type="dxa"/>
          </w:tcPr>
          <w:p w14:paraId="0E0ECCAB" w14:textId="77777777" w:rsidR="008C7518" w:rsidRDefault="008C7518" w:rsidP="00FA54F8">
            <w:pPr>
              <w:spacing w:line="360" w:lineRule="auto"/>
            </w:pPr>
            <w:r w:rsidRPr="00850AA3">
              <w:t>6</w:t>
            </w:r>
          </w:p>
        </w:tc>
        <w:tc>
          <w:tcPr>
            <w:tcW w:w="3007" w:type="dxa"/>
          </w:tcPr>
          <w:p w14:paraId="68CE7643" w14:textId="77777777" w:rsidR="008C7518" w:rsidRDefault="008C7518" w:rsidP="00FA54F8">
            <w:pPr>
              <w:spacing w:line="360" w:lineRule="auto"/>
            </w:pPr>
            <w:r w:rsidRPr="00850AA3">
              <w:t>6</w:t>
            </w:r>
          </w:p>
        </w:tc>
      </w:tr>
      <w:tr w:rsidR="008C7518" w14:paraId="5CF8E452" w14:textId="77777777" w:rsidTr="00FA54F8">
        <w:tc>
          <w:tcPr>
            <w:tcW w:w="3006" w:type="dxa"/>
          </w:tcPr>
          <w:p w14:paraId="1EEFF146" w14:textId="77777777" w:rsidR="008C7518" w:rsidRDefault="008C7518" w:rsidP="00FA54F8">
            <w:pPr>
              <w:spacing w:line="360" w:lineRule="auto"/>
            </w:pPr>
            <w:r w:rsidRPr="00850AA3">
              <w:t>2</w:t>
            </w:r>
          </w:p>
        </w:tc>
        <w:tc>
          <w:tcPr>
            <w:tcW w:w="3006" w:type="dxa"/>
          </w:tcPr>
          <w:p w14:paraId="7607D3A2" w14:textId="77777777" w:rsidR="008C7518" w:rsidRDefault="008C7518" w:rsidP="00FA54F8">
            <w:pPr>
              <w:spacing w:line="360" w:lineRule="auto"/>
            </w:pPr>
            <w:r w:rsidRPr="00850AA3">
              <w:t>6</w:t>
            </w:r>
          </w:p>
        </w:tc>
        <w:tc>
          <w:tcPr>
            <w:tcW w:w="3007" w:type="dxa"/>
          </w:tcPr>
          <w:p w14:paraId="254ED973" w14:textId="77777777" w:rsidR="008C7518" w:rsidRDefault="008C7518" w:rsidP="00FA54F8">
            <w:pPr>
              <w:spacing w:line="360" w:lineRule="auto"/>
            </w:pPr>
            <w:r w:rsidRPr="00850AA3">
              <w:t>12</w:t>
            </w:r>
          </w:p>
        </w:tc>
      </w:tr>
      <w:tr w:rsidR="008C7518" w14:paraId="73EAC0B1" w14:textId="77777777" w:rsidTr="00FA54F8">
        <w:tc>
          <w:tcPr>
            <w:tcW w:w="3006" w:type="dxa"/>
          </w:tcPr>
          <w:p w14:paraId="535C0BEF" w14:textId="77777777" w:rsidR="008C7518" w:rsidRDefault="008C7518" w:rsidP="00FA54F8">
            <w:pPr>
              <w:spacing w:line="360" w:lineRule="auto"/>
            </w:pPr>
            <w:r w:rsidRPr="00850AA3">
              <w:t>3</w:t>
            </w:r>
          </w:p>
        </w:tc>
        <w:tc>
          <w:tcPr>
            <w:tcW w:w="3006" w:type="dxa"/>
          </w:tcPr>
          <w:p w14:paraId="0D42AA1E" w14:textId="77777777" w:rsidR="008C7518" w:rsidRDefault="008C7518" w:rsidP="00FA54F8">
            <w:pPr>
              <w:spacing w:line="360" w:lineRule="auto"/>
            </w:pPr>
            <w:r w:rsidRPr="00850AA3">
              <w:t>6</w:t>
            </w:r>
          </w:p>
        </w:tc>
        <w:tc>
          <w:tcPr>
            <w:tcW w:w="3007" w:type="dxa"/>
          </w:tcPr>
          <w:p w14:paraId="5184EFA7" w14:textId="77777777" w:rsidR="008C7518" w:rsidRDefault="008C7518" w:rsidP="00FA54F8">
            <w:pPr>
              <w:spacing w:line="360" w:lineRule="auto"/>
            </w:pPr>
            <w:r w:rsidRPr="00850AA3">
              <w:t>18</w:t>
            </w:r>
          </w:p>
        </w:tc>
      </w:tr>
      <w:tr w:rsidR="008C7518" w14:paraId="7D8B0E8D" w14:textId="77777777" w:rsidTr="00FA54F8">
        <w:tc>
          <w:tcPr>
            <w:tcW w:w="3006" w:type="dxa"/>
          </w:tcPr>
          <w:p w14:paraId="0FEF3D24" w14:textId="77777777" w:rsidR="008C7518" w:rsidRDefault="008C7518" w:rsidP="00FA54F8">
            <w:pPr>
              <w:spacing w:line="360" w:lineRule="auto"/>
            </w:pPr>
            <w:r w:rsidRPr="00850AA3">
              <w:t>4</w:t>
            </w:r>
          </w:p>
        </w:tc>
        <w:tc>
          <w:tcPr>
            <w:tcW w:w="3006" w:type="dxa"/>
          </w:tcPr>
          <w:p w14:paraId="680944D9" w14:textId="77777777" w:rsidR="008C7518" w:rsidRDefault="008C7518" w:rsidP="00FA54F8">
            <w:pPr>
              <w:spacing w:line="360" w:lineRule="auto"/>
            </w:pPr>
            <w:r w:rsidRPr="00850AA3">
              <w:t>6</w:t>
            </w:r>
          </w:p>
        </w:tc>
        <w:tc>
          <w:tcPr>
            <w:tcW w:w="3007" w:type="dxa"/>
          </w:tcPr>
          <w:p w14:paraId="46A33091" w14:textId="77777777" w:rsidR="008C7518" w:rsidRDefault="008C7518" w:rsidP="00FA54F8">
            <w:pPr>
              <w:spacing w:line="360" w:lineRule="auto"/>
            </w:pPr>
            <w:r w:rsidRPr="00850AA3">
              <w:t>24</w:t>
            </w:r>
          </w:p>
        </w:tc>
      </w:tr>
      <w:tr w:rsidR="008C7518" w14:paraId="3854D5E9" w14:textId="77777777" w:rsidTr="00FA54F8">
        <w:tc>
          <w:tcPr>
            <w:tcW w:w="3006" w:type="dxa"/>
          </w:tcPr>
          <w:p w14:paraId="5ABA3C4B" w14:textId="77777777" w:rsidR="008C7518" w:rsidRDefault="008C7518" w:rsidP="00FA54F8">
            <w:pPr>
              <w:spacing w:line="360" w:lineRule="auto"/>
            </w:pPr>
            <w:r w:rsidRPr="00850AA3">
              <w:t>5</w:t>
            </w:r>
          </w:p>
        </w:tc>
        <w:tc>
          <w:tcPr>
            <w:tcW w:w="3006" w:type="dxa"/>
          </w:tcPr>
          <w:p w14:paraId="35A7F9DD" w14:textId="77777777" w:rsidR="008C7518" w:rsidRDefault="008C7518" w:rsidP="00FA54F8">
            <w:pPr>
              <w:spacing w:line="360" w:lineRule="auto"/>
            </w:pPr>
            <w:r w:rsidRPr="00850AA3">
              <w:t>6</w:t>
            </w:r>
          </w:p>
        </w:tc>
        <w:tc>
          <w:tcPr>
            <w:tcW w:w="3007" w:type="dxa"/>
          </w:tcPr>
          <w:p w14:paraId="08296D5A" w14:textId="77777777" w:rsidR="008C7518" w:rsidRDefault="008C7518" w:rsidP="00FA54F8">
            <w:pPr>
              <w:spacing w:line="360" w:lineRule="auto"/>
            </w:pPr>
            <w:r w:rsidRPr="00850AA3">
              <w:t>30</w:t>
            </w:r>
          </w:p>
        </w:tc>
      </w:tr>
    </w:tbl>
    <w:p w14:paraId="0B4AED51" w14:textId="77777777" w:rsidR="008C7518" w:rsidRDefault="008C7518" w:rsidP="00C006D6"/>
    <w:tbl>
      <w:tblPr>
        <w:tblStyle w:val="TableGrid"/>
        <w:tblW w:w="0" w:type="auto"/>
        <w:tblLook w:val="04A0" w:firstRow="1" w:lastRow="0" w:firstColumn="1" w:lastColumn="0" w:noHBand="0" w:noVBand="1"/>
      </w:tblPr>
      <w:tblGrid>
        <w:gridCol w:w="2254"/>
        <w:gridCol w:w="2255"/>
        <w:gridCol w:w="2255"/>
        <w:gridCol w:w="2255"/>
      </w:tblGrid>
      <w:tr w:rsidR="008C7518" w14:paraId="4D71EF38" w14:textId="77777777" w:rsidTr="00FA54F8">
        <w:tc>
          <w:tcPr>
            <w:tcW w:w="2254" w:type="dxa"/>
          </w:tcPr>
          <w:p w14:paraId="5E4FE78B" w14:textId="77777777" w:rsidR="008C7518" w:rsidRDefault="008C7518" w:rsidP="00FA54F8">
            <w:pPr>
              <w:spacing w:line="360" w:lineRule="auto"/>
            </w:pPr>
            <w:r w:rsidRPr="00085EE6">
              <w:t>Measure</w:t>
            </w:r>
          </w:p>
        </w:tc>
        <w:tc>
          <w:tcPr>
            <w:tcW w:w="2255" w:type="dxa"/>
          </w:tcPr>
          <w:p w14:paraId="3A72B2D0" w14:textId="77777777" w:rsidR="008C7518" w:rsidRDefault="008C7518" w:rsidP="00FA54F8">
            <w:pPr>
              <w:spacing w:line="360" w:lineRule="auto"/>
            </w:pPr>
            <w:r w:rsidRPr="00085EE6">
              <w:t>Project A</w:t>
            </w:r>
          </w:p>
        </w:tc>
        <w:tc>
          <w:tcPr>
            <w:tcW w:w="2255" w:type="dxa"/>
          </w:tcPr>
          <w:p w14:paraId="5D429DF1" w14:textId="77777777" w:rsidR="008C7518" w:rsidRDefault="008C7518" w:rsidP="00FA54F8">
            <w:pPr>
              <w:spacing w:line="360" w:lineRule="auto"/>
            </w:pPr>
            <w:r w:rsidRPr="00085EE6">
              <w:t>Project B</w:t>
            </w:r>
          </w:p>
        </w:tc>
        <w:tc>
          <w:tcPr>
            <w:tcW w:w="2255" w:type="dxa"/>
          </w:tcPr>
          <w:p w14:paraId="5FB21239" w14:textId="77777777" w:rsidR="008C7518" w:rsidRDefault="008C7518" w:rsidP="00FA54F8">
            <w:pPr>
              <w:spacing w:line="360" w:lineRule="auto"/>
            </w:pPr>
            <w:r w:rsidRPr="00085EE6">
              <w:t>Project C</w:t>
            </w:r>
          </w:p>
        </w:tc>
      </w:tr>
      <w:tr w:rsidR="008C7518" w14:paraId="75C4F6C5" w14:textId="77777777" w:rsidTr="00FA54F8">
        <w:tc>
          <w:tcPr>
            <w:tcW w:w="2254" w:type="dxa"/>
          </w:tcPr>
          <w:p w14:paraId="26F3215E" w14:textId="77777777" w:rsidR="008C7518" w:rsidRDefault="008C7518" w:rsidP="00FA54F8">
            <w:pPr>
              <w:spacing w:line="360" w:lineRule="auto"/>
            </w:pPr>
            <w:r w:rsidRPr="00085EE6">
              <w:t>Payback</w:t>
            </w:r>
          </w:p>
        </w:tc>
        <w:tc>
          <w:tcPr>
            <w:tcW w:w="2255" w:type="dxa"/>
          </w:tcPr>
          <w:p w14:paraId="5853EDCF" w14:textId="77777777" w:rsidR="008C7518" w:rsidRDefault="008C7518" w:rsidP="00FA54F8">
            <w:pPr>
              <w:spacing w:line="360" w:lineRule="auto"/>
            </w:pPr>
            <w:r w:rsidRPr="00085EE6">
              <w:t>3.4 yrs</w:t>
            </w:r>
          </w:p>
        </w:tc>
        <w:tc>
          <w:tcPr>
            <w:tcW w:w="2255" w:type="dxa"/>
          </w:tcPr>
          <w:p w14:paraId="26D71629" w14:textId="77777777" w:rsidR="008C7518" w:rsidRDefault="008C7518" w:rsidP="00FA54F8">
            <w:pPr>
              <w:spacing w:line="360" w:lineRule="auto"/>
            </w:pPr>
            <w:r w:rsidRPr="00085EE6">
              <w:t>5.0 yrs</w:t>
            </w:r>
          </w:p>
        </w:tc>
        <w:tc>
          <w:tcPr>
            <w:tcW w:w="2255" w:type="dxa"/>
          </w:tcPr>
          <w:p w14:paraId="2479F551" w14:textId="77777777" w:rsidR="008C7518" w:rsidRDefault="008C7518" w:rsidP="00FA54F8">
            <w:pPr>
              <w:spacing w:line="360" w:lineRule="auto"/>
            </w:pPr>
            <w:r w:rsidRPr="00085EE6">
              <w:t>3.6 yrs</w:t>
            </w:r>
          </w:p>
        </w:tc>
      </w:tr>
      <w:tr w:rsidR="008C7518" w14:paraId="6453C7B8" w14:textId="77777777" w:rsidTr="00FA54F8">
        <w:tc>
          <w:tcPr>
            <w:tcW w:w="2254" w:type="dxa"/>
          </w:tcPr>
          <w:p w14:paraId="203BD54F" w14:textId="77777777" w:rsidR="008C7518" w:rsidRDefault="008C7518" w:rsidP="00FA54F8">
            <w:pPr>
              <w:spacing w:line="360" w:lineRule="auto"/>
            </w:pPr>
            <w:r w:rsidRPr="00085EE6">
              <w:t>ARR</w:t>
            </w:r>
          </w:p>
        </w:tc>
        <w:tc>
          <w:tcPr>
            <w:tcW w:w="2255" w:type="dxa"/>
          </w:tcPr>
          <w:p w14:paraId="32730759" w14:textId="77777777" w:rsidR="008C7518" w:rsidRDefault="008C7518" w:rsidP="00FA54F8">
            <w:pPr>
              <w:spacing w:line="360" w:lineRule="auto"/>
            </w:pPr>
            <w:r w:rsidRPr="00085EE6">
              <w:t>7%</w:t>
            </w:r>
          </w:p>
        </w:tc>
        <w:tc>
          <w:tcPr>
            <w:tcW w:w="2255" w:type="dxa"/>
          </w:tcPr>
          <w:p w14:paraId="01EDBE66" w14:textId="77777777" w:rsidR="008C7518" w:rsidRDefault="008C7518" w:rsidP="00FA54F8">
            <w:pPr>
              <w:spacing w:line="360" w:lineRule="auto"/>
            </w:pPr>
            <w:r w:rsidRPr="00085EE6">
              <w:t>0%</w:t>
            </w:r>
          </w:p>
        </w:tc>
        <w:tc>
          <w:tcPr>
            <w:tcW w:w="2255" w:type="dxa"/>
          </w:tcPr>
          <w:p w14:paraId="18ADF319" w14:textId="77777777" w:rsidR="008C7518" w:rsidRDefault="008C7518" w:rsidP="00FA54F8">
            <w:pPr>
              <w:spacing w:line="360" w:lineRule="auto"/>
            </w:pPr>
            <w:r w:rsidRPr="00085EE6">
              <w:t>10%</w:t>
            </w:r>
          </w:p>
        </w:tc>
      </w:tr>
      <w:tr w:rsidR="008C7518" w14:paraId="7DFDD7E1" w14:textId="77777777" w:rsidTr="00FA54F8">
        <w:tc>
          <w:tcPr>
            <w:tcW w:w="2254" w:type="dxa"/>
          </w:tcPr>
          <w:p w14:paraId="7D21D32E" w14:textId="77777777" w:rsidR="008C7518" w:rsidRDefault="008C7518" w:rsidP="00FA54F8">
            <w:pPr>
              <w:spacing w:line="360" w:lineRule="auto"/>
            </w:pPr>
            <w:r w:rsidRPr="00085EE6">
              <w:t>NPV</w:t>
            </w:r>
          </w:p>
        </w:tc>
        <w:tc>
          <w:tcPr>
            <w:tcW w:w="2255" w:type="dxa"/>
          </w:tcPr>
          <w:p w14:paraId="15AF76C9" w14:textId="77777777" w:rsidR="008C7518" w:rsidRDefault="008C7518" w:rsidP="00FA54F8">
            <w:pPr>
              <w:spacing w:line="360" w:lineRule="auto"/>
            </w:pPr>
            <w:r w:rsidRPr="00085EE6">
              <w:t>+2.57m</w:t>
            </w:r>
          </w:p>
        </w:tc>
        <w:tc>
          <w:tcPr>
            <w:tcW w:w="2255" w:type="dxa"/>
          </w:tcPr>
          <w:p w14:paraId="076CC63A" w14:textId="77777777" w:rsidR="008C7518" w:rsidRDefault="008C7518" w:rsidP="00FA54F8">
            <w:pPr>
              <w:spacing w:line="360" w:lineRule="auto"/>
            </w:pPr>
            <w:r w:rsidRPr="00085EE6">
              <w:t>–2.11m</w:t>
            </w:r>
          </w:p>
        </w:tc>
        <w:tc>
          <w:tcPr>
            <w:tcW w:w="2255" w:type="dxa"/>
          </w:tcPr>
          <w:p w14:paraId="72FD644D" w14:textId="77777777" w:rsidR="008C7518" w:rsidRDefault="008C7518" w:rsidP="00FA54F8">
            <w:pPr>
              <w:spacing w:line="360" w:lineRule="auto"/>
            </w:pPr>
            <w:r w:rsidRPr="00085EE6">
              <w:t>+4.24m</w:t>
            </w:r>
          </w:p>
        </w:tc>
      </w:tr>
      <w:tr w:rsidR="008C7518" w14:paraId="2880E419" w14:textId="77777777" w:rsidTr="00FA54F8">
        <w:tc>
          <w:tcPr>
            <w:tcW w:w="2254" w:type="dxa"/>
          </w:tcPr>
          <w:p w14:paraId="0E4FC0F6" w14:textId="77777777" w:rsidR="008C7518" w:rsidRDefault="008C7518" w:rsidP="00FA54F8">
            <w:pPr>
              <w:spacing w:line="360" w:lineRule="auto"/>
            </w:pPr>
            <w:r w:rsidRPr="00085EE6">
              <w:t>PI</w:t>
            </w:r>
          </w:p>
        </w:tc>
        <w:tc>
          <w:tcPr>
            <w:tcW w:w="2255" w:type="dxa"/>
          </w:tcPr>
          <w:p w14:paraId="24AA5856" w14:textId="77777777" w:rsidR="008C7518" w:rsidRDefault="008C7518" w:rsidP="00FA54F8">
            <w:pPr>
              <w:spacing w:line="360" w:lineRule="auto"/>
            </w:pPr>
            <w:r w:rsidRPr="00085EE6">
              <w:t>1.06</w:t>
            </w:r>
          </w:p>
        </w:tc>
        <w:tc>
          <w:tcPr>
            <w:tcW w:w="2255" w:type="dxa"/>
          </w:tcPr>
          <w:p w14:paraId="360BB335" w14:textId="77777777" w:rsidR="008C7518" w:rsidRDefault="008C7518" w:rsidP="00FA54F8">
            <w:pPr>
              <w:spacing w:line="360" w:lineRule="auto"/>
            </w:pPr>
            <w:r w:rsidRPr="00085EE6">
              <w:t>0.93</w:t>
            </w:r>
          </w:p>
        </w:tc>
        <w:tc>
          <w:tcPr>
            <w:tcW w:w="2255" w:type="dxa"/>
          </w:tcPr>
          <w:p w14:paraId="79E6DB88" w14:textId="77777777" w:rsidR="008C7518" w:rsidRDefault="008C7518" w:rsidP="00FA54F8">
            <w:pPr>
              <w:spacing w:line="360" w:lineRule="auto"/>
            </w:pPr>
            <w:r w:rsidRPr="00085EE6">
              <w:t>1.08</w:t>
            </w:r>
          </w:p>
        </w:tc>
      </w:tr>
      <w:tr w:rsidR="008C7518" w14:paraId="554F53B4" w14:textId="77777777" w:rsidTr="00FA54F8">
        <w:tc>
          <w:tcPr>
            <w:tcW w:w="2254" w:type="dxa"/>
          </w:tcPr>
          <w:p w14:paraId="73BB57F0" w14:textId="77777777" w:rsidR="008C7518" w:rsidRDefault="008C7518" w:rsidP="00FA54F8">
            <w:pPr>
              <w:spacing w:line="360" w:lineRule="auto"/>
            </w:pPr>
            <w:r w:rsidRPr="00085EE6">
              <w:t>IRR</w:t>
            </w:r>
          </w:p>
        </w:tc>
        <w:tc>
          <w:tcPr>
            <w:tcW w:w="2255" w:type="dxa"/>
          </w:tcPr>
          <w:p w14:paraId="75298F9D" w14:textId="77777777" w:rsidR="008C7518" w:rsidRDefault="008C7518" w:rsidP="00FA54F8">
            <w:pPr>
              <w:spacing w:line="360" w:lineRule="auto"/>
            </w:pPr>
            <w:r w:rsidRPr="00085EE6">
              <w:t>12%</w:t>
            </w:r>
          </w:p>
        </w:tc>
        <w:tc>
          <w:tcPr>
            <w:tcW w:w="2255" w:type="dxa"/>
          </w:tcPr>
          <w:p w14:paraId="56777CEF" w14:textId="77777777" w:rsidR="008C7518" w:rsidRDefault="008C7518" w:rsidP="00FA54F8">
            <w:pPr>
              <w:spacing w:line="360" w:lineRule="auto"/>
            </w:pPr>
            <w:r w:rsidRPr="00085EE6">
              <w:t>6%</w:t>
            </w:r>
          </w:p>
        </w:tc>
        <w:tc>
          <w:tcPr>
            <w:tcW w:w="2255" w:type="dxa"/>
          </w:tcPr>
          <w:p w14:paraId="4100C340" w14:textId="77777777" w:rsidR="008C7518" w:rsidRDefault="008C7518" w:rsidP="00FA54F8">
            <w:pPr>
              <w:spacing w:line="360" w:lineRule="auto"/>
            </w:pPr>
            <w:r w:rsidRPr="00085EE6">
              <w:t>15%</w:t>
            </w:r>
          </w:p>
        </w:tc>
      </w:tr>
    </w:tbl>
    <w:p w14:paraId="76EE3E77" w14:textId="77777777" w:rsidR="008C7518" w:rsidRDefault="008C7518" w:rsidP="00C006D6"/>
    <w:tbl>
      <w:tblPr>
        <w:tblStyle w:val="TableGrid"/>
        <w:tblW w:w="0" w:type="auto"/>
        <w:tblLook w:val="04A0" w:firstRow="1" w:lastRow="0" w:firstColumn="1" w:lastColumn="0" w:noHBand="0" w:noVBand="1"/>
      </w:tblPr>
      <w:tblGrid>
        <w:gridCol w:w="3006"/>
        <w:gridCol w:w="3006"/>
        <w:gridCol w:w="3007"/>
      </w:tblGrid>
      <w:tr w:rsidR="008C7518" w14:paraId="7413359B" w14:textId="77777777" w:rsidTr="00FA54F8">
        <w:tc>
          <w:tcPr>
            <w:tcW w:w="3006" w:type="dxa"/>
          </w:tcPr>
          <w:p w14:paraId="122714B1" w14:textId="77777777" w:rsidR="008C7518" w:rsidRDefault="008C7518" w:rsidP="00FA54F8">
            <w:pPr>
              <w:spacing w:line="360" w:lineRule="auto"/>
            </w:pPr>
            <w:r w:rsidRPr="00BF0405">
              <w:t>Year</w:t>
            </w:r>
          </w:p>
        </w:tc>
        <w:tc>
          <w:tcPr>
            <w:tcW w:w="3006" w:type="dxa"/>
          </w:tcPr>
          <w:p w14:paraId="0051844D" w14:textId="77777777" w:rsidR="008C7518" w:rsidRDefault="008C7518" w:rsidP="00FA54F8">
            <w:pPr>
              <w:spacing w:line="360" w:lineRule="auto"/>
            </w:pPr>
            <w:r w:rsidRPr="00BF0405">
              <w:t>Cash Flow</w:t>
            </w:r>
          </w:p>
        </w:tc>
        <w:tc>
          <w:tcPr>
            <w:tcW w:w="3007" w:type="dxa"/>
          </w:tcPr>
          <w:p w14:paraId="524D21B6" w14:textId="77777777" w:rsidR="008C7518" w:rsidRDefault="008C7518" w:rsidP="00FA54F8">
            <w:pPr>
              <w:spacing w:line="360" w:lineRule="auto"/>
            </w:pPr>
            <w:r w:rsidRPr="00BF0405">
              <w:t>Cumulative</w:t>
            </w:r>
          </w:p>
        </w:tc>
      </w:tr>
      <w:tr w:rsidR="008C7518" w14:paraId="11ECDEF1" w14:textId="77777777" w:rsidTr="00FA54F8">
        <w:tc>
          <w:tcPr>
            <w:tcW w:w="3006" w:type="dxa"/>
          </w:tcPr>
          <w:p w14:paraId="1FFC7884" w14:textId="77777777" w:rsidR="008C7518" w:rsidRDefault="008C7518" w:rsidP="00FA54F8">
            <w:pPr>
              <w:spacing w:line="360" w:lineRule="auto"/>
            </w:pPr>
            <w:r w:rsidRPr="00BF0405">
              <w:t>1</w:t>
            </w:r>
          </w:p>
        </w:tc>
        <w:tc>
          <w:tcPr>
            <w:tcW w:w="3006" w:type="dxa"/>
          </w:tcPr>
          <w:p w14:paraId="33A82783" w14:textId="77777777" w:rsidR="008C7518" w:rsidRDefault="008C7518" w:rsidP="00FA54F8">
            <w:pPr>
              <w:spacing w:line="360" w:lineRule="auto"/>
            </w:pPr>
            <w:r w:rsidRPr="00BF0405">
              <w:t>5</w:t>
            </w:r>
          </w:p>
        </w:tc>
        <w:tc>
          <w:tcPr>
            <w:tcW w:w="3007" w:type="dxa"/>
          </w:tcPr>
          <w:p w14:paraId="550091F9" w14:textId="77777777" w:rsidR="008C7518" w:rsidRDefault="008C7518" w:rsidP="00FA54F8">
            <w:pPr>
              <w:spacing w:line="360" w:lineRule="auto"/>
            </w:pPr>
            <w:r w:rsidRPr="00BF0405">
              <w:t>5</w:t>
            </w:r>
          </w:p>
        </w:tc>
      </w:tr>
      <w:tr w:rsidR="008C7518" w14:paraId="60E57761" w14:textId="77777777" w:rsidTr="00FA54F8">
        <w:tc>
          <w:tcPr>
            <w:tcW w:w="3006" w:type="dxa"/>
          </w:tcPr>
          <w:p w14:paraId="47318317" w14:textId="77777777" w:rsidR="008C7518" w:rsidRDefault="008C7518" w:rsidP="00FA54F8">
            <w:pPr>
              <w:spacing w:line="360" w:lineRule="auto"/>
            </w:pPr>
            <w:r w:rsidRPr="00BF0405">
              <w:t>2</w:t>
            </w:r>
          </w:p>
        </w:tc>
        <w:tc>
          <w:tcPr>
            <w:tcW w:w="3006" w:type="dxa"/>
          </w:tcPr>
          <w:p w14:paraId="517EE465" w14:textId="77777777" w:rsidR="008C7518" w:rsidRDefault="008C7518" w:rsidP="00FA54F8">
            <w:pPr>
              <w:spacing w:line="360" w:lineRule="auto"/>
            </w:pPr>
            <w:r w:rsidRPr="00BF0405">
              <w:t>10</w:t>
            </w:r>
          </w:p>
        </w:tc>
        <w:tc>
          <w:tcPr>
            <w:tcW w:w="3007" w:type="dxa"/>
          </w:tcPr>
          <w:p w14:paraId="0C0CC4C5" w14:textId="77777777" w:rsidR="008C7518" w:rsidRDefault="008C7518" w:rsidP="00FA54F8">
            <w:pPr>
              <w:spacing w:line="360" w:lineRule="auto"/>
            </w:pPr>
            <w:r w:rsidRPr="00BF0405">
              <w:t>15</w:t>
            </w:r>
          </w:p>
        </w:tc>
      </w:tr>
      <w:tr w:rsidR="008C7518" w14:paraId="4C15DA99" w14:textId="77777777" w:rsidTr="00FA54F8">
        <w:tc>
          <w:tcPr>
            <w:tcW w:w="3006" w:type="dxa"/>
          </w:tcPr>
          <w:p w14:paraId="5E21BED2" w14:textId="77777777" w:rsidR="008C7518" w:rsidRDefault="008C7518" w:rsidP="00FA54F8">
            <w:pPr>
              <w:spacing w:line="360" w:lineRule="auto"/>
            </w:pPr>
            <w:r w:rsidRPr="00BF0405">
              <w:t>3</w:t>
            </w:r>
          </w:p>
        </w:tc>
        <w:tc>
          <w:tcPr>
            <w:tcW w:w="3006" w:type="dxa"/>
          </w:tcPr>
          <w:p w14:paraId="4FA25E6C" w14:textId="77777777" w:rsidR="008C7518" w:rsidRDefault="008C7518" w:rsidP="00FA54F8">
            <w:pPr>
              <w:spacing w:line="360" w:lineRule="auto"/>
            </w:pPr>
            <w:r w:rsidRPr="00BF0405">
              <w:t>20</w:t>
            </w:r>
          </w:p>
        </w:tc>
        <w:tc>
          <w:tcPr>
            <w:tcW w:w="3007" w:type="dxa"/>
          </w:tcPr>
          <w:p w14:paraId="230D30CD" w14:textId="77777777" w:rsidR="008C7518" w:rsidRDefault="008C7518" w:rsidP="00FA54F8">
            <w:pPr>
              <w:spacing w:line="360" w:lineRule="auto"/>
            </w:pPr>
            <w:r w:rsidRPr="00BF0405">
              <w:t>35</w:t>
            </w:r>
          </w:p>
        </w:tc>
      </w:tr>
      <w:tr w:rsidR="008C7518" w14:paraId="523F6050" w14:textId="77777777" w:rsidTr="00FA54F8">
        <w:tc>
          <w:tcPr>
            <w:tcW w:w="3006" w:type="dxa"/>
          </w:tcPr>
          <w:p w14:paraId="7D700D46" w14:textId="77777777" w:rsidR="008C7518" w:rsidRDefault="008C7518" w:rsidP="00FA54F8">
            <w:pPr>
              <w:spacing w:line="360" w:lineRule="auto"/>
            </w:pPr>
            <w:r w:rsidRPr="00BF0405">
              <w:t>4</w:t>
            </w:r>
          </w:p>
        </w:tc>
        <w:tc>
          <w:tcPr>
            <w:tcW w:w="3006" w:type="dxa"/>
          </w:tcPr>
          <w:p w14:paraId="4EBA33A2" w14:textId="77777777" w:rsidR="008C7518" w:rsidRDefault="008C7518" w:rsidP="00FA54F8">
            <w:pPr>
              <w:spacing w:line="360" w:lineRule="auto"/>
            </w:pPr>
            <w:r w:rsidRPr="00BF0405">
              <w:t>25</w:t>
            </w:r>
          </w:p>
        </w:tc>
        <w:tc>
          <w:tcPr>
            <w:tcW w:w="3007" w:type="dxa"/>
          </w:tcPr>
          <w:p w14:paraId="585BBBC5" w14:textId="77777777" w:rsidR="008C7518" w:rsidRDefault="008C7518" w:rsidP="00FA54F8">
            <w:pPr>
              <w:spacing w:line="360" w:lineRule="auto"/>
            </w:pPr>
            <w:r w:rsidRPr="00BF0405">
              <w:t>60</w:t>
            </w:r>
          </w:p>
        </w:tc>
      </w:tr>
    </w:tbl>
    <w:p w14:paraId="0F9864F0" w14:textId="77777777" w:rsidR="008C7518" w:rsidRDefault="008C7518" w:rsidP="00C006D6"/>
    <w:p w14:paraId="1EAB01D3" w14:textId="77777777" w:rsidR="008C7518" w:rsidRDefault="008C7518" w:rsidP="00C006D6"/>
    <w:p w14:paraId="20BD1DA5" w14:textId="77777777" w:rsidR="008C7518" w:rsidRDefault="008C7518" w:rsidP="00C006D6"/>
    <w:tbl>
      <w:tblPr>
        <w:tblStyle w:val="TableGrid"/>
        <w:tblW w:w="0" w:type="auto"/>
        <w:tblLook w:val="04A0" w:firstRow="1" w:lastRow="0" w:firstColumn="1" w:lastColumn="0" w:noHBand="0" w:noVBand="1"/>
      </w:tblPr>
      <w:tblGrid>
        <w:gridCol w:w="2254"/>
        <w:gridCol w:w="2255"/>
        <w:gridCol w:w="2255"/>
        <w:gridCol w:w="2255"/>
      </w:tblGrid>
      <w:tr w:rsidR="008C7518" w14:paraId="47BE4C3A" w14:textId="77777777" w:rsidTr="00FA54F8">
        <w:tc>
          <w:tcPr>
            <w:tcW w:w="2254" w:type="dxa"/>
          </w:tcPr>
          <w:p w14:paraId="2B53287D" w14:textId="77777777" w:rsidR="008C7518" w:rsidRDefault="008C7518" w:rsidP="00FA54F8">
            <w:pPr>
              <w:spacing w:line="360" w:lineRule="auto"/>
            </w:pPr>
            <w:r w:rsidRPr="00E91729">
              <w:t>Option</w:t>
            </w:r>
          </w:p>
        </w:tc>
        <w:tc>
          <w:tcPr>
            <w:tcW w:w="2255" w:type="dxa"/>
          </w:tcPr>
          <w:p w14:paraId="30451CA7" w14:textId="749B495A" w:rsidR="008C7518" w:rsidRDefault="00F85B21" w:rsidP="00FA54F8">
            <w:pPr>
              <w:spacing w:line="360" w:lineRule="auto"/>
            </w:pPr>
            <w:r>
              <w:t xml:space="preserve">Impact </w:t>
            </w:r>
            <w:r w:rsidR="008C7518" w:rsidRPr="00E91729">
              <w:t>on Shareholder Value</w:t>
            </w:r>
          </w:p>
        </w:tc>
        <w:tc>
          <w:tcPr>
            <w:tcW w:w="2255" w:type="dxa"/>
          </w:tcPr>
          <w:p w14:paraId="6668F2F4" w14:textId="77777777" w:rsidR="008C7518" w:rsidRDefault="008C7518" w:rsidP="00FA54F8">
            <w:pPr>
              <w:spacing w:line="360" w:lineRule="auto"/>
            </w:pPr>
            <w:r w:rsidRPr="00E91729">
              <w:t>Impact on Debt Structure</w:t>
            </w:r>
          </w:p>
        </w:tc>
        <w:tc>
          <w:tcPr>
            <w:tcW w:w="2255" w:type="dxa"/>
          </w:tcPr>
          <w:p w14:paraId="633D74FF" w14:textId="77777777" w:rsidR="008C7518" w:rsidRDefault="008C7518" w:rsidP="00FA54F8">
            <w:pPr>
              <w:spacing w:line="360" w:lineRule="auto"/>
            </w:pPr>
            <w:r w:rsidRPr="00E91729">
              <w:t>Impact on Operational Flexibility</w:t>
            </w:r>
          </w:p>
        </w:tc>
      </w:tr>
      <w:tr w:rsidR="008C7518" w14:paraId="4288FB4B" w14:textId="77777777" w:rsidTr="00FA54F8">
        <w:tc>
          <w:tcPr>
            <w:tcW w:w="2254" w:type="dxa"/>
          </w:tcPr>
          <w:p w14:paraId="6A7F34FE" w14:textId="77777777" w:rsidR="008C7518" w:rsidRDefault="008C7518" w:rsidP="00FA54F8">
            <w:pPr>
              <w:spacing w:line="360" w:lineRule="auto"/>
            </w:pPr>
            <w:r w:rsidRPr="00E91729">
              <w:t>Divestiture</w:t>
            </w:r>
          </w:p>
        </w:tc>
        <w:tc>
          <w:tcPr>
            <w:tcW w:w="2255" w:type="dxa"/>
          </w:tcPr>
          <w:p w14:paraId="2D20F201" w14:textId="77777777" w:rsidR="008C7518" w:rsidRDefault="008C7518" w:rsidP="00FA54F8">
            <w:pPr>
              <w:spacing w:line="360" w:lineRule="auto"/>
            </w:pPr>
            <w:r w:rsidRPr="00E91729">
              <w:t xml:space="preserve">Short-term value </w:t>
            </w:r>
            <w:r>
              <w:t>increases</w:t>
            </w:r>
            <w:r w:rsidRPr="00E91729">
              <w:t xml:space="preserve"> if assets </w:t>
            </w:r>
            <w:r w:rsidRPr="00E91729">
              <w:lastRenderedPageBreak/>
              <w:t>sell at good prices</w:t>
            </w:r>
          </w:p>
        </w:tc>
        <w:tc>
          <w:tcPr>
            <w:tcW w:w="2255" w:type="dxa"/>
          </w:tcPr>
          <w:p w14:paraId="63F0E242" w14:textId="77777777" w:rsidR="008C7518" w:rsidRDefault="008C7518" w:rsidP="00FA54F8">
            <w:pPr>
              <w:spacing w:line="360" w:lineRule="auto"/>
            </w:pPr>
            <w:r w:rsidRPr="00E91729">
              <w:lastRenderedPageBreak/>
              <w:t xml:space="preserve">Reduces debt if proceeds </w:t>
            </w:r>
            <w:r>
              <w:t xml:space="preserve">are </w:t>
            </w:r>
            <w:r w:rsidRPr="00E91729">
              <w:t xml:space="preserve">used </w:t>
            </w:r>
            <w:r w:rsidRPr="00E91729">
              <w:lastRenderedPageBreak/>
              <w:t>for repayment</w:t>
            </w:r>
          </w:p>
        </w:tc>
        <w:tc>
          <w:tcPr>
            <w:tcW w:w="2255" w:type="dxa"/>
          </w:tcPr>
          <w:p w14:paraId="2B24EC46" w14:textId="77777777" w:rsidR="008C7518" w:rsidRDefault="008C7518" w:rsidP="00FA54F8">
            <w:pPr>
              <w:spacing w:line="360" w:lineRule="auto"/>
            </w:pPr>
            <w:r w:rsidRPr="00E91729">
              <w:lastRenderedPageBreak/>
              <w:t xml:space="preserve">Increases flexibility by removing </w:t>
            </w:r>
            <w:r w:rsidRPr="00E91729">
              <w:lastRenderedPageBreak/>
              <w:t>unproductive units</w:t>
            </w:r>
          </w:p>
        </w:tc>
      </w:tr>
      <w:tr w:rsidR="008C7518" w14:paraId="3E7BD5D3" w14:textId="77777777" w:rsidTr="00FA54F8">
        <w:tc>
          <w:tcPr>
            <w:tcW w:w="2254" w:type="dxa"/>
          </w:tcPr>
          <w:p w14:paraId="1C1D3920" w14:textId="77777777" w:rsidR="008C7518" w:rsidRDefault="008C7518" w:rsidP="00FA54F8">
            <w:pPr>
              <w:spacing w:line="360" w:lineRule="auto"/>
            </w:pPr>
            <w:r w:rsidRPr="00E91729">
              <w:lastRenderedPageBreak/>
              <w:t>Merger</w:t>
            </w:r>
          </w:p>
        </w:tc>
        <w:tc>
          <w:tcPr>
            <w:tcW w:w="2255" w:type="dxa"/>
          </w:tcPr>
          <w:p w14:paraId="2825420A" w14:textId="77777777" w:rsidR="008C7518" w:rsidRDefault="008C7518" w:rsidP="00FA54F8">
            <w:pPr>
              <w:spacing w:line="360" w:lineRule="auto"/>
            </w:pPr>
            <w:r w:rsidRPr="00E91729">
              <w:t>Potential long-term value through synergies</w:t>
            </w:r>
          </w:p>
        </w:tc>
        <w:tc>
          <w:tcPr>
            <w:tcW w:w="2255" w:type="dxa"/>
          </w:tcPr>
          <w:p w14:paraId="38634310" w14:textId="77777777" w:rsidR="008C7518" w:rsidRDefault="008C7518" w:rsidP="00FA54F8">
            <w:pPr>
              <w:spacing w:line="360" w:lineRule="auto"/>
            </w:pPr>
            <w:r w:rsidRPr="00E91729">
              <w:t xml:space="preserve">May reduce or increase debt depending on </w:t>
            </w:r>
            <w:r>
              <w:t xml:space="preserve">the </w:t>
            </w:r>
            <w:r w:rsidRPr="00E91729">
              <w:t>deal</w:t>
            </w:r>
          </w:p>
        </w:tc>
        <w:tc>
          <w:tcPr>
            <w:tcW w:w="2255" w:type="dxa"/>
          </w:tcPr>
          <w:p w14:paraId="531096F3" w14:textId="77777777" w:rsidR="008C7518" w:rsidRDefault="008C7518" w:rsidP="00FA54F8">
            <w:pPr>
              <w:spacing w:line="360" w:lineRule="auto"/>
            </w:pPr>
            <w:r w:rsidRPr="00E91729">
              <w:t xml:space="preserve">Higher flexibility if </w:t>
            </w:r>
            <w:r>
              <w:t xml:space="preserve">the </w:t>
            </w:r>
            <w:r w:rsidRPr="00E91729">
              <w:t>merged entity gains efficiency</w:t>
            </w:r>
          </w:p>
        </w:tc>
      </w:tr>
      <w:tr w:rsidR="008C7518" w14:paraId="07F24F0C" w14:textId="77777777" w:rsidTr="00FA54F8">
        <w:tc>
          <w:tcPr>
            <w:tcW w:w="2254" w:type="dxa"/>
          </w:tcPr>
          <w:p w14:paraId="2FC6C88F" w14:textId="77777777" w:rsidR="008C7518" w:rsidRDefault="008C7518" w:rsidP="00FA54F8">
            <w:pPr>
              <w:spacing w:line="360" w:lineRule="auto"/>
            </w:pPr>
            <w:r w:rsidRPr="00E91729">
              <w:t>Equity Injection</w:t>
            </w:r>
          </w:p>
        </w:tc>
        <w:tc>
          <w:tcPr>
            <w:tcW w:w="2255" w:type="dxa"/>
          </w:tcPr>
          <w:p w14:paraId="7808E5AB" w14:textId="77777777" w:rsidR="008C7518" w:rsidRDefault="008C7518" w:rsidP="00FA54F8">
            <w:pPr>
              <w:spacing w:line="360" w:lineRule="auto"/>
            </w:pPr>
            <w:r w:rsidRPr="00E91729">
              <w:t>Strengthens equity but dilutes ownership</w:t>
            </w:r>
          </w:p>
        </w:tc>
        <w:tc>
          <w:tcPr>
            <w:tcW w:w="2255" w:type="dxa"/>
          </w:tcPr>
          <w:p w14:paraId="085FDB84" w14:textId="77777777" w:rsidR="008C7518" w:rsidRDefault="008C7518" w:rsidP="00FA54F8">
            <w:pPr>
              <w:spacing w:line="360" w:lineRule="auto"/>
            </w:pPr>
            <w:r w:rsidRPr="00E91729">
              <w:t>Reduces leverage, improving solvency</w:t>
            </w:r>
          </w:p>
        </w:tc>
        <w:tc>
          <w:tcPr>
            <w:tcW w:w="2255" w:type="dxa"/>
          </w:tcPr>
          <w:p w14:paraId="60751D4F" w14:textId="77777777" w:rsidR="008C7518" w:rsidRDefault="008C7518" w:rsidP="00FA54F8">
            <w:pPr>
              <w:spacing w:line="360" w:lineRule="auto"/>
            </w:pPr>
            <w:r w:rsidRPr="00E91729">
              <w:t xml:space="preserve">Allows more investment flexibility due to </w:t>
            </w:r>
            <w:r>
              <w:t xml:space="preserve">a </w:t>
            </w:r>
            <w:r w:rsidRPr="00E91729">
              <w:t>stronger capital base</w:t>
            </w:r>
          </w:p>
        </w:tc>
      </w:tr>
    </w:tbl>
    <w:p w14:paraId="38C8C126" w14:textId="77777777" w:rsidR="008C7518" w:rsidRPr="00AD3B0E" w:rsidRDefault="008C7518" w:rsidP="00C006D6"/>
    <w:sectPr w:rsidR="008C7518" w:rsidRPr="00AD3B0E" w:rsidSect="00A854DC">
      <w:footerReference w:type="default" r:id="rId36"/>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DB1873" w14:textId="77777777" w:rsidR="00E11F48" w:rsidRDefault="00E11F48" w:rsidP="000022F4">
      <w:pPr>
        <w:spacing w:after="0" w:line="240" w:lineRule="auto"/>
      </w:pPr>
      <w:r>
        <w:separator/>
      </w:r>
    </w:p>
  </w:endnote>
  <w:endnote w:type="continuationSeparator" w:id="0">
    <w:p w14:paraId="01F15A7A" w14:textId="77777777" w:rsidR="00E11F48" w:rsidRDefault="00E11F48" w:rsidP="00002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3988282"/>
      <w:docPartObj>
        <w:docPartGallery w:val="Page Numbers (Bottom of Page)"/>
        <w:docPartUnique/>
      </w:docPartObj>
    </w:sdtPr>
    <w:sdtEndPr>
      <w:rPr>
        <w:noProof/>
      </w:rPr>
    </w:sdtEndPr>
    <w:sdtContent>
      <w:p w14:paraId="31A83E3D" w14:textId="646B6F42" w:rsidR="000022F4" w:rsidRDefault="000022F4">
        <w:pPr>
          <w:pStyle w:val="Footer"/>
          <w:jc w:val="center"/>
        </w:pPr>
        <w:r>
          <w:fldChar w:fldCharType="begin"/>
        </w:r>
        <w:r>
          <w:instrText xml:space="preserve"> PAGE   \* MERGEFORMAT </w:instrText>
        </w:r>
        <w:r>
          <w:fldChar w:fldCharType="separate"/>
        </w:r>
        <w:r w:rsidR="00F85B21">
          <w:rPr>
            <w:noProof/>
          </w:rPr>
          <w:t>1</w:t>
        </w:r>
        <w:r>
          <w:rPr>
            <w:noProof/>
          </w:rPr>
          <w:fldChar w:fldCharType="end"/>
        </w:r>
      </w:p>
    </w:sdtContent>
  </w:sdt>
  <w:p w14:paraId="43FBBBE4" w14:textId="77777777" w:rsidR="000022F4" w:rsidRDefault="000022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395767" w14:textId="77777777" w:rsidR="00E11F48" w:rsidRDefault="00E11F48" w:rsidP="000022F4">
      <w:pPr>
        <w:spacing w:after="0" w:line="240" w:lineRule="auto"/>
      </w:pPr>
      <w:r>
        <w:separator/>
      </w:r>
    </w:p>
  </w:footnote>
  <w:footnote w:type="continuationSeparator" w:id="0">
    <w:p w14:paraId="41872637" w14:textId="77777777" w:rsidR="00E11F48" w:rsidRDefault="00E11F48" w:rsidP="000022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43E6"/>
    <w:multiLevelType w:val="hybridMultilevel"/>
    <w:tmpl w:val="FC946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0332A9"/>
    <w:multiLevelType w:val="hybridMultilevel"/>
    <w:tmpl w:val="9754F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B32922"/>
    <w:multiLevelType w:val="hybridMultilevel"/>
    <w:tmpl w:val="5930E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E67B82"/>
    <w:multiLevelType w:val="hybridMultilevel"/>
    <w:tmpl w:val="EC52C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DA1C19"/>
    <w:multiLevelType w:val="hybridMultilevel"/>
    <w:tmpl w:val="4EE88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E70E9E"/>
    <w:multiLevelType w:val="hybridMultilevel"/>
    <w:tmpl w:val="0368E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351A56"/>
    <w:multiLevelType w:val="hybridMultilevel"/>
    <w:tmpl w:val="3AE85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020A05"/>
    <w:multiLevelType w:val="hybridMultilevel"/>
    <w:tmpl w:val="0DFE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41B14"/>
    <w:multiLevelType w:val="hybridMultilevel"/>
    <w:tmpl w:val="3DF2F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210CB7"/>
    <w:multiLevelType w:val="hybridMultilevel"/>
    <w:tmpl w:val="F0B04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5334B7F"/>
    <w:multiLevelType w:val="hybridMultilevel"/>
    <w:tmpl w:val="2862B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62B013D"/>
    <w:multiLevelType w:val="hybridMultilevel"/>
    <w:tmpl w:val="41BA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76635E5"/>
    <w:multiLevelType w:val="hybridMultilevel"/>
    <w:tmpl w:val="8AB25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3B7C5A"/>
    <w:multiLevelType w:val="hybridMultilevel"/>
    <w:tmpl w:val="D4869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22142A"/>
    <w:multiLevelType w:val="hybridMultilevel"/>
    <w:tmpl w:val="65781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F2271E7"/>
    <w:multiLevelType w:val="hybridMultilevel"/>
    <w:tmpl w:val="D342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8B718B"/>
    <w:multiLevelType w:val="hybridMultilevel"/>
    <w:tmpl w:val="46A0E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8008E4"/>
    <w:multiLevelType w:val="hybridMultilevel"/>
    <w:tmpl w:val="6690F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8F6A55"/>
    <w:multiLevelType w:val="hybridMultilevel"/>
    <w:tmpl w:val="268C0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237ABD"/>
    <w:multiLevelType w:val="hybridMultilevel"/>
    <w:tmpl w:val="F7C84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5AE73A5"/>
    <w:multiLevelType w:val="hybridMultilevel"/>
    <w:tmpl w:val="97704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6E21122"/>
    <w:multiLevelType w:val="hybridMultilevel"/>
    <w:tmpl w:val="03063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9446B5C"/>
    <w:multiLevelType w:val="hybridMultilevel"/>
    <w:tmpl w:val="EC5E6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17126F1"/>
    <w:multiLevelType w:val="hybridMultilevel"/>
    <w:tmpl w:val="4A724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2137212"/>
    <w:multiLevelType w:val="hybridMultilevel"/>
    <w:tmpl w:val="C0B67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C840D38"/>
    <w:multiLevelType w:val="hybridMultilevel"/>
    <w:tmpl w:val="81B6B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E193B9A"/>
    <w:multiLevelType w:val="hybridMultilevel"/>
    <w:tmpl w:val="746E2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4D623D3"/>
    <w:multiLevelType w:val="hybridMultilevel"/>
    <w:tmpl w:val="1ADCF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9454A44"/>
    <w:multiLevelType w:val="hybridMultilevel"/>
    <w:tmpl w:val="C1E60D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9762562"/>
    <w:multiLevelType w:val="hybridMultilevel"/>
    <w:tmpl w:val="C2FA7B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A2A24DD"/>
    <w:multiLevelType w:val="hybridMultilevel"/>
    <w:tmpl w:val="C0C02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7055BC"/>
    <w:multiLevelType w:val="hybridMultilevel"/>
    <w:tmpl w:val="84623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EA4505C"/>
    <w:multiLevelType w:val="hybridMultilevel"/>
    <w:tmpl w:val="2F74B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343FF0"/>
    <w:multiLevelType w:val="hybridMultilevel"/>
    <w:tmpl w:val="17EE8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B5116E1"/>
    <w:multiLevelType w:val="hybridMultilevel"/>
    <w:tmpl w:val="E9EA5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C435C5C"/>
    <w:multiLevelType w:val="hybridMultilevel"/>
    <w:tmpl w:val="F894F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26"/>
  </w:num>
  <w:num w:numId="3">
    <w:abstractNumId w:val="5"/>
  </w:num>
  <w:num w:numId="4">
    <w:abstractNumId w:val="6"/>
  </w:num>
  <w:num w:numId="5">
    <w:abstractNumId w:val="13"/>
  </w:num>
  <w:num w:numId="6">
    <w:abstractNumId w:val="15"/>
  </w:num>
  <w:num w:numId="7">
    <w:abstractNumId w:val="23"/>
  </w:num>
  <w:num w:numId="8">
    <w:abstractNumId w:val="12"/>
  </w:num>
  <w:num w:numId="9">
    <w:abstractNumId w:val="7"/>
  </w:num>
  <w:num w:numId="10">
    <w:abstractNumId w:val="35"/>
  </w:num>
  <w:num w:numId="11">
    <w:abstractNumId w:val="4"/>
  </w:num>
  <w:num w:numId="12">
    <w:abstractNumId w:val="30"/>
  </w:num>
  <w:num w:numId="13">
    <w:abstractNumId w:val="0"/>
  </w:num>
  <w:num w:numId="14">
    <w:abstractNumId w:val="10"/>
  </w:num>
  <w:num w:numId="15">
    <w:abstractNumId w:val="22"/>
  </w:num>
  <w:num w:numId="16">
    <w:abstractNumId w:val="17"/>
  </w:num>
  <w:num w:numId="17">
    <w:abstractNumId w:val="24"/>
  </w:num>
  <w:num w:numId="18">
    <w:abstractNumId w:val="21"/>
  </w:num>
  <w:num w:numId="19">
    <w:abstractNumId w:val="32"/>
  </w:num>
  <w:num w:numId="20">
    <w:abstractNumId w:val="28"/>
  </w:num>
  <w:num w:numId="21">
    <w:abstractNumId w:val="31"/>
  </w:num>
  <w:num w:numId="22">
    <w:abstractNumId w:val="20"/>
  </w:num>
  <w:num w:numId="23">
    <w:abstractNumId w:val="19"/>
  </w:num>
  <w:num w:numId="24">
    <w:abstractNumId w:val="9"/>
  </w:num>
  <w:num w:numId="25">
    <w:abstractNumId w:val="3"/>
  </w:num>
  <w:num w:numId="26">
    <w:abstractNumId w:val="34"/>
  </w:num>
  <w:num w:numId="27">
    <w:abstractNumId w:val="27"/>
  </w:num>
  <w:num w:numId="28">
    <w:abstractNumId w:val="29"/>
  </w:num>
  <w:num w:numId="29">
    <w:abstractNumId w:val="1"/>
  </w:num>
  <w:num w:numId="30">
    <w:abstractNumId w:val="11"/>
  </w:num>
  <w:num w:numId="31">
    <w:abstractNumId w:val="25"/>
  </w:num>
  <w:num w:numId="32">
    <w:abstractNumId w:val="8"/>
  </w:num>
  <w:num w:numId="33">
    <w:abstractNumId w:val="18"/>
  </w:num>
  <w:num w:numId="34">
    <w:abstractNumId w:val="33"/>
  </w:num>
  <w:num w:numId="35">
    <w:abstractNumId w:val="2"/>
  </w:num>
  <w:num w:numId="3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DB3"/>
    <w:rsid w:val="0000008F"/>
    <w:rsid w:val="000022F4"/>
    <w:rsid w:val="0000540D"/>
    <w:rsid w:val="00040564"/>
    <w:rsid w:val="00044DB3"/>
    <w:rsid w:val="0007142C"/>
    <w:rsid w:val="00073633"/>
    <w:rsid w:val="00074B75"/>
    <w:rsid w:val="00076089"/>
    <w:rsid w:val="000828DB"/>
    <w:rsid w:val="000A60D3"/>
    <w:rsid w:val="000B4147"/>
    <w:rsid w:val="000B4EDE"/>
    <w:rsid w:val="000C308F"/>
    <w:rsid w:val="000D2B51"/>
    <w:rsid w:val="000D5E54"/>
    <w:rsid w:val="000F5281"/>
    <w:rsid w:val="0013064A"/>
    <w:rsid w:val="00134B6C"/>
    <w:rsid w:val="001372B6"/>
    <w:rsid w:val="00137A86"/>
    <w:rsid w:val="00140B67"/>
    <w:rsid w:val="0016335B"/>
    <w:rsid w:val="001646AE"/>
    <w:rsid w:val="00170FF8"/>
    <w:rsid w:val="001731D4"/>
    <w:rsid w:val="00173DFA"/>
    <w:rsid w:val="001825B4"/>
    <w:rsid w:val="00183991"/>
    <w:rsid w:val="0019019E"/>
    <w:rsid w:val="0019310E"/>
    <w:rsid w:val="001A6D42"/>
    <w:rsid w:val="001B56DC"/>
    <w:rsid w:val="001B7581"/>
    <w:rsid w:val="001C09DA"/>
    <w:rsid w:val="002026A9"/>
    <w:rsid w:val="00227D2B"/>
    <w:rsid w:val="00266F61"/>
    <w:rsid w:val="002B08AB"/>
    <w:rsid w:val="002B76BF"/>
    <w:rsid w:val="002D2A0F"/>
    <w:rsid w:val="002F4C46"/>
    <w:rsid w:val="00312723"/>
    <w:rsid w:val="00322F5F"/>
    <w:rsid w:val="00330727"/>
    <w:rsid w:val="00335EA2"/>
    <w:rsid w:val="00354D16"/>
    <w:rsid w:val="0035549B"/>
    <w:rsid w:val="00355AA8"/>
    <w:rsid w:val="00362B37"/>
    <w:rsid w:val="00363B0B"/>
    <w:rsid w:val="003658B0"/>
    <w:rsid w:val="00390B18"/>
    <w:rsid w:val="003919A0"/>
    <w:rsid w:val="00391FF0"/>
    <w:rsid w:val="003935E2"/>
    <w:rsid w:val="003976A9"/>
    <w:rsid w:val="003A4100"/>
    <w:rsid w:val="003B07FB"/>
    <w:rsid w:val="003B7A8A"/>
    <w:rsid w:val="003C1B7F"/>
    <w:rsid w:val="003C6F31"/>
    <w:rsid w:val="003C7A2D"/>
    <w:rsid w:val="003D06C8"/>
    <w:rsid w:val="003D2D23"/>
    <w:rsid w:val="00400D97"/>
    <w:rsid w:val="00403E47"/>
    <w:rsid w:val="0044216B"/>
    <w:rsid w:val="0045489B"/>
    <w:rsid w:val="00460A76"/>
    <w:rsid w:val="004716EF"/>
    <w:rsid w:val="0049471A"/>
    <w:rsid w:val="004A218D"/>
    <w:rsid w:val="004A272B"/>
    <w:rsid w:val="004A4D07"/>
    <w:rsid w:val="004A6840"/>
    <w:rsid w:val="004B749F"/>
    <w:rsid w:val="004D0131"/>
    <w:rsid w:val="004D7B56"/>
    <w:rsid w:val="004F0C58"/>
    <w:rsid w:val="00546D6E"/>
    <w:rsid w:val="00551F42"/>
    <w:rsid w:val="005611E9"/>
    <w:rsid w:val="00594289"/>
    <w:rsid w:val="005A7A6D"/>
    <w:rsid w:val="005C2FA4"/>
    <w:rsid w:val="005C4709"/>
    <w:rsid w:val="005D0601"/>
    <w:rsid w:val="005E5909"/>
    <w:rsid w:val="00600D17"/>
    <w:rsid w:val="0060477C"/>
    <w:rsid w:val="00616971"/>
    <w:rsid w:val="00617126"/>
    <w:rsid w:val="006208DA"/>
    <w:rsid w:val="0062540F"/>
    <w:rsid w:val="006347DD"/>
    <w:rsid w:val="006356AC"/>
    <w:rsid w:val="006576C3"/>
    <w:rsid w:val="006908A3"/>
    <w:rsid w:val="0069503B"/>
    <w:rsid w:val="006A44BC"/>
    <w:rsid w:val="006B3354"/>
    <w:rsid w:val="006D310B"/>
    <w:rsid w:val="00710AF6"/>
    <w:rsid w:val="00715723"/>
    <w:rsid w:val="007365F2"/>
    <w:rsid w:val="007544CA"/>
    <w:rsid w:val="007700E3"/>
    <w:rsid w:val="00772D8F"/>
    <w:rsid w:val="00787D5A"/>
    <w:rsid w:val="007A093E"/>
    <w:rsid w:val="007B7302"/>
    <w:rsid w:val="007D15B6"/>
    <w:rsid w:val="00802DEF"/>
    <w:rsid w:val="00816737"/>
    <w:rsid w:val="00823F83"/>
    <w:rsid w:val="00843E09"/>
    <w:rsid w:val="008502DF"/>
    <w:rsid w:val="00852692"/>
    <w:rsid w:val="00861D7D"/>
    <w:rsid w:val="00883B19"/>
    <w:rsid w:val="008845B9"/>
    <w:rsid w:val="008860FC"/>
    <w:rsid w:val="00887B86"/>
    <w:rsid w:val="008B4F58"/>
    <w:rsid w:val="008C7518"/>
    <w:rsid w:val="009252A2"/>
    <w:rsid w:val="00942C53"/>
    <w:rsid w:val="00946851"/>
    <w:rsid w:val="00963FFD"/>
    <w:rsid w:val="009649DC"/>
    <w:rsid w:val="00996195"/>
    <w:rsid w:val="009A2DFA"/>
    <w:rsid w:val="009C5B5D"/>
    <w:rsid w:val="009D64A9"/>
    <w:rsid w:val="009F33D2"/>
    <w:rsid w:val="00A106B3"/>
    <w:rsid w:val="00A46A04"/>
    <w:rsid w:val="00A64F72"/>
    <w:rsid w:val="00A66AE5"/>
    <w:rsid w:val="00A67190"/>
    <w:rsid w:val="00A854DC"/>
    <w:rsid w:val="00AA3DA2"/>
    <w:rsid w:val="00AA49B5"/>
    <w:rsid w:val="00AC7683"/>
    <w:rsid w:val="00AD3B0E"/>
    <w:rsid w:val="00AD7BAF"/>
    <w:rsid w:val="00AE7493"/>
    <w:rsid w:val="00AF4406"/>
    <w:rsid w:val="00B07EB4"/>
    <w:rsid w:val="00B23822"/>
    <w:rsid w:val="00B36649"/>
    <w:rsid w:val="00B57142"/>
    <w:rsid w:val="00BA29CB"/>
    <w:rsid w:val="00BC1F80"/>
    <w:rsid w:val="00BD0760"/>
    <w:rsid w:val="00BD703D"/>
    <w:rsid w:val="00BF2B9E"/>
    <w:rsid w:val="00BF686B"/>
    <w:rsid w:val="00C006D6"/>
    <w:rsid w:val="00C012C9"/>
    <w:rsid w:val="00C51DD2"/>
    <w:rsid w:val="00C647D0"/>
    <w:rsid w:val="00C67651"/>
    <w:rsid w:val="00C7063E"/>
    <w:rsid w:val="00C71E81"/>
    <w:rsid w:val="00C75FE3"/>
    <w:rsid w:val="00C77FA8"/>
    <w:rsid w:val="00C93674"/>
    <w:rsid w:val="00C94A5C"/>
    <w:rsid w:val="00C9739B"/>
    <w:rsid w:val="00CA0A43"/>
    <w:rsid w:val="00CA3C4D"/>
    <w:rsid w:val="00CD409F"/>
    <w:rsid w:val="00CE3491"/>
    <w:rsid w:val="00CF1DD3"/>
    <w:rsid w:val="00CF2B05"/>
    <w:rsid w:val="00CF48EA"/>
    <w:rsid w:val="00D04192"/>
    <w:rsid w:val="00D31F54"/>
    <w:rsid w:val="00D4670E"/>
    <w:rsid w:val="00DC5FD2"/>
    <w:rsid w:val="00DE3973"/>
    <w:rsid w:val="00E04A1E"/>
    <w:rsid w:val="00E11F48"/>
    <w:rsid w:val="00E3601E"/>
    <w:rsid w:val="00E74C29"/>
    <w:rsid w:val="00E771A9"/>
    <w:rsid w:val="00E86BC0"/>
    <w:rsid w:val="00E902A1"/>
    <w:rsid w:val="00EC009B"/>
    <w:rsid w:val="00EC2EE9"/>
    <w:rsid w:val="00EC4075"/>
    <w:rsid w:val="00EC4F7B"/>
    <w:rsid w:val="00EC7F31"/>
    <w:rsid w:val="00EE3000"/>
    <w:rsid w:val="00EF12E8"/>
    <w:rsid w:val="00F07986"/>
    <w:rsid w:val="00F1153A"/>
    <w:rsid w:val="00F31E33"/>
    <w:rsid w:val="00F374E4"/>
    <w:rsid w:val="00F66364"/>
    <w:rsid w:val="00F77C7B"/>
    <w:rsid w:val="00F85B21"/>
    <w:rsid w:val="00F87D0A"/>
    <w:rsid w:val="00FB03AC"/>
    <w:rsid w:val="00FB6445"/>
    <w:rsid w:val="00FC1CA9"/>
    <w:rsid w:val="00FE3CFC"/>
    <w:rsid w:val="00FE4263"/>
    <w:rsid w:val="00FE4967"/>
    <w:rsid w:val="00FF4F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73A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kern w:val="2"/>
        <w:sz w:val="24"/>
        <w:szCs w:val="24"/>
        <w:lang w:val="en-US" w:eastAsia="en-US" w:bidi="ar-SA"/>
        <w14:ligatures w14:val="standardContextual"/>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B05"/>
    <w:rPr>
      <w:rFonts w:ascii="Arial" w:hAnsi="Arial" w:cs="Arial"/>
    </w:rPr>
  </w:style>
  <w:style w:type="paragraph" w:styleId="Heading1">
    <w:name w:val="heading 1"/>
    <w:basedOn w:val="Normal"/>
    <w:next w:val="Normal"/>
    <w:link w:val="Heading1Char"/>
    <w:uiPriority w:val="9"/>
    <w:qFormat/>
    <w:rsid w:val="00FB6445"/>
    <w:pPr>
      <w:keepNext/>
      <w:keepLines/>
      <w:spacing w:before="360" w:after="80"/>
      <w:outlineLvl w:val="0"/>
    </w:pPr>
    <w:rPr>
      <w:rFonts w:eastAsiaTheme="majorEastAsia"/>
      <w:color w:val="0F4761" w:themeColor="accent1" w:themeShade="BF"/>
      <w:sz w:val="32"/>
      <w:szCs w:val="32"/>
    </w:rPr>
  </w:style>
  <w:style w:type="paragraph" w:styleId="Heading2">
    <w:name w:val="heading 2"/>
    <w:basedOn w:val="Normal"/>
    <w:next w:val="Normal"/>
    <w:link w:val="Heading2Char"/>
    <w:uiPriority w:val="9"/>
    <w:unhideWhenUsed/>
    <w:qFormat/>
    <w:rsid w:val="00C9739B"/>
    <w:pPr>
      <w:keepNext/>
      <w:keepLines/>
      <w:spacing w:before="160" w:after="80"/>
      <w:outlineLvl w:val="1"/>
    </w:pPr>
    <w:rPr>
      <w:rFonts w:eastAsiaTheme="majorEastAsia"/>
      <w:color w:val="0F4761" w:themeColor="accent1" w:themeShade="BF"/>
      <w:sz w:val="28"/>
      <w:szCs w:val="28"/>
    </w:rPr>
  </w:style>
  <w:style w:type="paragraph" w:styleId="Heading3">
    <w:name w:val="heading 3"/>
    <w:basedOn w:val="Normal"/>
    <w:next w:val="Normal"/>
    <w:link w:val="Heading3Char"/>
    <w:uiPriority w:val="9"/>
    <w:semiHidden/>
    <w:unhideWhenUsed/>
    <w:qFormat/>
    <w:rsid w:val="00044DB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DB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44DB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44DB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44DB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44DB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44DB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445"/>
    <w:rPr>
      <w:rFonts w:ascii="Arial" w:eastAsiaTheme="majorEastAsia" w:hAnsi="Arial" w:cs="Arial"/>
      <w:color w:val="0F4761" w:themeColor="accent1" w:themeShade="BF"/>
      <w:sz w:val="32"/>
      <w:szCs w:val="32"/>
    </w:rPr>
  </w:style>
  <w:style w:type="character" w:customStyle="1" w:styleId="Heading2Char">
    <w:name w:val="Heading 2 Char"/>
    <w:basedOn w:val="DefaultParagraphFont"/>
    <w:link w:val="Heading2"/>
    <w:uiPriority w:val="9"/>
    <w:rsid w:val="00C9739B"/>
    <w:rPr>
      <w:rFonts w:ascii="Arial" w:eastAsiaTheme="majorEastAsia" w:hAnsi="Arial" w:cs="Arial"/>
      <w:color w:val="0F4761" w:themeColor="accent1" w:themeShade="BF"/>
      <w:sz w:val="28"/>
      <w:szCs w:val="28"/>
    </w:rPr>
  </w:style>
  <w:style w:type="character" w:customStyle="1" w:styleId="Heading3Char">
    <w:name w:val="Heading 3 Char"/>
    <w:basedOn w:val="DefaultParagraphFont"/>
    <w:link w:val="Heading3"/>
    <w:uiPriority w:val="9"/>
    <w:semiHidden/>
    <w:rsid w:val="00044DB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DB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44DB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44DB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44DB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44DB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44DB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44D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D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DB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DB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44DB3"/>
    <w:pPr>
      <w:spacing w:before="160"/>
      <w:jc w:val="center"/>
    </w:pPr>
    <w:rPr>
      <w:i/>
      <w:iCs/>
      <w:color w:val="404040" w:themeColor="text1" w:themeTint="BF"/>
    </w:rPr>
  </w:style>
  <w:style w:type="character" w:customStyle="1" w:styleId="QuoteChar">
    <w:name w:val="Quote Char"/>
    <w:basedOn w:val="DefaultParagraphFont"/>
    <w:link w:val="Quote"/>
    <w:uiPriority w:val="29"/>
    <w:rsid w:val="00044DB3"/>
    <w:rPr>
      <w:i/>
      <w:iCs/>
      <w:color w:val="404040" w:themeColor="text1" w:themeTint="BF"/>
    </w:rPr>
  </w:style>
  <w:style w:type="paragraph" w:styleId="ListParagraph">
    <w:name w:val="List Paragraph"/>
    <w:basedOn w:val="Normal"/>
    <w:uiPriority w:val="34"/>
    <w:qFormat/>
    <w:rsid w:val="00044DB3"/>
    <w:pPr>
      <w:ind w:left="720"/>
      <w:contextualSpacing/>
    </w:pPr>
  </w:style>
  <w:style w:type="character" w:styleId="IntenseEmphasis">
    <w:name w:val="Intense Emphasis"/>
    <w:basedOn w:val="DefaultParagraphFont"/>
    <w:uiPriority w:val="21"/>
    <w:qFormat/>
    <w:rsid w:val="00044DB3"/>
    <w:rPr>
      <w:i/>
      <w:iCs/>
      <w:color w:val="0F4761" w:themeColor="accent1" w:themeShade="BF"/>
    </w:rPr>
  </w:style>
  <w:style w:type="paragraph" w:styleId="IntenseQuote">
    <w:name w:val="Intense Quote"/>
    <w:basedOn w:val="Normal"/>
    <w:next w:val="Normal"/>
    <w:link w:val="IntenseQuoteChar"/>
    <w:uiPriority w:val="30"/>
    <w:qFormat/>
    <w:rsid w:val="00044D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DB3"/>
    <w:rPr>
      <w:i/>
      <w:iCs/>
      <w:color w:val="0F4761" w:themeColor="accent1" w:themeShade="BF"/>
    </w:rPr>
  </w:style>
  <w:style w:type="character" w:styleId="IntenseReference">
    <w:name w:val="Intense Reference"/>
    <w:basedOn w:val="DefaultParagraphFont"/>
    <w:uiPriority w:val="32"/>
    <w:qFormat/>
    <w:rsid w:val="00044DB3"/>
    <w:rPr>
      <w:b/>
      <w:bCs/>
      <w:smallCaps/>
      <w:color w:val="0F4761" w:themeColor="accent1" w:themeShade="BF"/>
      <w:spacing w:val="5"/>
    </w:rPr>
  </w:style>
  <w:style w:type="table" w:styleId="TableGrid">
    <w:name w:val="Table Grid"/>
    <w:basedOn w:val="TableNormal"/>
    <w:uiPriority w:val="39"/>
    <w:rsid w:val="00A64F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0B4147"/>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1372B6"/>
    <w:pPr>
      <w:spacing w:before="240" w:after="0" w:line="259" w:lineRule="auto"/>
      <w:jc w:val="left"/>
      <w:outlineLvl w:val="9"/>
    </w:pPr>
    <w:rPr>
      <w:rFonts w:asciiTheme="majorHAnsi" w:hAnsiTheme="majorHAnsi" w:cstheme="majorBidi"/>
      <w:kern w:val="0"/>
      <w14:ligatures w14:val="none"/>
    </w:rPr>
  </w:style>
  <w:style w:type="paragraph" w:styleId="TOC1">
    <w:name w:val="toc 1"/>
    <w:basedOn w:val="Normal"/>
    <w:next w:val="Normal"/>
    <w:autoRedefine/>
    <w:uiPriority w:val="39"/>
    <w:unhideWhenUsed/>
    <w:rsid w:val="001372B6"/>
    <w:pPr>
      <w:spacing w:after="100"/>
    </w:pPr>
  </w:style>
  <w:style w:type="paragraph" w:styleId="TOC2">
    <w:name w:val="toc 2"/>
    <w:basedOn w:val="Normal"/>
    <w:next w:val="Normal"/>
    <w:autoRedefine/>
    <w:uiPriority w:val="39"/>
    <w:unhideWhenUsed/>
    <w:rsid w:val="001372B6"/>
    <w:pPr>
      <w:spacing w:after="100"/>
      <w:ind w:left="240"/>
    </w:pPr>
  </w:style>
  <w:style w:type="character" w:styleId="Hyperlink">
    <w:name w:val="Hyperlink"/>
    <w:basedOn w:val="DefaultParagraphFont"/>
    <w:uiPriority w:val="99"/>
    <w:unhideWhenUsed/>
    <w:rsid w:val="001372B6"/>
    <w:rPr>
      <w:color w:val="467886" w:themeColor="hyperlink"/>
      <w:u w:val="single"/>
    </w:rPr>
  </w:style>
  <w:style w:type="paragraph" w:styleId="NormalWeb">
    <w:name w:val="Normal (Web)"/>
    <w:basedOn w:val="Normal"/>
    <w:uiPriority w:val="99"/>
    <w:semiHidden/>
    <w:unhideWhenUsed/>
    <w:rsid w:val="00F87D0A"/>
    <w:pPr>
      <w:spacing w:before="100" w:beforeAutospacing="1" w:after="100" w:afterAutospacing="1" w:line="240" w:lineRule="auto"/>
      <w:jc w:val="left"/>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0022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22F4"/>
    <w:rPr>
      <w:rFonts w:ascii="Arial" w:hAnsi="Arial" w:cs="Arial"/>
    </w:rPr>
  </w:style>
  <w:style w:type="paragraph" w:styleId="Footer">
    <w:name w:val="footer"/>
    <w:basedOn w:val="Normal"/>
    <w:link w:val="FooterChar"/>
    <w:uiPriority w:val="99"/>
    <w:unhideWhenUsed/>
    <w:rsid w:val="000022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22F4"/>
    <w:rPr>
      <w:rFonts w:ascii="Arial" w:hAnsi="Arial" w:cs="Arial"/>
    </w:rPr>
  </w:style>
  <w:style w:type="paragraph" w:styleId="TableofFigures">
    <w:name w:val="table of figures"/>
    <w:basedOn w:val="Normal"/>
    <w:next w:val="Normal"/>
    <w:uiPriority w:val="99"/>
    <w:unhideWhenUsed/>
    <w:rsid w:val="004A272B"/>
    <w:pPr>
      <w:spacing w:after="0"/>
    </w:pPr>
  </w:style>
  <w:style w:type="character" w:customStyle="1" w:styleId="UnresolvedMention">
    <w:name w:val="Unresolved Mention"/>
    <w:basedOn w:val="DefaultParagraphFont"/>
    <w:uiPriority w:val="99"/>
    <w:semiHidden/>
    <w:unhideWhenUsed/>
    <w:rsid w:val="00BF686B"/>
    <w:rPr>
      <w:color w:val="605E5C"/>
      <w:shd w:val="clear" w:color="auto" w:fill="E1DFDD"/>
    </w:rPr>
  </w:style>
  <w:style w:type="paragraph" w:styleId="BalloonText">
    <w:name w:val="Balloon Text"/>
    <w:basedOn w:val="Normal"/>
    <w:link w:val="BalloonTextChar"/>
    <w:uiPriority w:val="99"/>
    <w:semiHidden/>
    <w:unhideWhenUsed/>
    <w:rsid w:val="00F85B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5B2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kern w:val="2"/>
        <w:sz w:val="24"/>
        <w:szCs w:val="24"/>
        <w:lang w:val="en-US" w:eastAsia="en-US" w:bidi="ar-SA"/>
        <w14:ligatures w14:val="standardContextual"/>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B05"/>
    <w:rPr>
      <w:rFonts w:ascii="Arial" w:hAnsi="Arial" w:cs="Arial"/>
    </w:rPr>
  </w:style>
  <w:style w:type="paragraph" w:styleId="Heading1">
    <w:name w:val="heading 1"/>
    <w:basedOn w:val="Normal"/>
    <w:next w:val="Normal"/>
    <w:link w:val="Heading1Char"/>
    <w:uiPriority w:val="9"/>
    <w:qFormat/>
    <w:rsid w:val="00FB6445"/>
    <w:pPr>
      <w:keepNext/>
      <w:keepLines/>
      <w:spacing w:before="360" w:after="80"/>
      <w:outlineLvl w:val="0"/>
    </w:pPr>
    <w:rPr>
      <w:rFonts w:eastAsiaTheme="majorEastAsia"/>
      <w:color w:val="0F4761" w:themeColor="accent1" w:themeShade="BF"/>
      <w:sz w:val="32"/>
      <w:szCs w:val="32"/>
    </w:rPr>
  </w:style>
  <w:style w:type="paragraph" w:styleId="Heading2">
    <w:name w:val="heading 2"/>
    <w:basedOn w:val="Normal"/>
    <w:next w:val="Normal"/>
    <w:link w:val="Heading2Char"/>
    <w:uiPriority w:val="9"/>
    <w:unhideWhenUsed/>
    <w:qFormat/>
    <w:rsid w:val="00C9739B"/>
    <w:pPr>
      <w:keepNext/>
      <w:keepLines/>
      <w:spacing w:before="160" w:after="80"/>
      <w:outlineLvl w:val="1"/>
    </w:pPr>
    <w:rPr>
      <w:rFonts w:eastAsiaTheme="majorEastAsia"/>
      <w:color w:val="0F4761" w:themeColor="accent1" w:themeShade="BF"/>
      <w:sz w:val="28"/>
      <w:szCs w:val="28"/>
    </w:rPr>
  </w:style>
  <w:style w:type="paragraph" w:styleId="Heading3">
    <w:name w:val="heading 3"/>
    <w:basedOn w:val="Normal"/>
    <w:next w:val="Normal"/>
    <w:link w:val="Heading3Char"/>
    <w:uiPriority w:val="9"/>
    <w:semiHidden/>
    <w:unhideWhenUsed/>
    <w:qFormat/>
    <w:rsid w:val="00044DB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DB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44DB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044DB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44DB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44DB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44DB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445"/>
    <w:rPr>
      <w:rFonts w:ascii="Arial" w:eastAsiaTheme="majorEastAsia" w:hAnsi="Arial" w:cs="Arial"/>
      <w:color w:val="0F4761" w:themeColor="accent1" w:themeShade="BF"/>
      <w:sz w:val="32"/>
      <w:szCs w:val="32"/>
    </w:rPr>
  </w:style>
  <w:style w:type="character" w:customStyle="1" w:styleId="Heading2Char">
    <w:name w:val="Heading 2 Char"/>
    <w:basedOn w:val="DefaultParagraphFont"/>
    <w:link w:val="Heading2"/>
    <w:uiPriority w:val="9"/>
    <w:rsid w:val="00C9739B"/>
    <w:rPr>
      <w:rFonts w:ascii="Arial" w:eastAsiaTheme="majorEastAsia" w:hAnsi="Arial" w:cs="Arial"/>
      <w:color w:val="0F4761" w:themeColor="accent1" w:themeShade="BF"/>
      <w:sz w:val="28"/>
      <w:szCs w:val="28"/>
    </w:rPr>
  </w:style>
  <w:style w:type="character" w:customStyle="1" w:styleId="Heading3Char">
    <w:name w:val="Heading 3 Char"/>
    <w:basedOn w:val="DefaultParagraphFont"/>
    <w:link w:val="Heading3"/>
    <w:uiPriority w:val="9"/>
    <w:semiHidden/>
    <w:rsid w:val="00044DB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DB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044DB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044DB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044DB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044DB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044DB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044D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D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DB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DB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044DB3"/>
    <w:pPr>
      <w:spacing w:before="160"/>
      <w:jc w:val="center"/>
    </w:pPr>
    <w:rPr>
      <w:i/>
      <w:iCs/>
      <w:color w:val="404040" w:themeColor="text1" w:themeTint="BF"/>
    </w:rPr>
  </w:style>
  <w:style w:type="character" w:customStyle="1" w:styleId="QuoteChar">
    <w:name w:val="Quote Char"/>
    <w:basedOn w:val="DefaultParagraphFont"/>
    <w:link w:val="Quote"/>
    <w:uiPriority w:val="29"/>
    <w:rsid w:val="00044DB3"/>
    <w:rPr>
      <w:i/>
      <w:iCs/>
      <w:color w:val="404040" w:themeColor="text1" w:themeTint="BF"/>
    </w:rPr>
  </w:style>
  <w:style w:type="paragraph" w:styleId="ListParagraph">
    <w:name w:val="List Paragraph"/>
    <w:basedOn w:val="Normal"/>
    <w:uiPriority w:val="34"/>
    <w:qFormat/>
    <w:rsid w:val="00044DB3"/>
    <w:pPr>
      <w:ind w:left="720"/>
      <w:contextualSpacing/>
    </w:pPr>
  </w:style>
  <w:style w:type="character" w:styleId="IntenseEmphasis">
    <w:name w:val="Intense Emphasis"/>
    <w:basedOn w:val="DefaultParagraphFont"/>
    <w:uiPriority w:val="21"/>
    <w:qFormat/>
    <w:rsid w:val="00044DB3"/>
    <w:rPr>
      <w:i/>
      <w:iCs/>
      <w:color w:val="0F4761" w:themeColor="accent1" w:themeShade="BF"/>
    </w:rPr>
  </w:style>
  <w:style w:type="paragraph" w:styleId="IntenseQuote">
    <w:name w:val="Intense Quote"/>
    <w:basedOn w:val="Normal"/>
    <w:next w:val="Normal"/>
    <w:link w:val="IntenseQuoteChar"/>
    <w:uiPriority w:val="30"/>
    <w:qFormat/>
    <w:rsid w:val="00044D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DB3"/>
    <w:rPr>
      <w:i/>
      <w:iCs/>
      <w:color w:val="0F4761" w:themeColor="accent1" w:themeShade="BF"/>
    </w:rPr>
  </w:style>
  <w:style w:type="character" w:styleId="IntenseReference">
    <w:name w:val="Intense Reference"/>
    <w:basedOn w:val="DefaultParagraphFont"/>
    <w:uiPriority w:val="32"/>
    <w:qFormat/>
    <w:rsid w:val="00044DB3"/>
    <w:rPr>
      <w:b/>
      <w:bCs/>
      <w:smallCaps/>
      <w:color w:val="0F4761" w:themeColor="accent1" w:themeShade="BF"/>
      <w:spacing w:val="5"/>
    </w:rPr>
  </w:style>
  <w:style w:type="table" w:styleId="TableGrid">
    <w:name w:val="Table Grid"/>
    <w:basedOn w:val="TableNormal"/>
    <w:uiPriority w:val="39"/>
    <w:rsid w:val="00A64F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0B4147"/>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1372B6"/>
    <w:pPr>
      <w:spacing w:before="240" w:after="0" w:line="259" w:lineRule="auto"/>
      <w:jc w:val="left"/>
      <w:outlineLvl w:val="9"/>
    </w:pPr>
    <w:rPr>
      <w:rFonts w:asciiTheme="majorHAnsi" w:hAnsiTheme="majorHAnsi" w:cstheme="majorBidi"/>
      <w:kern w:val="0"/>
      <w14:ligatures w14:val="none"/>
    </w:rPr>
  </w:style>
  <w:style w:type="paragraph" w:styleId="TOC1">
    <w:name w:val="toc 1"/>
    <w:basedOn w:val="Normal"/>
    <w:next w:val="Normal"/>
    <w:autoRedefine/>
    <w:uiPriority w:val="39"/>
    <w:unhideWhenUsed/>
    <w:rsid w:val="001372B6"/>
    <w:pPr>
      <w:spacing w:after="100"/>
    </w:pPr>
  </w:style>
  <w:style w:type="paragraph" w:styleId="TOC2">
    <w:name w:val="toc 2"/>
    <w:basedOn w:val="Normal"/>
    <w:next w:val="Normal"/>
    <w:autoRedefine/>
    <w:uiPriority w:val="39"/>
    <w:unhideWhenUsed/>
    <w:rsid w:val="001372B6"/>
    <w:pPr>
      <w:spacing w:after="100"/>
      <w:ind w:left="240"/>
    </w:pPr>
  </w:style>
  <w:style w:type="character" w:styleId="Hyperlink">
    <w:name w:val="Hyperlink"/>
    <w:basedOn w:val="DefaultParagraphFont"/>
    <w:uiPriority w:val="99"/>
    <w:unhideWhenUsed/>
    <w:rsid w:val="001372B6"/>
    <w:rPr>
      <w:color w:val="467886" w:themeColor="hyperlink"/>
      <w:u w:val="single"/>
    </w:rPr>
  </w:style>
  <w:style w:type="paragraph" w:styleId="NormalWeb">
    <w:name w:val="Normal (Web)"/>
    <w:basedOn w:val="Normal"/>
    <w:uiPriority w:val="99"/>
    <w:semiHidden/>
    <w:unhideWhenUsed/>
    <w:rsid w:val="00F87D0A"/>
    <w:pPr>
      <w:spacing w:before="100" w:beforeAutospacing="1" w:after="100" w:afterAutospacing="1" w:line="240" w:lineRule="auto"/>
      <w:jc w:val="left"/>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0022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22F4"/>
    <w:rPr>
      <w:rFonts w:ascii="Arial" w:hAnsi="Arial" w:cs="Arial"/>
    </w:rPr>
  </w:style>
  <w:style w:type="paragraph" w:styleId="Footer">
    <w:name w:val="footer"/>
    <w:basedOn w:val="Normal"/>
    <w:link w:val="FooterChar"/>
    <w:uiPriority w:val="99"/>
    <w:unhideWhenUsed/>
    <w:rsid w:val="000022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22F4"/>
    <w:rPr>
      <w:rFonts w:ascii="Arial" w:hAnsi="Arial" w:cs="Arial"/>
    </w:rPr>
  </w:style>
  <w:style w:type="paragraph" w:styleId="TableofFigures">
    <w:name w:val="table of figures"/>
    <w:basedOn w:val="Normal"/>
    <w:next w:val="Normal"/>
    <w:uiPriority w:val="99"/>
    <w:unhideWhenUsed/>
    <w:rsid w:val="004A272B"/>
    <w:pPr>
      <w:spacing w:after="0"/>
    </w:pPr>
  </w:style>
  <w:style w:type="character" w:customStyle="1" w:styleId="UnresolvedMention">
    <w:name w:val="Unresolved Mention"/>
    <w:basedOn w:val="DefaultParagraphFont"/>
    <w:uiPriority w:val="99"/>
    <w:semiHidden/>
    <w:unhideWhenUsed/>
    <w:rsid w:val="00BF686B"/>
    <w:rPr>
      <w:color w:val="605E5C"/>
      <w:shd w:val="clear" w:color="auto" w:fill="E1DFDD"/>
    </w:rPr>
  </w:style>
  <w:style w:type="paragraph" w:styleId="BalloonText">
    <w:name w:val="Balloon Text"/>
    <w:basedOn w:val="Normal"/>
    <w:link w:val="BalloonTextChar"/>
    <w:uiPriority w:val="99"/>
    <w:semiHidden/>
    <w:unhideWhenUsed/>
    <w:rsid w:val="00F85B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5B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hyperlink" Target="https://www.sciencedirect.com/science/article/pii/S0959652619323005" TargetMode="External"/><Relationship Id="rId26"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hyperlink" Target="https://www.researchgate.net/profile/Nikhil-Kaushik-5/publication/332269079_The_Role_of_Financial_Constraints_in_the_Relationship_Between_Working_Capital_Management_and_Firm_Performance/links/5cab28b7a6fdcca26d0676f7/The-Role-of-Financial-Constraints-in-the-Relationship-Between-Working-Capital-Management-and-Firm-Performance.pdf" TargetMode="External"/><Relationship Id="rId34" Type="http://schemas.openxmlformats.org/officeDocument/2006/relationships/chart" Target="charts/chart15.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hyperlink" Target="https://www.tandfonline.com/doi/abs/10.1080/1351847X.2021.1913429" TargetMode="External"/><Relationship Id="rId25" Type="http://schemas.openxmlformats.org/officeDocument/2006/relationships/chart" Target="charts/chart8.xml"/><Relationship Id="rId33" Type="http://schemas.openxmlformats.org/officeDocument/2006/relationships/chart" Target="charts/chart14.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yperlink" Target="https://www.amity.edu/gwalior/naac/1_1_3/syllabus/1.1.3%20abs%20new.pdf" TargetMode="External"/><Relationship Id="rId29" Type="http://schemas.openxmlformats.org/officeDocument/2006/relationships/chart" Target="charts/chart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hyperlink" Target="https://ojs.ehu.eus/index.php/CG/article/view/24871" TargetMode="External"/><Relationship Id="rId32" Type="http://schemas.openxmlformats.org/officeDocument/2006/relationships/chart" Target="charts/chart13.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hyperlink" Target="https://lamlaj.ulm.ac.id/index.php/abc/article/view/217" TargetMode="External"/><Relationship Id="rId28" Type="http://schemas.openxmlformats.org/officeDocument/2006/relationships/chart" Target="charts/chart11.xml"/><Relationship Id="rId36"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hyperlink" Target="https://www.ceeol.com/search/article-detail?id=1273642" TargetMode="External"/><Relationship Id="rId31"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5.xml"/><Relationship Id="rId22" Type="http://schemas.openxmlformats.org/officeDocument/2006/relationships/hyperlink" Target="https://onlinelibrary.wiley.com/doi/abs/10.1111/jscm.12293" TargetMode="External"/><Relationship Id="rId27" Type="http://schemas.openxmlformats.org/officeDocument/2006/relationships/chart" Target="charts/chart10.xml"/><Relationship Id="rId30" Type="http://schemas.openxmlformats.org/officeDocument/2006/relationships/image" Target="media/image2.png"/><Relationship Id="rId35" Type="http://schemas.openxmlformats.org/officeDocument/2006/relationships/chart" Target="charts/chart16.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amiu\Downloads\Restructuring_Leverage_Char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samiu\Downloads\NEW%20Company%20New%20work\LCMB7002%20Financial%20Managemen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samiu\Downloads\PBP_Comparison.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samiu\Downloads\ARR_Comparison.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samiu\Downloads\NEW%20Company%20New%20work\LCMB7002%20Financial%20Management.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samiu\Downloads\NEW%20Company%20New%20work\LCMB7002%20Financial%20Managemen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samiu\Downloads\NEW%20Company%20New%20work\LCMB7002%20Financial%20Management.xlsx" TargetMode="External"/></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12.xml.rels><?xml version="1.0" encoding="UTF-8" standalone="yes"?>
<Relationships xmlns="http://schemas.openxmlformats.org/package/2006/relationships"><Relationship Id="rId1" Type="http://schemas.openxmlformats.org/officeDocument/2006/relationships/oleObject" Target="file:///C:\Users\samiu\Downloads\NEW%20Company%20New%20work\LCMB7002%20Financial%20Management.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samiu\Downloads\LCMB7002%20Financial%20Management.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samiu\Downloads\LCMB7002%20Financial%20Management.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samiu\Downloads\LCMB7002%20Financial%20Management.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samiu\Downloads\LCMB7002%20Financial%20Managemen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Impact of Restructuring Options on Leverage</a:t>
            </a:r>
          </a:p>
        </c:rich>
      </c:tx>
      <c:overlay val="0"/>
      <c:spPr>
        <a:noFill/>
        <a:ln>
          <a:noFill/>
        </a:ln>
        <a:effectLst/>
      </c:spPr>
    </c:title>
    <c:autoTitleDeleted val="0"/>
    <c:plotArea>
      <c:layout/>
      <c:barChart>
        <c:barDir val="col"/>
        <c:grouping val="clustered"/>
        <c:varyColors val="1"/>
        <c:ser>
          <c:idx val="0"/>
          <c:order val="0"/>
          <c:tx>
            <c:strRef>
              <c:f>Restructuring_Leverage!$B$1</c:f>
              <c:strCache>
                <c:ptCount val="1"/>
                <c:pt idx="0">
                  <c:v>Leverage (%)</c:v>
                </c:pt>
              </c:strCache>
            </c:strRef>
          </c:tx>
          <c:invertIfNegative val="1"/>
          <c:dPt>
            <c:idx val="0"/>
            <c:invertIfNegative val="1"/>
            <c:bubble3D val="0"/>
            <c:spPr>
              <a:gradFill>
                <a:gsLst>
                  <a:gs pos="0">
                    <a:schemeClr val="accent1">
                      <a:shade val="58000"/>
                    </a:schemeClr>
                  </a:gs>
                  <a:gs pos="100000">
                    <a:schemeClr val="accent1">
                      <a:shade val="58000"/>
                      <a:lumMod val="84000"/>
                    </a:schemeClr>
                  </a:gs>
                </a:gsLst>
                <a:lin ang="5400000" scaled="1"/>
              </a:gradFill>
              <a:ln>
                <a:noFill/>
              </a:ln>
              <a:effectLst>
                <a:outerShdw blurRad="76200" dir="18900000" sy="23000" kx="-1200000" algn="bl" rotWithShape="0">
                  <a:prstClr val="black">
                    <a:alpha val="20000"/>
                  </a:prstClr>
                </a:outerShdw>
              </a:effectLst>
            </c:spPr>
            <c:extLst xmlns:c16r2="http://schemas.microsoft.com/office/drawing/2015/06/chart">
              <c:ext xmlns:c16="http://schemas.microsoft.com/office/drawing/2014/chart" uri="{C3380CC4-5D6E-409C-BE32-E72D297353CC}">
                <c16:uniqueId val="{00000001-7094-4224-99B9-7D66ABA5B638}"/>
              </c:ext>
            </c:extLst>
          </c:dPt>
          <c:dPt>
            <c:idx val="1"/>
            <c:invertIfNegative val="1"/>
            <c:bubble3D val="0"/>
            <c:spPr>
              <a:gradFill>
                <a:gsLst>
                  <a:gs pos="0">
                    <a:schemeClr val="accent1">
                      <a:shade val="86000"/>
                    </a:schemeClr>
                  </a:gs>
                  <a:gs pos="100000">
                    <a:schemeClr val="accent1">
                      <a:shade val="86000"/>
                      <a:lumMod val="84000"/>
                    </a:schemeClr>
                  </a:gs>
                </a:gsLst>
                <a:lin ang="5400000" scaled="1"/>
              </a:gradFill>
              <a:ln>
                <a:noFill/>
              </a:ln>
              <a:effectLst>
                <a:outerShdw blurRad="76200" dir="18900000" sy="23000" kx="-1200000" algn="bl" rotWithShape="0">
                  <a:prstClr val="black">
                    <a:alpha val="20000"/>
                  </a:prstClr>
                </a:outerShdw>
              </a:effectLst>
            </c:spPr>
            <c:extLst xmlns:c16r2="http://schemas.microsoft.com/office/drawing/2015/06/chart">
              <c:ext xmlns:c16="http://schemas.microsoft.com/office/drawing/2014/chart" uri="{C3380CC4-5D6E-409C-BE32-E72D297353CC}">
                <c16:uniqueId val="{00000003-7094-4224-99B9-7D66ABA5B638}"/>
              </c:ext>
            </c:extLst>
          </c:dPt>
          <c:dPt>
            <c:idx val="2"/>
            <c:invertIfNegative val="1"/>
            <c:bubble3D val="0"/>
            <c:spPr>
              <a:gradFill>
                <a:gsLst>
                  <a:gs pos="0">
                    <a:schemeClr val="accent1">
                      <a:tint val="86000"/>
                    </a:schemeClr>
                  </a:gs>
                  <a:gs pos="100000">
                    <a:schemeClr val="accent1">
                      <a:tint val="86000"/>
                      <a:lumMod val="84000"/>
                    </a:schemeClr>
                  </a:gs>
                </a:gsLst>
                <a:lin ang="5400000" scaled="1"/>
              </a:gradFill>
              <a:ln>
                <a:noFill/>
              </a:ln>
              <a:effectLst>
                <a:outerShdw blurRad="76200" dir="18900000" sy="23000" kx="-1200000" algn="bl" rotWithShape="0">
                  <a:prstClr val="black">
                    <a:alpha val="20000"/>
                  </a:prstClr>
                </a:outerShdw>
              </a:effectLst>
            </c:spPr>
            <c:extLst xmlns:c16r2="http://schemas.microsoft.com/office/drawing/2015/06/chart">
              <c:ext xmlns:c16="http://schemas.microsoft.com/office/drawing/2014/chart" uri="{C3380CC4-5D6E-409C-BE32-E72D297353CC}">
                <c16:uniqueId val="{00000005-7094-4224-99B9-7D66ABA5B638}"/>
              </c:ext>
            </c:extLst>
          </c:dPt>
          <c:dPt>
            <c:idx val="3"/>
            <c:invertIfNegative val="1"/>
            <c:bubble3D val="0"/>
            <c:spPr>
              <a:gradFill>
                <a:gsLst>
                  <a:gs pos="0">
                    <a:schemeClr val="accent1">
                      <a:tint val="58000"/>
                    </a:schemeClr>
                  </a:gs>
                  <a:gs pos="100000">
                    <a:schemeClr val="accent1">
                      <a:tint val="58000"/>
                      <a:lumMod val="84000"/>
                    </a:schemeClr>
                  </a:gs>
                </a:gsLst>
                <a:lin ang="5400000" scaled="1"/>
              </a:gradFill>
              <a:ln>
                <a:noFill/>
              </a:ln>
              <a:effectLst>
                <a:outerShdw blurRad="76200" dir="18900000" sy="23000" kx="-1200000" algn="bl" rotWithShape="0">
                  <a:prstClr val="black">
                    <a:alpha val="20000"/>
                  </a:prstClr>
                </a:outerShdw>
              </a:effectLst>
            </c:spPr>
            <c:extLst xmlns:c16r2="http://schemas.microsoft.com/office/drawing/2015/06/chart">
              <c:ext xmlns:c16="http://schemas.microsoft.com/office/drawing/2014/chart" uri="{C3380CC4-5D6E-409C-BE32-E72D297353CC}">
                <c16:uniqueId val="{00000007-7094-4224-99B9-7D66ABA5B638}"/>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errBars>
            <c:errBarType val="both"/>
            <c:errValType val="stdErr"/>
            <c:noEndCap val="0"/>
            <c:spPr>
              <a:noFill/>
              <a:ln w="9525">
                <a:solidFill>
                  <a:schemeClr val="dk1">
                    <a:lumMod val="50000"/>
                    <a:lumOff val="50000"/>
                  </a:schemeClr>
                </a:solidFill>
                <a:round/>
              </a:ln>
              <a:effectLst/>
            </c:spPr>
          </c:errBars>
          <c:cat>
            <c:strRef>
              <c:f>Restructuring_Leverage!$A$2:$A$5</c:f>
              <c:strCache>
                <c:ptCount val="4"/>
                <c:pt idx="0">
                  <c:v>Before Restructuring</c:v>
                </c:pt>
                <c:pt idx="1">
                  <c:v>After Divestiture</c:v>
                </c:pt>
                <c:pt idx="2">
                  <c:v>After Merger</c:v>
                </c:pt>
                <c:pt idx="3">
                  <c:v>After Equity Injection</c:v>
                </c:pt>
              </c:strCache>
            </c:strRef>
          </c:cat>
          <c:val>
            <c:numRef>
              <c:f>Restructuring_Leverage!$B$2:$B$5</c:f>
              <c:numCache>
                <c:formatCode>General</c:formatCode>
                <c:ptCount val="4"/>
                <c:pt idx="0">
                  <c:v>85</c:v>
                </c:pt>
                <c:pt idx="1">
                  <c:v>55</c:v>
                </c:pt>
                <c:pt idx="2">
                  <c:v>65</c:v>
                </c:pt>
                <c:pt idx="3">
                  <c:v>45</c:v>
                </c:pt>
              </c:numCache>
            </c:numRef>
          </c:val>
          <c:extLst xmlns:c16r2="http://schemas.microsoft.com/office/drawing/2015/06/chart">
            <c:ext xmlns:c16="http://schemas.microsoft.com/office/drawing/2014/chart" uri="{C3380CC4-5D6E-409C-BE32-E72D297353CC}">
              <c16:uniqueId val="{00000008-7094-4224-99B9-7D66ABA5B638}"/>
            </c:ext>
          </c:extLst>
        </c:ser>
        <c:dLbls>
          <c:dLblPos val="inEnd"/>
          <c:showLegendKey val="0"/>
          <c:showVal val="1"/>
          <c:showCatName val="0"/>
          <c:showSerName val="0"/>
          <c:showPercent val="0"/>
          <c:showBubbleSize val="0"/>
        </c:dLbls>
        <c:gapWidth val="41"/>
        <c:axId val="384858368"/>
        <c:axId val="245309824"/>
      </c:barChart>
      <c:catAx>
        <c:axId val="384858368"/>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Restructuring Option</a:t>
                </a:r>
              </a:p>
            </c:rich>
          </c:tx>
          <c:overlay val="1"/>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245309824"/>
        <c:crosses val="autoZero"/>
        <c:auto val="1"/>
        <c:lblAlgn val="ctr"/>
        <c:lblOffset val="100"/>
        <c:noMultiLvlLbl val="1"/>
      </c:catAx>
      <c:valAx>
        <c:axId val="245309824"/>
        <c:scaling>
          <c:orientation val="minMax"/>
        </c:scaling>
        <c:delete val="1"/>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Leverage (%)</a:t>
                </a:r>
              </a:p>
            </c:rich>
          </c:tx>
          <c:overlay val="1"/>
          <c:spPr>
            <a:noFill/>
            <a:ln>
              <a:noFill/>
            </a:ln>
            <a:effectLst/>
          </c:spPr>
        </c:title>
        <c:numFmt formatCode="General" sourceLinked="1"/>
        <c:majorTickMark val="none"/>
        <c:minorTickMark val="none"/>
        <c:tickLblPos val="nextTo"/>
        <c:crossAx val="38485836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1"/>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Project Cash Flow Profiles (Years 1–5)</a:t>
            </a:r>
          </a:p>
        </c:rich>
      </c:tx>
      <c:overlay val="1"/>
      <c:spPr>
        <a:noFill/>
        <a:ln>
          <a:noFill/>
        </a:ln>
        <a:effectLst/>
      </c:spPr>
    </c:title>
    <c:autoTitleDeleted val="0"/>
    <c:plotArea>
      <c:layout/>
      <c:lineChart>
        <c:grouping val="standard"/>
        <c:varyColors val="0"/>
        <c:ser>
          <c:idx val="0"/>
          <c:order val="0"/>
          <c:tx>
            <c:strRef>
              <c:f>Cash_Flows!$B$1</c:f>
              <c:strCache>
                <c:ptCount val="1"/>
                <c:pt idx="0">
                  <c:v>Project A</c:v>
                </c:pt>
              </c:strCache>
            </c:strRef>
          </c:tx>
          <c:spPr>
            <a:ln w="31750" cap="rnd">
              <a:solidFill>
                <a:schemeClr val="accent2"/>
              </a:solidFill>
              <a:round/>
            </a:ln>
            <a:effectLst>
              <a:outerShdw blurRad="40000" dist="23000" dir="5400000" rotWithShape="0">
                <a:srgbClr val="000000">
                  <a:alpha val="35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errBars>
            <c:errDir val="y"/>
            <c:errBarType val="both"/>
            <c:errValType val="stdErr"/>
            <c:noEndCap val="0"/>
            <c:spPr>
              <a:noFill/>
              <a:ln w="9525">
                <a:solidFill>
                  <a:schemeClr val="tx2">
                    <a:lumMod val="75000"/>
                  </a:schemeClr>
                </a:solidFill>
                <a:round/>
              </a:ln>
              <a:effectLst/>
            </c:spPr>
          </c:errBars>
          <c:cat>
            <c:strRef>
              <c:f>Cash_Flows!$A$2:$A$6</c:f>
              <c:strCache>
                <c:ptCount val="5"/>
                <c:pt idx="0">
                  <c:v>Year 1</c:v>
                </c:pt>
                <c:pt idx="1">
                  <c:v>Year 2</c:v>
                </c:pt>
                <c:pt idx="2">
                  <c:v>Year 3</c:v>
                </c:pt>
                <c:pt idx="3">
                  <c:v>Year 4</c:v>
                </c:pt>
                <c:pt idx="4">
                  <c:v>Year 5</c:v>
                </c:pt>
              </c:strCache>
            </c:strRef>
          </c:cat>
          <c:val>
            <c:numRef>
              <c:f>Cash_Flows!$B$2:$B$6</c:f>
              <c:numCache>
                <c:formatCode>General</c:formatCode>
                <c:ptCount val="5"/>
                <c:pt idx="0">
                  <c:v>10</c:v>
                </c:pt>
                <c:pt idx="1">
                  <c:v>12</c:v>
                </c:pt>
                <c:pt idx="2">
                  <c:v>14</c:v>
                </c:pt>
                <c:pt idx="3">
                  <c:v>10</c:v>
                </c:pt>
                <c:pt idx="4">
                  <c:v>8</c:v>
                </c:pt>
              </c:numCache>
            </c:numRef>
          </c:val>
          <c:smooth val="0"/>
          <c:extLst xmlns:c16r2="http://schemas.microsoft.com/office/drawing/2015/06/chart">
            <c:ext xmlns:c16="http://schemas.microsoft.com/office/drawing/2014/chart" uri="{C3380CC4-5D6E-409C-BE32-E72D297353CC}">
              <c16:uniqueId val="{00000000-C4EB-465D-9032-896F6BA208C1}"/>
            </c:ext>
          </c:extLst>
        </c:ser>
        <c:ser>
          <c:idx val="1"/>
          <c:order val="1"/>
          <c:tx>
            <c:strRef>
              <c:f>Cash_Flows!$C$1</c:f>
              <c:strCache>
                <c:ptCount val="1"/>
                <c:pt idx="0">
                  <c:v>Project B</c:v>
                </c:pt>
              </c:strCache>
            </c:strRef>
          </c:tx>
          <c:spPr>
            <a:ln w="31750" cap="rnd">
              <a:solidFill>
                <a:schemeClr val="accent4"/>
              </a:solidFill>
              <a:round/>
            </a:ln>
            <a:effectLst>
              <a:outerShdw blurRad="40000" dist="23000" dir="5400000" rotWithShape="0">
                <a:srgbClr val="000000">
                  <a:alpha val="35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errBars>
            <c:errDir val="y"/>
            <c:errBarType val="both"/>
            <c:errValType val="stdErr"/>
            <c:noEndCap val="0"/>
            <c:spPr>
              <a:noFill/>
              <a:ln w="9525">
                <a:solidFill>
                  <a:schemeClr val="tx2">
                    <a:lumMod val="75000"/>
                  </a:schemeClr>
                </a:solidFill>
                <a:round/>
              </a:ln>
              <a:effectLst/>
            </c:spPr>
          </c:errBars>
          <c:cat>
            <c:strRef>
              <c:f>Cash_Flows!$A$2:$A$6</c:f>
              <c:strCache>
                <c:ptCount val="5"/>
                <c:pt idx="0">
                  <c:v>Year 1</c:v>
                </c:pt>
                <c:pt idx="1">
                  <c:v>Year 2</c:v>
                </c:pt>
                <c:pt idx="2">
                  <c:v>Year 3</c:v>
                </c:pt>
                <c:pt idx="3">
                  <c:v>Year 4</c:v>
                </c:pt>
                <c:pt idx="4">
                  <c:v>Year 5</c:v>
                </c:pt>
              </c:strCache>
            </c:strRef>
          </c:cat>
          <c:val>
            <c:numRef>
              <c:f>Cash_Flows!$C$2:$C$6</c:f>
              <c:numCache>
                <c:formatCode>General</c:formatCode>
                <c:ptCount val="5"/>
                <c:pt idx="0">
                  <c:v>6</c:v>
                </c:pt>
                <c:pt idx="1">
                  <c:v>6</c:v>
                </c:pt>
                <c:pt idx="2">
                  <c:v>6</c:v>
                </c:pt>
                <c:pt idx="3">
                  <c:v>6</c:v>
                </c:pt>
                <c:pt idx="4">
                  <c:v>6</c:v>
                </c:pt>
              </c:numCache>
            </c:numRef>
          </c:val>
          <c:smooth val="0"/>
          <c:extLst xmlns:c16r2="http://schemas.microsoft.com/office/drawing/2015/06/chart">
            <c:ext xmlns:c16="http://schemas.microsoft.com/office/drawing/2014/chart" uri="{C3380CC4-5D6E-409C-BE32-E72D297353CC}">
              <c16:uniqueId val="{00000001-C4EB-465D-9032-896F6BA208C1}"/>
            </c:ext>
          </c:extLst>
        </c:ser>
        <c:ser>
          <c:idx val="2"/>
          <c:order val="2"/>
          <c:tx>
            <c:strRef>
              <c:f>Cash_Flows!$D$1</c:f>
              <c:strCache>
                <c:ptCount val="1"/>
                <c:pt idx="0">
                  <c:v>Project C</c:v>
                </c:pt>
              </c:strCache>
            </c:strRef>
          </c:tx>
          <c:spPr>
            <a:ln w="31750" cap="rnd">
              <a:solidFill>
                <a:schemeClr val="accent6"/>
              </a:solidFill>
              <a:round/>
            </a:ln>
            <a:effectLst>
              <a:outerShdw blurRad="40000" dist="23000" dir="5400000" rotWithShape="0">
                <a:srgbClr val="000000">
                  <a:alpha val="35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errBars>
            <c:errDir val="y"/>
            <c:errBarType val="both"/>
            <c:errValType val="stdErr"/>
            <c:noEndCap val="0"/>
            <c:spPr>
              <a:noFill/>
              <a:ln w="9525">
                <a:solidFill>
                  <a:schemeClr val="tx2">
                    <a:lumMod val="75000"/>
                  </a:schemeClr>
                </a:solidFill>
                <a:round/>
              </a:ln>
              <a:effectLst/>
            </c:spPr>
          </c:errBars>
          <c:cat>
            <c:strRef>
              <c:f>Cash_Flows!$A$2:$A$6</c:f>
              <c:strCache>
                <c:ptCount val="5"/>
                <c:pt idx="0">
                  <c:v>Year 1</c:v>
                </c:pt>
                <c:pt idx="1">
                  <c:v>Year 2</c:v>
                </c:pt>
                <c:pt idx="2">
                  <c:v>Year 3</c:v>
                </c:pt>
                <c:pt idx="3">
                  <c:v>Year 4</c:v>
                </c:pt>
                <c:pt idx="4">
                  <c:v>Year 5</c:v>
                </c:pt>
              </c:strCache>
            </c:strRef>
          </c:cat>
          <c:val>
            <c:numRef>
              <c:f>Cash_Flows!$D$2:$D$6</c:f>
              <c:numCache>
                <c:formatCode>General</c:formatCode>
                <c:ptCount val="5"/>
                <c:pt idx="0">
                  <c:v>5</c:v>
                </c:pt>
                <c:pt idx="1">
                  <c:v>10</c:v>
                </c:pt>
                <c:pt idx="2">
                  <c:v>20</c:v>
                </c:pt>
                <c:pt idx="3">
                  <c:v>25</c:v>
                </c:pt>
                <c:pt idx="4">
                  <c:v>15</c:v>
                </c:pt>
              </c:numCache>
            </c:numRef>
          </c:val>
          <c:smooth val="0"/>
          <c:extLst xmlns:c16r2="http://schemas.microsoft.com/office/drawing/2015/06/chart">
            <c:ext xmlns:c16="http://schemas.microsoft.com/office/drawing/2014/chart" uri="{C3380CC4-5D6E-409C-BE32-E72D297353CC}">
              <c16:uniqueId val="{00000002-C4EB-465D-9032-896F6BA208C1}"/>
            </c:ext>
          </c:extLst>
        </c:ser>
        <c:dLbls>
          <c:dLblPos val="ctr"/>
          <c:showLegendKey val="0"/>
          <c:showVal val="1"/>
          <c:showCatName val="0"/>
          <c:showSerName val="0"/>
          <c:showPercent val="0"/>
          <c:showBubbleSize val="0"/>
        </c:dLbls>
        <c:marker val="1"/>
        <c:smooth val="0"/>
        <c:axId val="245335936"/>
        <c:axId val="245338112"/>
      </c:lineChart>
      <c:catAx>
        <c:axId val="245335936"/>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Year</a:t>
                </a:r>
              </a:p>
            </c:rich>
          </c:tx>
          <c:overlay val="0"/>
          <c:spPr>
            <a:noFill/>
            <a:ln>
              <a:noFill/>
            </a:ln>
            <a:effectLst/>
          </c:spPr>
        </c:title>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45338112"/>
        <c:crosses val="autoZero"/>
        <c:auto val="0"/>
        <c:lblAlgn val="ctr"/>
        <c:lblOffset val="100"/>
        <c:noMultiLvlLbl val="0"/>
      </c:catAx>
      <c:valAx>
        <c:axId val="245338112"/>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Cash Inflows (£m)</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45335936"/>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baseline="0">
                <a:solidFill>
                  <a:schemeClr val="tx1"/>
                </a:solidFill>
                <a:latin typeface="+mn-lt"/>
                <a:ea typeface="+mn-ea"/>
                <a:cs typeface="+mn-cs"/>
              </a:defRPr>
            </a:pPr>
            <a:r>
              <a:rPr lang="en-US"/>
              <a:t>Payback Period Comparison</a:t>
            </a:r>
          </a:p>
        </c:rich>
      </c:tx>
      <c:layout>
        <c:manualLayout>
          <c:xMode val="edge"/>
          <c:yMode val="edge"/>
          <c:x val="0.35501469170483746"/>
          <c:y val="6.9565217391304349E-2"/>
        </c:manualLayout>
      </c:layout>
      <c:overlay val="1"/>
      <c:spPr>
        <a:noFill/>
        <a:ln>
          <a:noFill/>
        </a:ln>
        <a:effectLst/>
      </c:spPr>
    </c:title>
    <c:autoTitleDeleted val="0"/>
    <c:plotArea>
      <c:layout/>
      <c:barChart>
        <c:barDir val="col"/>
        <c:grouping val="clustered"/>
        <c:varyColors val="1"/>
        <c:ser>
          <c:idx val="0"/>
          <c:order val="0"/>
          <c:tx>
            <c:strRef>
              <c:f>'PBP Comparison'!$B$1</c:f>
              <c:strCache>
                <c:ptCount val="1"/>
                <c:pt idx="0">
                  <c:v>Payback Period (Years)</c:v>
                </c:pt>
              </c:strCache>
            </c:strRef>
          </c:tx>
          <c:invertIfNegative val="1"/>
          <c:dPt>
            <c:idx val="0"/>
            <c:invertIfNegative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1-86EF-4ABE-99EF-9CC74B9BFF3C}"/>
              </c:ext>
            </c:extLst>
          </c:dPt>
          <c:dPt>
            <c:idx val="1"/>
            <c:invertIfNegative val="1"/>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3-86EF-4ABE-99EF-9CC74B9BFF3C}"/>
              </c:ext>
            </c:extLst>
          </c:dPt>
          <c:dPt>
            <c:idx val="2"/>
            <c:invertIfNegative val="1"/>
            <c:bubble3D val="0"/>
            <c:spPr>
              <a:solidFill>
                <a:schemeClr val="accent6"/>
              </a:solidFill>
              <a:ln>
                <a:noFill/>
              </a:ln>
              <a:effectLst/>
            </c:spPr>
            <c:extLst xmlns:c16r2="http://schemas.microsoft.com/office/drawing/2015/06/chart">
              <c:ext xmlns:c16="http://schemas.microsoft.com/office/drawing/2014/chart" uri="{C3380CC4-5D6E-409C-BE32-E72D297353CC}">
                <c16:uniqueId val="{00000005-86EF-4ABE-99EF-9CC74B9BFF3C}"/>
              </c:ext>
            </c:extLst>
          </c:dPt>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cat>
            <c:strRef>
              <c:f>'PBP Comparison'!$A$2:$A$4</c:f>
              <c:strCache>
                <c:ptCount val="3"/>
                <c:pt idx="0">
                  <c:v>Project A</c:v>
                </c:pt>
                <c:pt idx="1">
                  <c:v>Project B</c:v>
                </c:pt>
                <c:pt idx="2">
                  <c:v>Project C</c:v>
                </c:pt>
              </c:strCache>
            </c:strRef>
          </c:cat>
          <c:val>
            <c:numRef>
              <c:f>'PBP Comparison'!$B$2:$B$4</c:f>
              <c:numCache>
                <c:formatCode>General</c:formatCode>
                <c:ptCount val="3"/>
                <c:pt idx="0">
                  <c:v>3.4</c:v>
                </c:pt>
                <c:pt idx="1">
                  <c:v>5</c:v>
                </c:pt>
                <c:pt idx="2">
                  <c:v>3.6</c:v>
                </c:pt>
              </c:numCache>
            </c:numRef>
          </c:val>
          <c:extLst xmlns:c16r2="http://schemas.microsoft.com/office/drawing/2015/06/chart">
            <c:ext xmlns:c16="http://schemas.microsoft.com/office/drawing/2014/chart" uri="{C3380CC4-5D6E-409C-BE32-E72D297353CC}">
              <c16:uniqueId val="{00000006-86EF-4ABE-99EF-9CC74B9BFF3C}"/>
            </c:ext>
          </c:extLst>
        </c:ser>
        <c:dLbls>
          <c:dLblPos val="outEnd"/>
          <c:showLegendKey val="0"/>
          <c:showVal val="1"/>
          <c:showCatName val="0"/>
          <c:showSerName val="0"/>
          <c:showPercent val="0"/>
          <c:showBubbleSize val="0"/>
        </c:dLbls>
        <c:gapWidth val="150"/>
        <c:axId val="245357184"/>
        <c:axId val="245365760"/>
      </c:barChart>
      <c:catAx>
        <c:axId val="245357184"/>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solidFill>
                    <a:latin typeface="+mn-lt"/>
                    <a:ea typeface="+mn-ea"/>
                    <a:cs typeface="+mn-cs"/>
                  </a:defRPr>
                </a:pPr>
                <a:r>
                  <a:rPr lang="en-US"/>
                  <a:t>Projects</a:t>
                </a:r>
              </a:p>
            </c:rich>
          </c:tx>
          <c:overlay val="1"/>
          <c:spPr>
            <a:noFill/>
            <a:ln>
              <a:noFill/>
            </a:ln>
            <a:effectLst/>
          </c:spPr>
        </c:title>
        <c:numFmt formatCode="General" sourceLinked="1"/>
        <c:majorTickMark val="out"/>
        <c:minorTickMark val="none"/>
        <c:tickLblPos val="nextTo"/>
        <c:spPr>
          <a:noFill/>
          <a:ln w="9525" cap="flat" cmpd="sng" algn="ctr">
            <a:solidFill>
              <a:schemeClr val="tx1">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245365760"/>
        <c:crosses val="autoZero"/>
        <c:auto val="1"/>
        <c:lblAlgn val="ctr"/>
        <c:lblOffset val="100"/>
        <c:noMultiLvlLbl val="1"/>
      </c:catAx>
      <c:valAx>
        <c:axId val="245365760"/>
        <c:scaling>
          <c:orientation val="minMax"/>
        </c:scaling>
        <c:delete val="0"/>
        <c:axPos val="l"/>
        <c:majorGridlines>
          <c:spPr>
            <a:ln w="9525" cap="flat" cmpd="sng" algn="ctr">
              <a:solidFill>
                <a:schemeClr val="tx1">
                  <a:shade val="95000"/>
                  <a:satMod val="105000"/>
                </a:schemeClr>
              </a:solidFill>
              <a:prstDash val="solid"/>
              <a:round/>
            </a:ln>
            <a:effectLst/>
          </c:spPr>
        </c:majorGridlines>
        <c:title>
          <c:tx>
            <c:rich>
              <a:bodyPr rot="-5400000" spcFirstLastPara="1" vertOverflow="ellipsis" vert="horz" wrap="square" anchor="ctr" anchorCtr="1"/>
              <a:lstStyle/>
              <a:p>
                <a:pPr>
                  <a:defRPr sz="1000" b="1" i="0" u="none" strike="noStrike" kern="1200" baseline="0">
                    <a:solidFill>
                      <a:schemeClr val="tx1"/>
                    </a:solidFill>
                    <a:latin typeface="+mn-lt"/>
                    <a:ea typeface="+mn-ea"/>
                    <a:cs typeface="+mn-cs"/>
                  </a:defRPr>
                </a:pPr>
                <a:r>
                  <a:rPr lang="en-US"/>
                  <a:t>Years</a:t>
                </a:r>
              </a:p>
            </c:rich>
          </c:tx>
          <c:overlay val="1"/>
          <c:spPr>
            <a:noFill/>
            <a:ln>
              <a:noFill/>
            </a:ln>
            <a:effectLst/>
          </c:spPr>
        </c:title>
        <c:numFmt formatCode="General" sourceLinked="1"/>
        <c:majorTickMark val="out"/>
        <c:minorTickMark val="none"/>
        <c:tickLblPos val="nextTo"/>
        <c:spPr>
          <a:noFill/>
          <a:ln w="9525" cap="flat" cmpd="sng" algn="ctr">
            <a:solidFill>
              <a:schemeClr val="tx1">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245357184"/>
        <c:crosses val="autoZero"/>
        <c:crossBetween val="between"/>
      </c:valAx>
      <c:spPr>
        <a:solidFill>
          <a:schemeClr val="bg1"/>
        </a:solidFill>
        <a:ln>
          <a:noFill/>
        </a:ln>
        <a:effectLst/>
      </c:spPr>
    </c:plotArea>
    <c:legend>
      <c:legendPos val="r"/>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legend>
    <c:plotVisOnly val="1"/>
    <c:dispBlanksAs val="gap"/>
    <c:showDLblsOverMax val="1"/>
  </c:chart>
  <c:spPr>
    <a:solidFill>
      <a:schemeClr val="bg1"/>
    </a:solidFill>
    <a:ln w="12700" cap="flat" cmpd="sng" algn="ctr">
      <a:solidFill>
        <a:schemeClr val="tx1">
          <a:tint val="75000"/>
        </a:schemeClr>
      </a:solidFill>
      <a:prstDash val="solid"/>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ARR Comparison</a:t>
            </a:r>
          </a:p>
        </c:rich>
      </c:tx>
      <c:layout>
        <c:manualLayout>
          <c:xMode val="edge"/>
          <c:yMode val="edge"/>
          <c:x val="0.38947660320138772"/>
          <c:y val="6.25E-2"/>
        </c:manualLayout>
      </c:layout>
      <c:overlay val="1"/>
    </c:title>
    <c:autoTitleDeleted val="0"/>
    <c:plotArea>
      <c:layout/>
      <c:barChart>
        <c:barDir val="col"/>
        <c:grouping val="clustered"/>
        <c:varyColors val="1"/>
        <c:ser>
          <c:idx val="0"/>
          <c:order val="0"/>
          <c:tx>
            <c:strRef>
              <c:f>'ARR Comparison'!$B$1</c:f>
              <c:strCache>
                <c:ptCount val="1"/>
                <c:pt idx="0">
                  <c:v>ARR (%)</c:v>
                </c:pt>
              </c:strCache>
            </c:strRef>
          </c:tx>
          <c:spPr>
            <a:ln>
              <a:prstDash val="solid"/>
            </a:ln>
          </c:spPr>
          <c:invertIfNegative val="1"/>
          <c:cat>
            <c:strRef>
              <c:f>'ARR Comparison'!$A$2:$A$4</c:f>
              <c:strCache>
                <c:ptCount val="3"/>
                <c:pt idx="0">
                  <c:v>Project A</c:v>
                </c:pt>
                <c:pt idx="1">
                  <c:v>Project B</c:v>
                </c:pt>
                <c:pt idx="2">
                  <c:v>Project C</c:v>
                </c:pt>
              </c:strCache>
            </c:strRef>
          </c:cat>
          <c:val>
            <c:numRef>
              <c:f>'ARR Comparison'!$B$2:$B$4</c:f>
              <c:numCache>
                <c:formatCode>General</c:formatCode>
                <c:ptCount val="3"/>
                <c:pt idx="0">
                  <c:v>7</c:v>
                </c:pt>
                <c:pt idx="1">
                  <c:v>0</c:v>
                </c:pt>
                <c:pt idx="2">
                  <c:v>10</c:v>
                </c:pt>
              </c:numCache>
            </c:numRef>
          </c:val>
          <c:extLst xmlns:c16r2="http://schemas.microsoft.com/office/drawing/2015/06/chart">
            <c:ext xmlns:c16="http://schemas.microsoft.com/office/drawing/2014/chart" uri="{C3380CC4-5D6E-409C-BE32-E72D297353CC}">
              <c16:uniqueId val="{00000000-3CBA-4509-901E-BD3133CE69B2}"/>
            </c:ext>
          </c:extLst>
        </c:ser>
        <c:dLbls>
          <c:showLegendKey val="0"/>
          <c:showVal val="0"/>
          <c:showCatName val="0"/>
          <c:showSerName val="0"/>
          <c:showPercent val="0"/>
          <c:showBubbleSize val="0"/>
        </c:dLbls>
        <c:gapWidth val="150"/>
        <c:axId val="245473280"/>
        <c:axId val="245475200"/>
      </c:barChart>
      <c:catAx>
        <c:axId val="245473280"/>
        <c:scaling>
          <c:orientation val="minMax"/>
        </c:scaling>
        <c:delete val="0"/>
        <c:axPos val="b"/>
        <c:title>
          <c:tx>
            <c:rich>
              <a:bodyPr/>
              <a:lstStyle/>
              <a:p>
                <a:pPr>
                  <a:defRPr/>
                </a:pPr>
                <a:r>
                  <a:rPr lang="en-US"/>
                  <a:t>Projects</a:t>
                </a:r>
              </a:p>
            </c:rich>
          </c:tx>
          <c:overlay val="1"/>
        </c:title>
        <c:numFmt formatCode="General" sourceLinked="1"/>
        <c:majorTickMark val="out"/>
        <c:minorTickMark val="none"/>
        <c:tickLblPos val="nextTo"/>
        <c:crossAx val="245475200"/>
        <c:crosses val="autoZero"/>
        <c:auto val="1"/>
        <c:lblAlgn val="ctr"/>
        <c:lblOffset val="100"/>
        <c:noMultiLvlLbl val="1"/>
      </c:catAx>
      <c:valAx>
        <c:axId val="245475200"/>
        <c:scaling>
          <c:orientation val="minMax"/>
        </c:scaling>
        <c:delete val="0"/>
        <c:axPos val="l"/>
        <c:majorGridlines/>
        <c:title>
          <c:tx>
            <c:rich>
              <a:bodyPr/>
              <a:lstStyle/>
              <a:p>
                <a:pPr>
                  <a:defRPr/>
                </a:pPr>
                <a:r>
                  <a:rPr lang="en-US"/>
                  <a:t>ARR (%)</a:t>
                </a:r>
              </a:p>
            </c:rich>
          </c:tx>
          <c:overlay val="1"/>
        </c:title>
        <c:numFmt formatCode="General" sourceLinked="1"/>
        <c:majorTickMark val="out"/>
        <c:minorTickMark val="none"/>
        <c:tickLblPos val="nextTo"/>
        <c:crossAx val="245473280"/>
        <c:crosses val="autoZero"/>
        <c:crossBetween val="between"/>
      </c:valAx>
      <c:dTable>
        <c:showHorzBorder val="1"/>
        <c:showVertBorder val="1"/>
        <c:showOutline val="1"/>
        <c:showKeys val="1"/>
      </c:dTable>
    </c:plotArea>
    <c:legend>
      <c:legendPos val="r"/>
      <c:overlay val="0"/>
    </c:legend>
    <c:plotVisOnly val="1"/>
    <c:dispBlanksAs val="gap"/>
    <c:showDLblsOverMax val="1"/>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tx1"/>
              </a:solidFill>
              <a:latin typeface="+mn-lt"/>
              <a:ea typeface="+mn-ea"/>
              <a:cs typeface="+mn-cs"/>
            </a:defRPr>
          </a:pPr>
          <a:endParaRPr lang="en-US"/>
        </a:p>
      </c:txPr>
    </c:title>
    <c:autoTitleDeleted val="0"/>
    <c:plotArea>
      <c:layout/>
      <c:barChart>
        <c:barDir val="col"/>
        <c:grouping val="clustered"/>
        <c:varyColors val="0"/>
        <c:ser>
          <c:idx val="0"/>
          <c:order val="0"/>
          <c:tx>
            <c:strRef>
              <c:f>NPV!$B$1</c:f>
              <c:strCache>
                <c:ptCount val="1"/>
                <c:pt idx="0">
                  <c:v>NPV (£m)</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trendline>
            <c:spPr>
              <a:ln w="9525" cap="rnd" cmpd="sng" algn="ctr">
                <a:solidFill>
                  <a:schemeClr val="tx1">
                    <a:shade val="95000"/>
                    <a:satMod val="105000"/>
                  </a:schemeClr>
                </a:solidFill>
                <a:prstDash val="solid"/>
                <a:round/>
              </a:ln>
              <a:effectLst/>
            </c:spPr>
            <c:trendlineType val="linear"/>
            <c:dispRSqr val="0"/>
            <c:dispEq val="0"/>
          </c:trendline>
          <c:cat>
            <c:strRef>
              <c:f>NPV!$A$2:$A$4</c:f>
              <c:strCache>
                <c:ptCount val="3"/>
                <c:pt idx="0">
                  <c:v>Project A</c:v>
                </c:pt>
                <c:pt idx="1">
                  <c:v>Project B</c:v>
                </c:pt>
                <c:pt idx="2">
                  <c:v>Project C</c:v>
                </c:pt>
              </c:strCache>
            </c:strRef>
          </c:cat>
          <c:val>
            <c:numRef>
              <c:f>NPV!$B$2:$B$4</c:f>
              <c:numCache>
                <c:formatCode>General</c:formatCode>
                <c:ptCount val="3"/>
                <c:pt idx="0">
                  <c:v>1.33</c:v>
                </c:pt>
                <c:pt idx="1">
                  <c:v>-7.26</c:v>
                </c:pt>
                <c:pt idx="2">
                  <c:v>4.24</c:v>
                </c:pt>
              </c:numCache>
            </c:numRef>
          </c:val>
          <c:extLst xmlns:c16r2="http://schemas.microsoft.com/office/drawing/2015/06/chart">
            <c:ext xmlns:c16="http://schemas.microsoft.com/office/drawing/2014/chart" uri="{C3380CC4-5D6E-409C-BE32-E72D297353CC}">
              <c16:uniqueId val="{00000001-C179-4A80-82E4-241F4978EC1E}"/>
            </c:ext>
          </c:extLst>
        </c:ser>
        <c:dLbls>
          <c:dLblPos val="outEnd"/>
          <c:showLegendKey val="0"/>
          <c:showVal val="1"/>
          <c:showCatName val="0"/>
          <c:showSerName val="0"/>
          <c:showPercent val="0"/>
          <c:showBubbleSize val="0"/>
        </c:dLbls>
        <c:gapWidth val="150"/>
        <c:axId val="245487104"/>
        <c:axId val="245488640"/>
      </c:barChart>
      <c:catAx>
        <c:axId val="245487104"/>
        <c:scaling>
          <c:orientation val="minMax"/>
        </c:scaling>
        <c:delete val="0"/>
        <c:axPos val="b"/>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245488640"/>
        <c:crosses val="autoZero"/>
        <c:auto val="0"/>
        <c:lblAlgn val="ctr"/>
        <c:lblOffset val="100"/>
        <c:noMultiLvlLbl val="0"/>
      </c:catAx>
      <c:valAx>
        <c:axId val="245488640"/>
        <c:scaling>
          <c:orientation val="minMax"/>
        </c:scaling>
        <c:delete val="0"/>
        <c:axPos val="l"/>
        <c:majorGridlines>
          <c:spPr>
            <a:ln w="9525" cap="flat" cmpd="sng" algn="ctr">
              <a:solidFill>
                <a:schemeClr val="tx1">
                  <a:tint val="75000"/>
                  <a:shade val="95000"/>
                  <a:satMod val="105000"/>
                </a:schemeClr>
              </a:solidFill>
              <a:prstDash val="solid"/>
              <a:round/>
            </a:ln>
            <a:effectLst/>
          </c:spPr>
        </c:majorGridlines>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245487104"/>
        <c:crosses val="autoZero"/>
        <c:crossBetween val="between"/>
      </c:valAx>
      <c:dTable>
        <c:showHorzBorder val="1"/>
        <c:showVertBorder val="1"/>
        <c:showOutline val="1"/>
        <c:showKeys val="1"/>
        <c:spPr>
          <a:noFill/>
          <a:ln w="9525" cap="flat" cmpd="sng" algn="ctr">
            <a:solidFill>
              <a:schemeClr val="tx1">
                <a:tint val="75000"/>
                <a:shade val="95000"/>
                <a:satMod val="105000"/>
              </a:schemeClr>
            </a:solidFill>
            <a:prstDash val="solid"/>
            <a:round/>
          </a:ln>
          <a:effectLst/>
        </c:spPr>
        <c:txPr>
          <a:bodyPr rot="0" spcFirstLastPara="1" vertOverflow="ellipsis" vert="horz" wrap="square" anchor="ctr" anchorCtr="1"/>
          <a:lstStyle/>
          <a:p>
            <a:pPr rtl="0">
              <a:defRPr sz="1000" b="0" i="0" u="none" strike="noStrike" kern="1200" baseline="0">
                <a:solidFill>
                  <a:schemeClr val="tx1"/>
                </a:solidFill>
                <a:latin typeface="+mn-lt"/>
                <a:ea typeface="+mn-ea"/>
                <a:cs typeface="+mn-cs"/>
              </a:defRPr>
            </a:pPr>
            <a:endParaRPr lang="en-US"/>
          </a:p>
        </c:txPr>
      </c:dTable>
      <c:spPr>
        <a:solidFill>
          <a:schemeClr val="bg1"/>
        </a:solidFill>
        <a:ln>
          <a:noFill/>
        </a:ln>
        <a:effectLst/>
      </c:spPr>
    </c:plotArea>
    <c:legend>
      <c:legendPos val="r"/>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12700" cap="flat" cmpd="sng" algn="ctr">
      <a:solidFill>
        <a:schemeClr val="tx1">
          <a:tint val="75000"/>
        </a:schemeClr>
      </a:solidFill>
      <a:prstDash val="solid"/>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cap="none" spc="50" normalizeH="0" baseline="0">
                <a:solidFill>
                  <a:schemeClr val="tx1">
                    <a:lumMod val="65000"/>
                    <a:lumOff val="35000"/>
                  </a:schemeClr>
                </a:solidFill>
                <a:latin typeface="+mj-lt"/>
                <a:ea typeface="+mj-ea"/>
                <a:cs typeface="+mj-cs"/>
              </a:defRPr>
            </a:pPr>
            <a:r>
              <a:rPr lang="en-US"/>
              <a:t>Profitability Index (PI) Comparison</a:t>
            </a:r>
          </a:p>
        </c:rich>
      </c:tx>
      <c:overlay val="0"/>
      <c:spPr>
        <a:noFill/>
        <a:ln>
          <a:noFill/>
        </a:ln>
        <a:effectLst/>
      </c:spPr>
    </c:title>
    <c:autoTitleDeleted val="0"/>
    <c:plotArea>
      <c:layout/>
      <c:barChart>
        <c:barDir val="col"/>
        <c:grouping val="clustered"/>
        <c:varyColors val="0"/>
        <c:ser>
          <c:idx val="0"/>
          <c:order val="0"/>
          <c:tx>
            <c:strRef>
              <c:f>PI!$B$1</c:f>
              <c:strCache>
                <c:ptCount val="1"/>
                <c:pt idx="0">
                  <c:v>PI</c:v>
                </c:pt>
              </c:strCache>
            </c:strRef>
          </c:tx>
          <c:spPr>
            <a:solidFill>
              <a:schemeClr val="accent6">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errBars>
            <c:errBarType val="both"/>
            <c:errValType val="stdErr"/>
            <c:noEndCap val="0"/>
            <c:spPr>
              <a:noFill/>
              <a:ln w="9525">
                <a:solidFill>
                  <a:schemeClr val="tx1">
                    <a:lumMod val="65000"/>
                    <a:lumOff val="35000"/>
                  </a:schemeClr>
                </a:solidFill>
                <a:round/>
              </a:ln>
              <a:effectLst/>
            </c:spPr>
          </c:errBars>
          <c:cat>
            <c:strRef>
              <c:f>PI!$A$2:$A$4</c:f>
              <c:strCache>
                <c:ptCount val="3"/>
                <c:pt idx="0">
                  <c:v>Project A</c:v>
                </c:pt>
                <c:pt idx="1">
                  <c:v>Project B</c:v>
                </c:pt>
                <c:pt idx="2">
                  <c:v>Project C</c:v>
                </c:pt>
              </c:strCache>
            </c:strRef>
          </c:cat>
          <c:val>
            <c:numRef>
              <c:f>PI!$B$2:$B$4</c:f>
              <c:numCache>
                <c:formatCode>General</c:formatCode>
                <c:ptCount val="3"/>
                <c:pt idx="0">
                  <c:v>1.03</c:v>
                </c:pt>
                <c:pt idx="1">
                  <c:v>0.76</c:v>
                </c:pt>
                <c:pt idx="2">
                  <c:v>1.08</c:v>
                </c:pt>
              </c:numCache>
            </c:numRef>
          </c:val>
          <c:extLst xmlns:c16r2="http://schemas.microsoft.com/office/drawing/2015/06/chart">
            <c:ext xmlns:c16="http://schemas.microsoft.com/office/drawing/2014/chart" uri="{C3380CC4-5D6E-409C-BE32-E72D297353CC}">
              <c16:uniqueId val="{00000000-4053-45A9-BFB6-361E7C04774A}"/>
            </c:ext>
          </c:extLst>
        </c:ser>
        <c:dLbls>
          <c:dLblPos val="outEnd"/>
          <c:showLegendKey val="0"/>
          <c:showVal val="1"/>
          <c:showCatName val="0"/>
          <c:showSerName val="0"/>
          <c:showPercent val="0"/>
          <c:showBubbleSize val="0"/>
        </c:dLbls>
        <c:gapWidth val="80"/>
        <c:overlap val="25"/>
        <c:axId val="245774208"/>
        <c:axId val="245780480"/>
      </c:barChart>
      <c:catAx>
        <c:axId val="245774208"/>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Project</a:t>
                </a:r>
              </a:p>
            </c:rich>
          </c:tx>
          <c:overlay val="0"/>
          <c:spPr>
            <a:noFill/>
            <a:ln>
              <a:noFill/>
            </a:ln>
            <a:effectLst/>
          </c:spPr>
        </c:title>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245780480"/>
        <c:crosses val="autoZero"/>
        <c:auto val="0"/>
        <c:lblAlgn val="ctr"/>
        <c:lblOffset val="100"/>
        <c:noMultiLvlLbl val="0"/>
      </c:catAx>
      <c:valAx>
        <c:axId val="245780480"/>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PI</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245774208"/>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IRR Comparison</a:t>
            </a:r>
          </a:p>
        </c:rich>
      </c:tx>
      <c:overlay val="0"/>
      <c:spPr>
        <a:noFill/>
        <a:ln>
          <a:noFill/>
        </a:ln>
        <a:effectLst/>
      </c:spPr>
    </c:title>
    <c:autoTitleDeleted val="0"/>
    <c:plotArea>
      <c:layout/>
      <c:barChart>
        <c:barDir val="col"/>
        <c:grouping val="clustered"/>
        <c:varyColors val="0"/>
        <c:ser>
          <c:idx val="0"/>
          <c:order val="0"/>
          <c:tx>
            <c:strRef>
              <c:f>IRR!$B$1</c:f>
              <c:strCache>
                <c:ptCount val="1"/>
                <c:pt idx="0">
                  <c:v>IRR (%)</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IRR!$A$2:$A$4</c:f>
              <c:strCache>
                <c:ptCount val="3"/>
                <c:pt idx="0">
                  <c:v>Project A</c:v>
                </c:pt>
                <c:pt idx="1">
                  <c:v>Project B</c:v>
                </c:pt>
                <c:pt idx="2">
                  <c:v>Project C</c:v>
                </c:pt>
              </c:strCache>
            </c:strRef>
          </c:cat>
          <c:val>
            <c:numRef>
              <c:f>IRR!$B$2:$B$4</c:f>
              <c:numCache>
                <c:formatCode>General</c:formatCode>
                <c:ptCount val="3"/>
                <c:pt idx="0">
                  <c:v>12</c:v>
                </c:pt>
                <c:pt idx="1">
                  <c:v>5</c:v>
                </c:pt>
                <c:pt idx="2">
                  <c:v>15</c:v>
                </c:pt>
              </c:numCache>
            </c:numRef>
          </c:val>
          <c:extLst xmlns:c16r2="http://schemas.microsoft.com/office/drawing/2015/06/chart">
            <c:ext xmlns:c16="http://schemas.microsoft.com/office/drawing/2014/chart" uri="{C3380CC4-5D6E-409C-BE32-E72D297353CC}">
              <c16:uniqueId val="{00000000-1B16-4E50-BBD9-67D12A2F39E5}"/>
            </c:ext>
          </c:extLst>
        </c:ser>
        <c:dLbls>
          <c:dLblPos val="outEnd"/>
          <c:showLegendKey val="0"/>
          <c:showVal val="1"/>
          <c:showCatName val="0"/>
          <c:showSerName val="0"/>
          <c:showPercent val="0"/>
          <c:showBubbleSize val="0"/>
        </c:dLbls>
        <c:gapWidth val="444"/>
        <c:overlap val="-90"/>
        <c:axId val="245790208"/>
        <c:axId val="245805824"/>
      </c:barChart>
      <c:catAx>
        <c:axId val="24579020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Project</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45805824"/>
        <c:crosses val="autoZero"/>
        <c:auto val="0"/>
        <c:lblAlgn val="ctr"/>
        <c:lblOffset val="100"/>
        <c:noMultiLvlLbl val="0"/>
      </c:catAx>
      <c:valAx>
        <c:axId val="245805824"/>
        <c:scaling>
          <c:orientation val="minMax"/>
        </c:scaling>
        <c:delete val="1"/>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IRR (%)</a:t>
                </a:r>
              </a:p>
            </c:rich>
          </c:tx>
          <c:overlay val="0"/>
          <c:spPr>
            <a:noFill/>
            <a:ln>
              <a:noFill/>
            </a:ln>
            <a:effectLst/>
          </c:spPr>
        </c:title>
        <c:numFmt formatCode="General" sourceLinked="1"/>
        <c:majorTickMark val="none"/>
        <c:minorTickMark val="none"/>
        <c:tickLblPos val="nextTo"/>
        <c:crossAx val="245790208"/>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Profitability Ratios (2020–2024)</a:t>
            </a:r>
            <a:endParaRPr lang="en-US"/>
          </a:p>
        </c:rich>
      </c:tx>
      <c:overlay val="0"/>
      <c:spPr>
        <a:noFill/>
        <a:ln>
          <a:noFill/>
        </a:ln>
        <a:effectLst/>
      </c:spPr>
    </c:title>
    <c:autoTitleDeleted val="0"/>
    <c:view3D>
      <c:rotX val="15"/>
      <c:rotY val="20"/>
      <c:rAngAx val="0"/>
      <c:perspective val="3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Gross Margin (%)</c:v>
                </c:pt>
              </c:strCache>
            </c:strRef>
          </c:tx>
          <c:spPr>
            <a:solidFill>
              <a:schemeClr val="accent2"/>
            </a:solidFill>
            <a:ln>
              <a:noFill/>
            </a:ln>
            <a:effectLst/>
            <a:sp3d/>
          </c:spPr>
          <c:invertIfNegative val="0"/>
          <c:cat>
            <c:numRef>
              <c:f>Sheet1!$A$2:$A$6</c:f>
              <c:numCache>
                <c:formatCode>General</c:formatCode>
                <c:ptCount val="5"/>
                <c:pt idx="0">
                  <c:v>2020</c:v>
                </c:pt>
                <c:pt idx="1">
                  <c:v>2021</c:v>
                </c:pt>
                <c:pt idx="2">
                  <c:v>2022</c:v>
                </c:pt>
                <c:pt idx="3">
                  <c:v>2023</c:v>
                </c:pt>
                <c:pt idx="4">
                  <c:v>2024</c:v>
                </c:pt>
              </c:numCache>
            </c:numRef>
          </c:cat>
          <c:val>
            <c:numRef>
              <c:f>Sheet1!$B$2:$B$6</c:f>
              <c:numCache>
                <c:formatCode>General</c:formatCode>
                <c:ptCount val="5"/>
                <c:pt idx="0">
                  <c:v>28.7</c:v>
                </c:pt>
                <c:pt idx="1">
                  <c:v>29.1</c:v>
                </c:pt>
                <c:pt idx="2">
                  <c:v>27.4</c:v>
                </c:pt>
                <c:pt idx="3">
                  <c:v>22.9</c:v>
                </c:pt>
                <c:pt idx="4">
                  <c:v>28.8</c:v>
                </c:pt>
              </c:numCache>
            </c:numRef>
          </c:val>
          <c:extLst xmlns:c16r2="http://schemas.microsoft.com/office/drawing/2015/06/chart">
            <c:ext xmlns:c16="http://schemas.microsoft.com/office/drawing/2014/chart" uri="{C3380CC4-5D6E-409C-BE32-E72D297353CC}">
              <c16:uniqueId val="{00000000-51EC-43E7-92EF-90198C033E73}"/>
            </c:ext>
          </c:extLst>
        </c:ser>
        <c:ser>
          <c:idx val="1"/>
          <c:order val="1"/>
          <c:tx>
            <c:strRef>
              <c:f>Sheet1!$C$1</c:f>
              <c:strCache>
                <c:ptCount val="1"/>
                <c:pt idx="0">
                  <c:v>Operating Margin (%)</c:v>
                </c:pt>
              </c:strCache>
            </c:strRef>
          </c:tx>
          <c:spPr>
            <a:solidFill>
              <a:schemeClr val="accent4"/>
            </a:solidFill>
            <a:ln>
              <a:noFill/>
            </a:ln>
            <a:effectLst/>
            <a:sp3d/>
          </c:spPr>
          <c:invertIfNegative val="0"/>
          <c:cat>
            <c:numRef>
              <c:f>Sheet1!$A$2:$A$6</c:f>
              <c:numCache>
                <c:formatCode>General</c:formatCode>
                <c:ptCount val="5"/>
                <c:pt idx="0">
                  <c:v>2020</c:v>
                </c:pt>
                <c:pt idx="1">
                  <c:v>2021</c:v>
                </c:pt>
                <c:pt idx="2">
                  <c:v>2022</c:v>
                </c:pt>
                <c:pt idx="3">
                  <c:v>2023</c:v>
                </c:pt>
                <c:pt idx="4">
                  <c:v>2024</c:v>
                </c:pt>
              </c:numCache>
            </c:numRef>
          </c:cat>
          <c:val>
            <c:numRef>
              <c:f>Sheet1!$C$2:$C$6</c:f>
              <c:numCache>
                <c:formatCode>General</c:formatCode>
                <c:ptCount val="5"/>
                <c:pt idx="0">
                  <c:v>6.1</c:v>
                </c:pt>
                <c:pt idx="1">
                  <c:v>5.4</c:v>
                </c:pt>
                <c:pt idx="2">
                  <c:v>1.7</c:v>
                </c:pt>
                <c:pt idx="3">
                  <c:v>0</c:v>
                </c:pt>
                <c:pt idx="4">
                  <c:v>0</c:v>
                </c:pt>
              </c:numCache>
            </c:numRef>
          </c:val>
          <c:extLst xmlns:c16r2="http://schemas.microsoft.com/office/drawing/2015/06/chart">
            <c:ext xmlns:c16="http://schemas.microsoft.com/office/drawing/2014/chart" uri="{C3380CC4-5D6E-409C-BE32-E72D297353CC}">
              <c16:uniqueId val="{00000001-51EC-43E7-92EF-90198C033E73}"/>
            </c:ext>
          </c:extLst>
        </c:ser>
        <c:ser>
          <c:idx val="2"/>
          <c:order val="2"/>
          <c:tx>
            <c:strRef>
              <c:f>Sheet1!$D$1</c:f>
              <c:strCache>
                <c:ptCount val="1"/>
                <c:pt idx="0">
                  <c:v>Net Margin (%)</c:v>
                </c:pt>
              </c:strCache>
            </c:strRef>
          </c:tx>
          <c:spPr>
            <a:solidFill>
              <a:schemeClr val="accent6"/>
            </a:solidFill>
            <a:ln>
              <a:noFill/>
            </a:ln>
            <a:effectLst/>
            <a:sp3d/>
          </c:spPr>
          <c:invertIfNegative val="0"/>
          <c:cat>
            <c:numRef>
              <c:f>Sheet1!$A$2:$A$6</c:f>
              <c:numCache>
                <c:formatCode>General</c:formatCode>
                <c:ptCount val="5"/>
                <c:pt idx="0">
                  <c:v>2020</c:v>
                </c:pt>
                <c:pt idx="1">
                  <c:v>2021</c:v>
                </c:pt>
                <c:pt idx="2">
                  <c:v>2022</c:v>
                </c:pt>
                <c:pt idx="3">
                  <c:v>2023</c:v>
                </c:pt>
                <c:pt idx="4">
                  <c:v>2024</c:v>
                </c:pt>
              </c:numCache>
            </c:numRef>
          </c:cat>
          <c:val>
            <c:numRef>
              <c:f>Sheet1!$D$2:$D$6</c:f>
              <c:numCache>
                <c:formatCode>General</c:formatCode>
                <c:ptCount val="5"/>
                <c:pt idx="0">
                  <c:v>6.3</c:v>
                </c:pt>
                <c:pt idx="1">
                  <c:v>4.5</c:v>
                </c:pt>
                <c:pt idx="2">
                  <c:v>0.6</c:v>
                </c:pt>
                <c:pt idx="3">
                  <c:v>0</c:v>
                </c:pt>
                <c:pt idx="4">
                  <c:v>0</c:v>
                </c:pt>
              </c:numCache>
            </c:numRef>
          </c:val>
          <c:extLst xmlns:c16r2="http://schemas.microsoft.com/office/drawing/2015/06/chart">
            <c:ext xmlns:c16="http://schemas.microsoft.com/office/drawing/2014/chart" uri="{C3380CC4-5D6E-409C-BE32-E72D297353CC}">
              <c16:uniqueId val="{00000002-51EC-43E7-92EF-90198C033E73}"/>
            </c:ext>
          </c:extLst>
        </c:ser>
        <c:ser>
          <c:idx val="3"/>
          <c:order val="3"/>
          <c:tx>
            <c:strRef>
              <c:f>Sheet1!$E$1</c:f>
              <c:strCache>
                <c:ptCount val="1"/>
                <c:pt idx="0">
                  <c:v>ROA (%)</c:v>
                </c:pt>
              </c:strCache>
            </c:strRef>
          </c:tx>
          <c:spPr>
            <a:solidFill>
              <a:schemeClr val="accent2">
                <a:lumMod val="60000"/>
              </a:schemeClr>
            </a:solidFill>
            <a:ln>
              <a:noFill/>
            </a:ln>
            <a:effectLst/>
            <a:sp3d/>
          </c:spPr>
          <c:invertIfNegative val="0"/>
          <c:cat>
            <c:numRef>
              <c:f>Sheet1!$A$2:$A$6</c:f>
              <c:numCache>
                <c:formatCode>General</c:formatCode>
                <c:ptCount val="5"/>
                <c:pt idx="0">
                  <c:v>2020</c:v>
                </c:pt>
                <c:pt idx="1">
                  <c:v>2021</c:v>
                </c:pt>
                <c:pt idx="2">
                  <c:v>2022</c:v>
                </c:pt>
                <c:pt idx="3">
                  <c:v>2023</c:v>
                </c:pt>
                <c:pt idx="4">
                  <c:v>2024</c:v>
                </c:pt>
              </c:numCache>
            </c:numRef>
          </c:cat>
          <c:val>
            <c:numRef>
              <c:f>Sheet1!$E$2:$E$6</c:f>
              <c:numCache>
                <c:formatCode>General</c:formatCode>
                <c:ptCount val="5"/>
                <c:pt idx="0">
                  <c:v>4.2</c:v>
                </c:pt>
                <c:pt idx="1">
                  <c:v>3.1</c:v>
                </c:pt>
                <c:pt idx="2">
                  <c:v>0.4</c:v>
                </c:pt>
                <c:pt idx="3">
                  <c:v>0</c:v>
                </c:pt>
                <c:pt idx="4">
                  <c:v>0</c:v>
                </c:pt>
              </c:numCache>
            </c:numRef>
          </c:val>
          <c:extLst xmlns:c16r2="http://schemas.microsoft.com/office/drawing/2015/06/chart">
            <c:ext xmlns:c16="http://schemas.microsoft.com/office/drawing/2014/chart" uri="{C3380CC4-5D6E-409C-BE32-E72D297353CC}">
              <c16:uniqueId val="{00000003-51EC-43E7-92EF-90198C033E73}"/>
            </c:ext>
          </c:extLst>
        </c:ser>
        <c:ser>
          <c:idx val="4"/>
          <c:order val="4"/>
          <c:tx>
            <c:strRef>
              <c:f>Sheet1!$F$1</c:f>
              <c:strCache>
                <c:ptCount val="1"/>
                <c:pt idx="0">
                  <c:v>ROE (%)</c:v>
                </c:pt>
              </c:strCache>
            </c:strRef>
          </c:tx>
          <c:spPr>
            <a:solidFill>
              <a:schemeClr val="accent4">
                <a:lumMod val="60000"/>
              </a:schemeClr>
            </a:solidFill>
            <a:ln>
              <a:noFill/>
            </a:ln>
            <a:effectLst/>
            <a:sp3d/>
          </c:spPr>
          <c:invertIfNegative val="0"/>
          <c:cat>
            <c:numRef>
              <c:f>Sheet1!$A$2:$A$6</c:f>
              <c:numCache>
                <c:formatCode>General</c:formatCode>
                <c:ptCount val="5"/>
                <c:pt idx="0">
                  <c:v>2020</c:v>
                </c:pt>
                <c:pt idx="1">
                  <c:v>2021</c:v>
                </c:pt>
                <c:pt idx="2">
                  <c:v>2022</c:v>
                </c:pt>
                <c:pt idx="3">
                  <c:v>2023</c:v>
                </c:pt>
                <c:pt idx="4">
                  <c:v>2024</c:v>
                </c:pt>
              </c:numCache>
            </c:numRef>
          </c:cat>
          <c:val>
            <c:numRef>
              <c:f>Sheet1!$F$2:$F$6</c:f>
              <c:numCache>
                <c:formatCode>General</c:formatCode>
                <c:ptCount val="5"/>
                <c:pt idx="0">
                  <c:v>12.3</c:v>
                </c:pt>
                <c:pt idx="1">
                  <c:v>9.8000000000000007</c:v>
                </c:pt>
                <c:pt idx="2">
                  <c:v>2.4</c:v>
                </c:pt>
                <c:pt idx="3">
                  <c:v>0</c:v>
                </c:pt>
                <c:pt idx="4">
                  <c:v>0</c:v>
                </c:pt>
              </c:numCache>
            </c:numRef>
          </c:val>
          <c:extLst xmlns:c16r2="http://schemas.microsoft.com/office/drawing/2015/06/chart">
            <c:ext xmlns:c16="http://schemas.microsoft.com/office/drawing/2014/chart" uri="{C3380CC4-5D6E-409C-BE32-E72D297353CC}">
              <c16:uniqueId val="{00000004-51EC-43E7-92EF-90198C033E73}"/>
            </c:ext>
          </c:extLst>
        </c:ser>
        <c:dLbls>
          <c:showLegendKey val="0"/>
          <c:showVal val="0"/>
          <c:showCatName val="0"/>
          <c:showSerName val="0"/>
          <c:showPercent val="0"/>
          <c:showBubbleSize val="0"/>
        </c:dLbls>
        <c:gapWidth val="219"/>
        <c:shape val="box"/>
        <c:axId val="245830400"/>
        <c:axId val="245831936"/>
        <c:axId val="0"/>
      </c:bar3DChart>
      <c:catAx>
        <c:axId val="245830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5831936"/>
        <c:crosses val="autoZero"/>
        <c:auto val="1"/>
        <c:lblAlgn val="ctr"/>
        <c:lblOffset val="100"/>
        <c:noMultiLvlLbl val="0"/>
      </c:catAx>
      <c:valAx>
        <c:axId val="24583193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58304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0" i="0" u="none" strike="noStrike" baseline="0"/>
              <a:t>Liquidity Ratios (2020–2024)</a:t>
            </a:r>
            <a:endParaRPr lang="en-US"/>
          </a:p>
        </c:rich>
      </c:tx>
      <c:overlay val="0"/>
      <c:spPr>
        <a:noFill/>
        <a:ln>
          <a:noFill/>
        </a:ln>
        <a:effectLst/>
      </c:spPr>
    </c:title>
    <c:autoTitleDeleted val="0"/>
    <c:plotArea>
      <c:layout/>
      <c:barChart>
        <c:barDir val="col"/>
        <c:grouping val="clustered"/>
        <c:varyColors val="0"/>
        <c:ser>
          <c:idx val="0"/>
          <c:order val="0"/>
          <c:tx>
            <c:strRef>
              <c:f>Sheet1!$B$1</c:f>
              <c:strCache>
                <c:ptCount val="1"/>
                <c:pt idx="0">
                  <c:v>Current Ratio</c:v>
                </c:pt>
              </c:strCache>
            </c:strRef>
          </c:tx>
          <c:spPr>
            <a:solidFill>
              <a:schemeClr val="accent4">
                <a:shade val="65000"/>
              </a:schemeClr>
            </a:solidFill>
            <a:ln>
              <a:noFill/>
            </a:ln>
            <a:effectLst/>
          </c:spPr>
          <c:invertIfNegative val="0"/>
          <c:cat>
            <c:numRef>
              <c:f>Sheet1!$A$2:$A$6</c:f>
              <c:numCache>
                <c:formatCode>General</c:formatCode>
                <c:ptCount val="5"/>
                <c:pt idx="0">
                  <c:v>2020</c:v>
                </c:pt>
                <c:pt idx="1">
                  <c:v>2021</c:v>
                </c:pt>
                <c:pt idx="2">
                  <c:v>2022</c:v>
                </c:pt>
                <c:pt idx="3">
                  <c:v>2023</c:v>
                </c:pt>
                <c:pt idx="4">
                  <c:v>2024</c:v>
                </c:pt>
              </c:numCache>
            </c:numRef>
          </c:cat>
          <c:val>
            <c:numRef>
              <c:f>Sheet1!$B$2:$B$6</c:f>
              <c:numCache>
                <c:formatCode>General</c:formatCode>
                <c:ptCount val="5"/>
                <c:pt idx="0">
                  <c:v>1.28</c:v>
                </c:pt>
                <c:pt idx="1">
                  <c:v>1.2</c:v>
                </c:pt>
                <c:pt idx="2">
                  <c:v>1.42</c:v>
                </c:pt>
                <c:pt idx="3">
                  <c:v>1.0900000000000001</c:v>
                </c:pt>
                <c:pt idx="4">
                  <c:v>1.53</c:v>
                </c:pt>
              </c:numCache>
            </c:numRef>
          </c:val>
          <c:extLst xmlns:c16r2="http://schemas.microsoft.com/office/drawing/2015/06/chart">
            <c:ext xmlns:c16="http://schemas.microsoft.com/office/drawing/2014/chart" uri="{C3380CC4-5D6E-409C-BE32-E72D297353CC}">
              <c16:uniqueId val="{00000000-3A94-4AC3-B056-F264BF3D116D}"/>
            </c:ext>
          </c:extLst>
        </c:ser>
        <c:ser>
          <c:idx val="1"/>
          <c:order val="1"/>
          <c:tx>
            <c:strRef>
              <c:f>Sheet1!$C$1</c:f>
              <c:strCache>
                <c:ptCount val="1"/>
                <c:pt idx="0">
                  <c:v>Quick Ratio</c:v>
                </c:pt>
              </c:strCache>
            </c:strRef>
          </c:tx>
          <c:spPr>
            <a:solidFill>
              <a:schemeClr val="accent4"/>
            </a:solidFill>
            <a:ln>
              <a:noFill/>
            </a:ln>
            <a:effectLst/>
          </c:spPr>
          <c:invertIfNegative val="0"/>
          <c:cat>
            <c:numRef>
              <c:f>Sheet1!$A$2:$A$6</c:f>
              <c:numCache>
                <c:formatCode>General</c:formatCode>
                <c:ptCount val="5"/>
                <c:pt idx="0">
                  <c:v>2020</c:v>
                </c:pt>
                <c:pt idx="1">
                  <c:v>2021</c:v>
                </c:pt>
                <c:pt idx="2">
                  <c:v>2022</c:v>
                </c:pt>
                <c:pt idx="3">
                  <c:v>2023</c:v>
                </c:pt>
                <c:pt idx="4">
                  <c:v>2024</c:v>
                </c:pt>
              </c:numCache>
            </c:numRef>
          </c:cat>
          <c:val>
            <c:numRef>
              <c:f>Sheet1!$C$2:$C$6</c:f>
              <c:numCache>
                <c:formatCode>General</c:formatCode>
                <c:ptCount val="5"/>
                <c:pt idx="0">
                  <c:v>0.84</c:v>
                </c:pt>
                <c:pt idx="1">
                  <c:v>0.79</c:v>
                </c:pt>
                <c:pt idx="2">
                  <c:v>0.9</c:v>
                </c:pt>
                <c:pt idx="3">
                  <c:v>0.73</c:v>
                </c:pt>
                <c:pt idx="4">
                  <c:v>0.97</c:v>
                </c:pt>
              </c:numCache>
            </c:numRef>
          </c:val>
          <c:extLst xmlns:c16r2="http://schemas.microsoft.com/office/drawing/2015/06/chart">
            <c:ext xmlns:c16="http://schemas.microsoft.com/office/drawing/2014/chart" uri="{C3380CC4-5D6E-409C-BE32-E72D297353CC}">
              <c16:uniqueId val="{00000001-3A94-4AC3-B056-F264BF3D116D}"/>
            </c:ext>
          </c:extLst>
        </c:ser>
        <c:ser>
          <c:idx val="2"/>
          <c:order val="2"/>
          <c:tx>
            <c:strRef>
              <c:f>Sheet1!$D$1</c:f>
              <c:strCache>
                <c:ptCount val="1"/>
                <c:pt idx="0">
                  <c:v>Cash Ratio</c:v>
                </c:pt>
              </c:strCache>
            </c:strRef>
          </c:tx>
          <c:spPr>
            <a:solidFill>
              <a:schemeClr val="accent4">
                <a:tint val="65000"/>
              </a:schemeClr>
            </a:solidFill>
            <a:ln>
              <a:noFill/>
            </a:ln>
            <a:effectLst/>
          </c:spPr>
          <c:invertIfNegative val="0"/>
          <c:cat>
            <c:numRef>
              <c:f>Sheet1!$A$2:$A$6</c:f>
              <c:numCache>
                <c:formatCode>General</c:formatCode>
                <c:ptCount val="5"/>
                <c:pt idx="0">
                  <c:v>2020</c:v>
                </c:pt>
                <c:pt idx="1">
                  <c:v>2021</c:v>
                </c:pt>
                <c:pt idx="2">
                  <c:v>2022</c:v>
                </c:pt>
                <c:pt idx="3">
                  <c:v>2023</c:v>
                </c:pt>
                <c:pt idx="4">
                  <c:v>2024</c:v>
                </c:pt>
              </c:numCache>
            </c:numRef>
          </c:cat>
          <c:val>
            <c:numRef>
              <c:f>Sheet1!$D$2:$D$6</c:f>
              <c:numCache>
                <c:formatCode>General</c:formatCode>
                <c:ptCount val="5"/>
                <c:pt idx="0">
                  <c:v>0.39</c:v>
                </c:pt>
                <c:pt idx="1">
                  <c:v>0.36</c:v>
                </c:pt>
                <c:pt idx="2">
                  <c:v>0.45</c:v>
                </c:pt>
                <c:pt idx="3">
                  <c:v>0.27</c:v>
                </c:pt>
                <c:pt idx="4">
                  <c:v>0.17</c:v>
                </c:pt>
              </c:numCache>
            </c:numRef>
          </c:val>
          <c:extLst xmlns:c16r2="http://schemas.microsoft.com/office/drawing/2015/06/chart">
            <c:ext xmlns:c16="http://schemas.microsoft.com/office/drawing/2014/chart" uri="{C3380CC4-5D6E-409C-BE32-E72D297353CC}">
              <c16:uniqueId val="{00000002-3A94-4AC3-B056-F264BF3D116D}"/>
            </c:ext>
          </c:extLst>
        </c:ser>
        <c:dLbls>
          <c:showLegendKey val="0"/>
          <c:showVal val="0"/>
          <c:showCatName val="0"/>
          <c:showSerName val="0"/>
          <c:showPercent val="0"/>
          <c:showBubbleSize val="0"/>
        </c:dLbls>
        <c:gapWidth val="150"/>
        <c:axId val="245855744"/>
        <c:axId val="245857280"/>
      </c:barChart>
      <c:catAx>
        <c:axId val="2458557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5857280"/>
        <c:crosses val="autoZero"/>
        <c:auto val="1"/>
        <c:lblAlgn val="ctr"/>
        <c:lblOffset val="100"/>
        <c:noMultiLvlLbl val="0"/>
      </c:catAx>
      <c:valAx>
        <c:axId val="245857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5855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Working Capital Ratios (2020–2024)</a:t>
            </a:r>
          </a:p>
        </c:rich>
      </c:tx>
      <c:overlay val="0"/>
      <c:spPr>
        <a:noFill/>
        <a:ln>
          <a:noFill/>
        </a:ln>
        <a:effectLst/>
      </c:sp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Inventory Days</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cat>
            <c:numRef>
              <c:f>Sheet1!$A$2:$A$6</c:f>
              <c:numCache>
                <c:formatCode>General</c:formatCode>
                <c:ptCount val="5"/>
                <c:pt idx="0">
                  <c:v>2020</c:v>
                </c:pt>
                <c:pt idx="1">
                  <c:v>2021</c:v>
                </c:pt>
                <c:pt idx="2">
                  <c:v>2022</c:v>
                </c:pt>
                <c:pt idx="3">
                  <c:v>2023</c:v>
                </c:pt>
                <c:pt idx="4">
                  <c:v>2024</c:v>
                </c:pt>
              </c:numCache>
            </c:numRef>
          </c:cat>
          <c:val>
            <c:numRef>
              <c:f>Sheet1!$B$2:$B$6</c:f>
              <c:numCache>
                <c:formatCode>General</c:formatCode>
                <c:ptCount val="5"/>
                <c:pt idx="0">
                  <c:v>71</c:v>
                </c:pt>
                <c:pt idx="1">
                  <c:v>78</c:v>
                </c:pt>
                <c:pt idx="2">
                  <c:v>81</c:v>
                </c:pt>
                <c:pt idx="3">
                  <c:v>67</c:v>
                </c:pt>
                <c:pt idx="4">
                  <c:v>59</c:v>
                </c:pt>
              </c:numCache>
            </c:numRef>
          </c:val>
          <c:extLst xmlns:c16r2="http://schemas.microsoft.com/office/drawing/2015/06/chart">
            <c:ext xmlns:c16="http://schemas.microsoft.com/office/drawing/2014/chart" uri="{C3380CC4-5D6E-409C-BE32-E72D297353CC}">
              <c16:uniqueId val="{00000000-ED70-47DF-9F2F-0A8B45F6B07C}"/>
            </c:ext>
          </c:extLst>
        </c:ser>
        <c:ser>
          <c:idx val="1"/>
          <c:order val="1"/>
          <c:tx>
            <c:strRef>
              <c:f>Sheet1!$C$1</c:f>
              <c:strCache>
                <c:ptCount val="1"/>
                <c:pt idx="0">
                  <c:v>Receivable Days</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cat>
            <c:numRef>
              <c:f>Sheet1!$A$2:$A$6</c:f>
              <c:numCache>
                <c:formatCode>General</c:formatCode>
                <c:ptCount val="5"/>
                <c:pt idx="0">
                  <c:v>2020</c:v>
                </c:pt>
                <c:pt idx="1">
                  <c:v>2021</c:v>
                </c:pt>
                <c:pt idx="2">
                  <c:v>2022</c:v>
                </c:pt>
                <c:pt idx="3">
                  <c:v>2023</c:v>
                </c:pt>
                <c:pt idx="4">
                  <c:v>2024</c:v>
                </c:pt>
              </c:numCache>
            </c:numRef>
          </c:cat>
          <c:val>
            <c:numRef>
              <c:f>Sheet1!$C$2:$C$6</c:f>
              <c:numCache>
                <c:formatCode>General</c:formatCode>
                <c:ptCount val="5"/>
                <c:pt idx="0">
                  <c:v>92</c:v>
                </c:pt>
                <c:pt idx="1">
                  <c:v>97</c:v>
                </c:pt>
                <c:pt idx="2">
                  <c:v>95</c:v>
                </c:pt>
                <c:pt idx="3">
                  <c:v>88</c:v>
                </c:pt>
                <c:pt idx="4">
                  <c:v>84</c:v>
                </c:pt>
              </c:numCache>
            </c:numRef>
          </c:val>
          <c:extLst xmlns:c16r2="http://schemas.microsoft.com/office/drawing/2015/06/chart">
            <c:ext xmlns:c16="http://schemas.microsoft.com/office/drawing/2014/chart" uri="{C3380CC4-5D6E-409C-BE32-E72D297353CC}">
              <c16:uniqueId val="{00000001-ED70-47DF-9F2F-0A8B45F6B07C}"/>
            </c:ext>
          </c:extLst>
        </c:ser>
        <c:ser>
          <c:idx val="2"/>
          <c:order val="2"/>
          <c:tx>
            <c:strRef>
              <c:f>Sheet1!$D$1</c:f>
              <c:strCache>
                <c:ptCount val="1"/>
                <c:pt idx="0">
                  <c:v>Payable Days</c:v>
                </c:pt>
              </c:strCache>
            </c:strRef>
          </c:tx>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invertIfNegative val="0"/>
          <c:cat>
            <c:numRef>
              <c:f>Sheet1!$A$2:$A$6</c:f>
              <c:numCache>
                <c:formatCode>General</c:formatCode>
                <c:ptCount val="5"/>
                <c:pt idx="0">
                  <c:v>2020</c:v>
                </c:pt>
                <c:pt idx="1">
                  <c:v>2021</c:v>
                </c:pt>
                <c:pt idx="2">
                  <c:v>2022</c:v>
                </c:pt>
                <c:pt idx="3">
                  <c:v>2023</c:v>
                </c:pt>
                <c:pt idx="4">
                  <c:v>2024</c:v>
                </c:pt>
              </c:numCache>
            </c:numRef>
          </c:cat>
          <c:val>
            <c:numRef>
              <c:f>Sheet1!$D$2:$D$6</c:f>
              <c:numCache>
                <c:formatCode>General</c:formatCode>
                <c:ptCount val="5"/>
                <c:pt idx="0">
                  <c:v>58</c:v>
                </c:pt>
                <c:pt idx="1">
                  <c:v>55</c:v>
                </c:pt>
                <c:pt idx="2">
                  <c:v>53</c:v>
                </c:pt>
                <c:pt idx="3">
                  <c:v>61</c:v>
                </c:pt>
                <c:pt idx="4">
                  <c:v>64</c:v>
                </c:pt>
              </c:numCache>
            </c:numRef>
          </c:val>
          <c:extLst xmlns:c16r2="http://schemas.microsoft.com/office/drawing/2015/06/chart">
            <c:ext xmlns:c16="http://schemas.microsoft.com/office/drawing/2014/chart" uri="{C3380CC4-5D6E-409C-BE32-E72D297353CC}">
              <c16:uniqueId val="{00000002-ED70-47DF-9F2F-0A8B45F6B07C}"/>
            </c:ext>
          </c:extLst>
        </c:ser>
        <c:ser>
          <c:idx val="3"/>
          <c:order val="3"/>
          <c:tx>
            <c:strRef>
              <c:f>Sheet1!$E$1</c:f>
              <c:strCache>
                <c:ptCount val="1"/>
                <c:pt idx="0">
                  <c:v>Cash Conversion Cycle</c:v>
                </c:pt>
              </c:strCache>
            </c:strRef>
          </c:tx>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cat>
            <c:numRef>
              <c:f>Sheet1!$A$2:$A$6</c:f>
              <c:numCache>
                <c:formatCode>General</c:formatCode>
                <c:ptCount val="5"/>
                <c:pt idx="0">
                  <c:v>2020</c:v>
                </c:pt>
                <c:pt idx="1">
                  <c:v>2021</c:v>
                </c:pt>
                <c:pt idx="2">
                  <c:v>2022</c:v>
                </c:pt>
                <c:pt idx="3">
                  <c:v>2023</c:v>
                </c:pt>
                <c:pt idx="4">
                  <c:v>2024</c:v>
                </c:pt>
              </c:numCache>
            </c:numRef>
          </c:cat>
          <c:val>
            <c:numRef>
              <c:f>Sheet1!$E$2:$E$6</c:f>
              <c:numCache>
                <c:formatCode>General</c:formatCode>
                <c:ptCount val="5"/>
                <c:pt idx="0">
                  <c:v>105</c:v>
                </c:pt>
                <c:pt idx="1">
                  <c:v>120</c:v>
                </c:pt>
                <c:pt idx="2">
                  <c:v>123</c:v>
                </c:pt>
                <c:pt idx="3">
                  <c:v>94</c:v>
                </c:pt>
                <c:pt idx="4">
                  <c:v>79</c:v>
                </c:pt>
              </c:numCache>
            </c:numRef>
          </c:val>
          <c:extLst xmlns:c16r2="http://schemas.microsoft.com/office/drawing/2015/06/chart">
            <c:ext xmlns:c16="http://schemas.microsoft.com/office/drawing/2014/chart" uri="{C3380CC4-5D6E-409C-BE32-E72D297353CC}">
              <c16:uniqueId val="{00000003-ED70-47DF-9F2F-0A8B45F6B07C}"/>
            </c:ext>
          </c:extLst>
        </c:ser>
        <c:dLbls>
          <c:showLegendKey val="0"/>
          <c:showVal val="0"/>
          <c:showCatName val="0"/>
          <c:showSerName val="0"/>
          <c:showPercent val="0"/>
          <c:showBubbleSize val="0"/>
        </c:dLbls>
        <c:gapWidth val="65"/>
        <c:shape val="box"/>
        <c:axId val="246034816"/>
        <c:axId val="246036352"/>
        <c:axId val="245859200"/>
      </c:bar3DChart>
      <c:catAx>
        <c:axId val="24603481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46036352"/>
        <c:crosses val="autoZero"/>
        <c:auto val="1"/>
        <c:lblAlgn val="ctr"/>
        <c:lblOffset val="100"/>
        <c:noMultiLvlLbl val="0"/>
      </c:catAx>
      <c:valAx>
        <c:axId val="246036352"/>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46034816"/>
        <c:crosses val="autoZero"/>
        <c:crossBetween val="between"/>
      </c:valAx>
      <c:serAx>
        <c:axId val="245859200"/>
        <c:scaling>
          <c:orientation val="minMax"/>
        </c:scaling>
        <c:delete val="0"/>
        <c:axPos val="b"/>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46036352"/>
        <c:crosses val="autoZero"/>
      </c:ser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lumMod val="65000"/>
                    <a:lumOff val="35000"/>
                  </a:schemeClr>
                </a:solidFill>
                <a:latin typeface="+mn-lt"/>
                <a:ea typeface="+mn-ea"/>
                <a:cs typeface="+mn-cs"/>
              </a:defRPr>
            </a:pPr>
            <a:r>
              <a:rPr lang="en-US"/>
              <a:t>Financial Risk Ratios (2020–2024)</a:t>
            </a:r>
          </a:p>
        </c:rich>
      </c:tx>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tx>
            <c:strRef>
              <c:f>Sheet1!$B$1</c:f>
              <c:strCache>
                <c:ptCount val="1"/>
                <c:pt idx="0">
                  <c:v>Debt-to-Equity</c:v>
                </c:pt>
              </c:strCache>
            </c:strRef>
          </c:tx>
          <c:spPr>
            <a:gradFill>
              <a:gsLst>
                <a:gs pos="100000">
                  <a:schemeClr val="accent1">
                    <a:alpha val="0"/>
                  </a:schemeClr>
                </a:gs>
                <a:gs pos="50000">
                  <a:schemeClr val="accent1"/>
                </a:gs>
              </a:gsLst>
              <a:lin ang="5400000" scaled="0"/>
            </a:gradFill>
            <a:ln>
              <a:noFill/>
            </a:ln>
            <a:effectLst/>
            <a:sp3d/>
          </c:spPr>
          <c:invertIfNegative val="0"/>
          <c:cat>
            <c:numRef>
              <c:f>Sheet1!$A$2:$A$6</c:f>
              <c:numCache>
                <c:formatCode>General</c:formatCode>
                <c:ptCount val="5"/>
                <c:pt idx="0">
                  <c:v>2020</c:v>
                </c:pt>
                <c:pt idx="1">
                  <c:v>2021</c:v>
                </c:pt>
                <c:pt idx="2">
                  <c:v>2022</c:v>
                </c:pt>
                <c:pt idx="3">
                  <c:v>2023</c:v>
                </c:pt>
                <c:pt idx="4">
                  <c:v>2024</c:v>
                </c:pt>
              </c:numCache>
            </c:numRef>
          </c:cat>
          <c:val>
            <c:numRef>
              <c:f>Sheet1!$B$2:$B$6</c:f>
              <c:numCache>
                <c:formatCode>General</c:formatCode>
                <c:ptCount val="5"/>
                <c:pt idx="0">
                  <c:v>0.63</c:v>
                </c:pt>
                <c:pt idx="1">
                  <c:v>0.85</c:v>
                </c:pt>
                <c:pt idx="2">
                  <c:v>0.88</c:v>
                </c:pt>
                <c:pt idx="3">
                  <c:v>0.99</c:v>
                </c:pt>
                <c:pt idx="4">
                  <c:v>1.1100000000000001</c:v>
                </c:pt>
              </c:numCache>
            </c:numRef>
          </c:val>
          <c:extLst xmlns:c16r2="http://schemas.microsoft.com/office/drawing/2015/06/chart">
            <c:ext xmlns:c16="http://schemas.microsoft.com/office/drawing/2014/chart" uri="{C3380CC4-5D6E-409C-BE32-E72D297353CC}">
              <c16:uniqueId val="{00000000-2AF2-40CF-9271-41D4E6E306E9}"/>
            </c:ext>
          </c:extLst>
        </c:ser>
        <c:ser>
          <c:idx val="1"/>
          <c:order val="1"/>
          <c:tx>
            <c:strRef>
              <c:f>Sheet1!$C$1</c:f>
              <c:strCache>
                <c:ptCount val="1"/>
                <c:pt idx="0">
                  <c:v>Debt Ratio</c:v>
                </c:pt>
              </c:strCache>
            </c:strRef>
          </c:tx>
          <c:spPr>
            <a:gradFill>
              <a:gsLst>
                <a:gs pos="100000">
                  <a:schemeClr val="accent3">
                    <a:alpha val="0"/>
                  </a:schemeClr>
                </a:gs>
                <a:gs pos="50000">
                  <a:schemeClr val="accent3"/>
                </a:gs>
              </a:gsLst>
              <a:lin ang="5400000" scaled="0"/>
            </a:gradFill>
            <a:ln>
              <a:noFill/>
            </a:ln>
            <a:effectLst/>
            <a:sp3d/>
          </c:spPr>
          <c:invertIfNegative val="0"/>
          <c:cat>
            <c:numRef>
              <c:f>Sheet1!$A$2:$A$6</c:f>
              <c:numCache>
                <c:formatCode>General</c:formatCode>
                <c:ptCount val="5"/>
                <c:pt idx="0">
                  <c:v>2020</c:v>
                </c:pt>
                <c:pt idx="1">
                  <c:v>2021</c:v>
                </c:pt>
                <c:pt idx="2">
                  <c:v>2022</c:v>
                </c:pt>
                <c:pt idx="3">
                  <c:v>2023</c:v>
                </c:pt>
                <c:pt idx="4">
                  <c:v>2024</c:v>
                </c:pt>
              </c:numCache>
            </c:numRef>
          </c:cat>
          <c:val>
            <c:numRef>
              <c:f>Sheet1!$C$2:$C$6</c:f>
              <c:numCache>
                <c:formatCode>General</c:formatCode>
                <c:ptCount val="5"/>
                <c:pt idx="0">
                  <c:v>0.39</c:v>
                </c:pt>
                <c:pt idx="1">
                  <c:v>0.46</c:v>
                </c:pt>
                <c:pt idx="2">
                  <c:v>0.47</c:v>
                </c:pt>
                <c:pt idx="3">
                  <c:v>0.5</c:v>
                </c:pt>
                <c:pt idx="4">
                  <c:v>0.53</c:v>
                </c:pt>
              </c:numCache>
            </c:numRef>
          </c:val>
          <c:extLst xmlns:c16r2="http://schemas.microsoft.com/office/drawing/2015/06/chart">
            <c:ext xmlns:c16="http://schemas.microsoft.com/office/drawing/2014/chart" uri="{C3380CC4-5D6E-409C-BE32-E72D297353CC}">
              <c16:uniqueId val="{00000001-2AF2-40CF-9271-41D4E6E306E9}"/>
            </c:ext>
          </c:extLst>
        </c:ser>
        <c:ser>
          <c:idx val="2"/>
          <c:order val="2"/>
          <c:tx>
            <c:strRef>
              <c:f>Sheet1!$D$1</c:f>
              <c:strCache>
                <c:ptCount val="1"/>
                <c:pt idx="0">
                  <c:v>Interest Coverage</c:v>
                </c:pt>
              </c:strCache>
            </c:strRef>
          </c:tx>
          <c:spPr>
            <a:gradFill>
              <a:gsLst>
                <a:gs pos="100000">
                  <a:schemeClr val="accent5">
                    <a:alpha val="0"/>
                  </a:schemeClr>
                </a:gs>
                <a:gs pos="50000">
                  <a:schemeClr val="accent5"/>
                </a:gs>
              </a:gsLst>
              <a:lin ang="5400000" scaled="0"/>
            </a:gradFill>
            <a:ln>
              <a:noFill/>
            </a:ln>
            <a:effectLst/>
            <a:sp3d/>
          </c:spPr>
          <c:invertIfNegative val="0"/>
          <c:cat>
            <c:numRef>
              <c:f>Sheet1!$A$2:$A$6</c:f>
              <c:numCache>
                <c:formatCode>General</c:formatCode>
                <c:ptCount val="5"/>
                <c:pt idx="0">
                  <c:v>2020</c:v>
                </c:pt>
                <c:pt idx="1">
                  <c:v>2021</c:v>
                </c:pt>
                <c:pt idx="2">
                  <c:v>2022</c:v>
                </c:pt>
                <c:pt idx="3">
                  <c:v>2023</c:v>
                </c:pt>
                <c:pt idx="4">
                  <c:v>2024</c:v>
                </c:pt>
              </c:numCache>
            </c:numRef>
          </c:cat>
          <c:val>
            <c:numRef>
              <c:f>Sheet1!$D$2:$D$6</c:f>
              <c:numCache>
                <c:formatCode>General</c:formatCode>
                <c:ptCount val="5"/>
                <c:pt idx="0">
                  <c:v>5.6</c:v>
                </c:pt>
                <c:pt idx="1">
                  <c:v>4.2</c:v>
                </c:pt>
                <c:pt idx="2">
                  <c:v>1.9</c:v>
                </c:pt>
                <c:pt idx="3">
                  <c:v>0</c:v>
                </c:pt>
                <c:pt idx="4">
                  <c:v>0</c:v>
                </c:pt>
              </c:numCache>
            </c:numRef>
          </c:val>
          <c:extLst xmlns:c16r2="http://schemas.microsoft.com/office/drawing/2015/06/chart">
            <c:ext xmlns:c16="http://schemas.microsoft.com/office/drawing/2014/chart" uri="{C3380CC4-5D6E-409C-BE32-E72D297353CC}">
              <c16:uniqueId val="{00000002-2AF2-40CF-9271-41D4E6E306E9}"/>
            </c:ext>
          </c:extLst>
        </c:ser>
        <c:dLbls>
          <c:showLegendKey val="0"/>
          <c:showVal val="0"/>
          <c:showCatName val="0"/>
          <c:showSerName val="0"/>
          <c:showPercent val="0"/>
          <c:showBubbleSize val="0"/>
        </c:dLbls>
        <c:gapWidth val="150"/>
        <c:gapDepth val="0"/>
        <c:shape val="box"/>
        <c:axId val="247429760"/>
        <c:axId val="247431552"/>
        <c:axId val="245861888"/>
      </c:bar3DChart>
      <c:catAx>
        <c:axId val="24742976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431552"/>
        <c:crosses val="autoZero"/>
        <c:auto val="1"/>
        <c:lblAlgn val="ctr"/>
        <c:lblOffset val="100"/>
        <c:noMultiLvlLbl val="0"/>
      </c:catAx>
      <c:valAx>
        <c:axId val="247431552"/>
        <c:scaling>
          <c:orientation val="minMax"/>
        </c:scaling>
        <c:delete val="0"/>
        <c:axPos val="l"/>
        <c:majorGridlines>
          <c:spPr>
            <a:ln w="9525" cap="flat" cmpd="sng" algn="ctr">
              <a:solidFill>
                <a:schemeClr val="tx1">
                  <a:lumMod val="5000"/>
                  <a:lumOff val="9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429760"/>
        <c:crosses val="autoZero"/>
        <c:crossBetween val="between"/>
      </c:valAx>
      <c:serAx>
        <c:axId val="245861888"/>
        <c:scaling>
          <c:orientation val="minMax"/>
        </c:scaling>
        <c:delete val="0"/>
        <c:axPos val="b"/>
        <c:majorTickMark val="none"/>
        <c:minorTickMark val="none"/>
        <c:tickLblPos val="nextTo"/>
        <c:spPr>
          <a:noFill/>
          <a:ln w="9525" cap="flat" cmpd="sng" algn="ctr">
            <a:solidFill>
              <a:schemeClr val="tx1">
                <a:lumMod val="15000"/>
                <a:lumOff val="8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431552"/>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1"/>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US"/>
              <a:t>Impact of Restructuring Options on Leverage</a:t>
            </a:r>
          </a:p>
        </c:rich>
      </c:tx>
      <c:overlay val="0"/>
      <c:spPr>
        <a:noFill/>
        <a:ln>
          <a:noFill/>
        </a:ln>
        <a:effectLst/>
      </c:spPr>
    </c:title>
    <c:autoTitleDeleted val="0"/>
    <c:plotArea>
      <c:layout/>
      <c:barChart>
        <c:barDir val="col"/>
        <c:grouping val="clustered"/>
        <c:varyColors val="1"/>
        <c:ser>
          <c:idx val="0"/>
          <c:order val="0"/>
          <c:tx>
            <c:strRef>
              <c:f>Restructuring_Leverage!$B$1</c:f>
              <c:strCache>
                <c:ptCount val="1"/>
                <c:pt idx="0">
                  <c:v>Leverage (%)</c:v>
                </c:pt>
              </c:strCache>
            </c:strRef>
          </c:tx>
          <c:invertIfNegative val="1"/>
          <c:dPt>
            <c:idx val="0"/>
            <c:invertIfNegative val="1"/>
            <c:bubble3D val="0"/>
            <c:spPr>
              <a:gradFill>
                <a:gsLst>
                  <a:gs pos="0">
                    <a:schemeClr val="accent1">
                      <a:shade val="58000"/>
                    </a:schemeClr>
                  </a:gs>
                  <a:gs pos="100000">
                    <a:schemeClr val="accent1">
                      <a:shade val="58000"/>
                      <a:lumMod val="84000"/>
                    </a:schemeClr>
                  </a:gs>
                </a:gsLst>
                <a:lin ang="5400000" scaled="1"/>
              </a:gradFill>
              <a:ln>
                <a:noFill/>
              </a:ln>
              <a:effectLst>
                <a:outerShdw blurRad="76200" dir="18900000" sy="23000" kx="-1200000" algn="bl" rotWithShape="0">
                  <a:prstClr val="black">
                    <a:alpha val="20000"/>
                  </a:prstClr>
                </a:outerShdw>
              </a:effectLst>
            </c:spPr>
            <c:extLst xmlns:c16r2="http://schemas.microsoft.com/office/drawing/2015/06/chart">
              <c:ext xmlns:c16="http://schemas.microsoft.com/office/drawing/2014/chart" uri="{C3380CC4-5D6E-409C-BE32-E72D297353CC}">
                <c16:uniqueId val="{00000001-6A58-4C0C-8AEB-0003ED1AD0F8}"/>
              </c:ext>
            </c:extLst>
          </c:dPt>
          <c:dPt>
            <c:idx val="1"/>
            <c:invertIfNegative val="1"/>
            <c:bubble3D val="0"/>
            <c:spPr>
              <a:gradFill>
                <a:gsLst>
                  <a:gs pos="0">
                    <a:schemeClr val="accent1">
                      <a:shade val="86000"/>
                    </a:schemeClr>
                  </a:gs>
                  <a:gs pos="100000">
                    <a:schemeClr val="accent1">
                      <a:shade val="86000"/>
                      <a:lumMod val="84000"/>
                    </a:schemeClr>
                  </a:gs>
                </a:gsLst>
                <a:lin ang="5400000" scaled="1"/>
              </a:gradFill>
              <a:ln>
                <a:noFill/>
              </a:ln>
              <a:effectLst>
                <a:outerShdw blurRad="76200" dir="18900000" sy="23000" kx="-1200000" algn="bl" rotWithShape="0">
                  <a:prstClr val="black">
                    <a:alpha val="20000"/>
                  </a:prstClr>
                </a:outerShdw>
              </a:effectLst>
            </c:spPr>
            <c:extLst xmlns:c16r2="http://schemas.microsoft.com/office/drawing/2015/06/chart">
              <c:ext xmlns:c16="http://schemas.microsoft.com/office/drawing/2014/chart" uri="{C3380CC4-5D6E-409C-BE32-E72D297353CC}">
                <c16:uniqueId val="{00000003-6A58-4C0C-8AEB-0003ED1AD0F8}"/>
              </c:ext>
            </c:extLst>
          </c:dPt>
          <c:dPt>
            <c:idx val="2"/>
            <c:invertIfNegative val="1"/>
            <c:bubble3D val="0"/>
            <c:spPr>
              <a:gradFill>
                <a:gsLst>
                  <a:gs pos="0">
                    <a:schemeClr val="accent1">
                      <a:tint val="86000"/>
                    </a:schemeClr>
                  </a:gs>
                  <a:gs pos="100000">
                    <a:schemeClr val="accent1">
                      <a:tint val="86000"/>
                      <a:lumMod val="84000"/>
                    </a:schemeClr>
                  </a:gs>
                </a:gsLst>
                <a:lin ang="5400000" scaled="1"/>
              </a:gradFill>
              <a:ln>
                <a:noFill/>
              </a:ln>
              <a:effectLst>
                <a:outerShdw blurRad="76200" dir="18900000" sy="23000" kx="-1200000" algn="bl" rotWithShape="0">
                  <a:prstClr val="black">
                    <a:alpha val="20000"/>
                  </a:prstClr>
                </a:outerShdw>
              </a:effectLst>
            </c:spPr>
            <c:extLst xmlns:c16r2="http://schemas.microsoft.com/office/drawing/2015/06/chart">
              <c:ext xmlns:c16="http://schemas.microsoft.com/office/drawing/2014/chart" uri="{C3380CC4-5D6E-409C-BE32-E72D297353CC}">
                <c16:uniqueId val="{00000005-6A58-4C0C-8AEB-0003ED1AD0F8}"/>
              </c:ext>
            </c:extLst>
          </c:dPt>
          <c:dPt>
            <c:idx val="3"/>
            <c:invertIfNegative val="1"/>
            <c:bubble3D val="0"/>
            <c:spPr>
              <a:gradFill>
                <a:gsLst>
                  <a:gs pos="0">
                    <a:schemeClr val="accent1">
                      <a:tint val="58000"/>
                    </a:schemeClr>
                  </a:gs>
                  <a:gs pos="100000">
                    <a:schemeClr val="accent1">
                      <a:tint val="58000"/>
                      <a:lumMod val="84000"/>
                    </a:schemeClr>
                  </a:gs>
                </a:gsLst>
                <a:lin ang="5400000" scaled="1"/>
              </a:gradFill>
              <a:ln>
                <a:noFill/>
              </a:ln>
              <a:effectLst>
                <a:outerShdw blurRad="76200" dir="18900000" sy="23000" kx="-1200000" algn="bl" rotWithShape="0">
                  <a:prstClr val="black">
                    <a:alpha val="20000"/>
                  </a:prstClr>
                </a:outerShdw>
              </a:effectLst>
            </c:spPr>
            <c:extLst xmlns:c16r2="http://schemas.microsoft.com/office/drawing/2015/06/chart">
              <c:ext xmlns:c16="http://schemas.microsoft.com/office/drawing/2014/chart" uri="{C3380CC4-5D6E-409C-BE32-E72D297353CC}">
                <c16:uniqueId val="{00000007-6A58-4C0C-8AEB-0003ED1AD0F8}"/>
              </c:ext>
            </c:extLst>
          </c:dPt>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errBars>
            <c:errBarType val="both"/>
            <c:errValType val="stdErr"/>
            <c:noEndCap val="0"/>
            <c:spPr>
              <a:noFill/>
              <a:ln w="9525">
                <a:solidFill>
                  <a:schemeClr val="dk1">
                    <a:lumMod val="50000"/>
                    <a:lumOff val="50000"/>
                  </a:schemeClr>
                </a:solidFill>
                <a:round/>
              </a:ln>
              <a:effectLst/>
            </c:spPr>
          </c:errBars>
          <c:cat>
            <c:strRef>
              <c:f>Restructuring_Leverage!$A$2:$A$5</c:f>
              <c:strCache>
                <c:ptCount val="4"/>
                <c:pt idx="0">
                  <c:v>Before Restructuring</c:v>
                </c:pt>
                <c:pt idx="1">
                  <c:v>After Divestiture</c:v>
                </c:pt>
                <c:pt idx="2">
                  <c:v>After Merger</c:v>
                </c:pt>
                <c:pt idx="3">
                  <c:v>After Equity Injection</c:v>
                </c:pt>
              </c:strCache>
            </c:strRef>
          </c:cat>
          <c:val>
            <c:numRef>
              <c:f>Restructuring_Leverage!$B$2:$B$5</c:f>
              <c:numCache>
                <c:formatCode>General</c:formatCode>
                <c:ptCount val="4"/>
                <c:pt idx="0">
                  <c:v>85</c:v>
                </c:pt>
                <c:pt idx="1">
                  <c:v>55</c:v>
                </c:pt>
                <c:pt idx="2">
                  <c:v>65</c:v>
                </c:pt>
                <c:pt idx="3">
                  <c:v>45</c:v>
                </c:pt>
              </c:numCache>
            </c:numRef>
          </c:val>
          <c:extLst xmlns:c16r2="http://schemas.microsoft.com/office/drawing/2015/06/chart">
            <c:ext xmlns:c16="http://schemas.microsoft.com/office/drawing/2014/chart" uri="{C3380CC4-5D6E-409C-BE32-E72D297353CC}">
              <c16:uniqueId val="{00000008-6A58-4C0C-8AEB-0003ED1AD0F8}"/>
            </c:ext>
          </c:extLst>
        </c:ser>
        <c:dLbls>
          <c:dLblPos val="inEnd"/>
          <c:showLegendKey val="0"/>
          <c:showVal val="1"/>
          <c:showCatName val="0"/>
          <c:showSerName val="0"/>
          <c:showPercent val="0"/>
          <c:showBubbleSize val="0"/>
        </c:dLbls>
        <c:gapWidth val="41"/>
        <c:axId val="247596928"/>
        <c:axId val="247607296"/>
      </c:barChart>
      <c:catAx>
        <c:axId val="247596928"/>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Restructuring Option</a:t>
                </a:r>
              </a:p>
            </c:rich>
          </c:tx>
          <c:overlay val="1"/>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247607296"/>
        <c:crosses val="autoZero"/>
        <c:auto val="1"/>
        <c:lblAlgn val="ctr"/>
        <c:lblOffset val="100"/>
        <c:noMultiLvlLbl val="1"/>
      </c:catAx>
      <c:valAx>
        <c:axId val="247607296"/>
        <c:scaling>
          <c:orientation val="minMax"/>
        </c:scaling>
        <c:delete val="1"/>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Leverage (%)</a:t>
                </a:r>
              </a:p>
            </c:rich>
          </c:tx>
          <c:overlay val="1"/>
          <c:spPr>
            <a:noFill/>
            <a:ln>
              <a:noFill/>
            </a:ln>
            <a:effectLst/>
          </c:spPr>
        </c:title>
        <c:numFmt formatCode="General" sourceLinked="1"/>
        <c:majorTickMark val="none"/>
        <c:minorTickMark val="none"/>
        <c:tickLblPos val="nextTo"/>
        <c:crossAx val="247596928"/>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1"/>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IRR Comparison</a:t>
            </a:r>
          </a:p>
        </c:rich>
      </c:tx>
      <c:overlay val="0"/>
      <c:spPr>
        <a:noFill/>
        <a:ln>
          <a:noFill/>
        </a:ln>
        <a:effectLst/>
      </c:spPr>
    </c:title>
    <c:autoTitleDeleted val="0"/>
    <c:plotArea>
      <c:layout/>
      <c:barChart>
        <c:barDir val="col"/>
        <c:grouping val="clustered"/>
        <c:varyColors val="0"/>
        <c:ser>
          <c:idx val="0"/>
          <c:order val="0"/>
          <c:tx>
            <c:strRef>
              <c:f>IRR!$B$1</c:f>
              <c:strCache>
                <c:ptCount val="1"/>
                <c:pt idx="0">
                  <c:v>IRR (%)</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IRR!$A$2:$A$4</c:f>
              <c:strCache>
                <c:ptCount val="3"/>
                <c:pt idx="0">
                  <c:v>Project A</c:v>
                </c:pt>
                <c:pt idx="1">
                  <c:v>Project B</c:v>
                </c:pt>
                <c:pt idx="2">
                  <c:v>Project C</c:v>
                </c:pt>
              </c:strCache>
            </c:strRef>
          </c:cat>
          <c:val>
            <c:numRef>
              <c:f>IRR!$B$2:$B$4</c:f>
              <c:numCache>
                <c:formatCode>General</c:formatCode>
                <c:ptCount val="3"/>
                <c:pt idx="0">
                  <c:v>12</c:v>
                </c:pt>
                <c:pt idx="1">
                  <c:v>5</c:v>
                </c:pt>
                <c:pt idx="2">
                  <c:v>15</c:v>
                </c:pt>
              </c:numCache>
            </c:numRef>
          </c:val>
          <c:extLst xmlns:c16r2="http://schemas.microsoft.com/office/drawing/2015/06/chart">
            <c:ext xmlns:c16="http://schemas.microsoft.com/office/drawing/2014/chart" uri="{C3380CC4-5D6E-409C-BE32-E72D297353CC}">
              <c16:uniqueId val="{00000000-9FB4-41A9-AEC9-BEC94104A89B}"/>
            </c:ext>
          </c:extLst>
        </c:ser>
        <c:dLbls>
          <c:dLblPos val="outEnd"/>
          <c:showLegendKey val="0"/>
          <c:showVal val="1"/>
          <c:showCatName val="0"/>
          <c:showSerName val="0"/>
          <c:showPercent val="0"/>
          <c:showBubbleSize val="0"/>
        </c:dLbls>
        <c:gapWidth val="444"/>
        <c:overlap val="-90"/>
        <c:axId val="247656448"/>
        <c:axId val="247659520"/>
      </c:barChart>
      <c:catAx>
        <c:axId val="2476564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Project</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47659520"/>
        <c:crosses val="autoZero"/>
        <c:auto val="0"/>
        <c:lblAlgn val="ctr"/>
        <c:lblOffset val="100"/>
        <c:noMultiLvlLbl val="0"/>
      </c:catAx>
      <c:valAx>
        <c:axId val="247659520"/>
        <c:scaling>
          <c:orientation val="minMax"/>
        </c:scaling>
        <c:delete val="1"/>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IRR (%)</a:t>
                </a:r>
              </a:p>
            </c:rich>
          </c:tx>
          <c:overlay val="0"/>
          <c:spPr>
            <a:noFill/>
            <a:ln>
              <a:noFill/>
            </a:ln>
            <a:effectLst/>
          </c:spPr>
        </c:title>
        <c:numFmt formatCode="General" sourceLinked="1"/>
        <c:majorTickMark val="none"/>
        <c:minorTickMark val="none"/>
        <c:tickLblPos val="nextTo"/>
        <c:crossAx val="247656448"/>
        <c:crosses val="autoZero"/>
        <c:crossBetween val="between"/>
      </c:valAx>
      <c:dTable>
        <c:showHorzBorder val="1"/>
        <c:showVertBorder val="1"/>
        <c:showOutline val="1"/>
        <c:showKeys val="1"/>
        <c:spPr>
          <a:noFill/>
          <a:ln w="9525">
            <a:solidFill>
              <a:schemeClr val="tx1">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Profitability Index (PI) Comparison</a:t>
            </a:r>
          </a:p>
        </c:rich>
      </c:tx>
      <c:overlay val="0"/>
      <c:spPr>
        <a:noFill/>
        <a:ln>
          <a:noFill/>
        </a:ln>
        <a:effectLst/>
      </c:spPr>
    </c:title>
    <c:autoTitleDeleted val="0"/>
    <c:plotArea>
      <c:layout/>
      <c:barChart>
        <c:barDir val="col"/>
        <c:grouping val="clustered"/>
        <c:varyColors val="0"/>
        <c:ser>
          <c:idx val="0"/>
          <c:order val="0"/>
          <c:tx>
            <c:strRef>
              <c:f>PI!$B$1</c:f>
              <c:strCache>
                <c:ptCount val="1"/>
                <c:pt idx="0">
                  <c:v>PI</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errBars>
            <c:errBarType val="both"/>
            <c:errValType val="stdErr"/>
            <c:noEndCap val="0"/>
            <c:spPr>
              <a:noFill/>
              <a:ln w="9525" cap="flat" cmpd="sng" algn="ctr">
                <a:solidFill>
                  <a:schemeClr val="tx1">
                    <a:lumMod val="65000"/>
                    <a:lumOff val="35000"/>
                  </a:schemeClr>
                </a:solidFill>
                <a:round/>
              </a:ln>
              <a:effectLst/>
            </c:spPr>
          </c:errBars>
          <c:cat>
            <c:strRef>
              <c:f>PI!$A$2:$A$4</c:f>
              <c:strCache>
                <c:ptCount val="3"/>
                <c:pt idx="0">
                  <c:v>Project A</c:v>
                </c:pt>
                <c:pt idx="1">
                  <c:v>Project B</c:v>
                </c:pt>
                <c:pt idx="2">
                  <c:v>Project C</c:v>
                </c:pt>
              </c:strCache>
            </c:strRef>
          </c:cat>
          <c:val>
            <c:numRef>
              <c:f>PI!$B$2:$B$4</c:f>
              <c:numCache>
                <c:formatCode>General</c:formatCode>
                <c:ptCount val="3"/>
                <c:pt idx="0">
                  <c:v>1.03</c:v>
                </c:pt>
                <c:pt idx="1">
                  <c:v>0.76</c:v>
                </c:pt>
                <c:pt idx="2">
                  <c:v>1.08</c:v>
                </c:pt>
              </c:numCache>
            </c:numRef>
          </c:val>
          <c:extLst xmlns:c16r2="http://schemas.microsoft.com/office/drawing/2015/06/chart">
            <c:ext xmlns:c16="http://schemas.microsoft.com/office/drawing/2014/chart" uri="{C3380CC4-5D6E-409C-BE32-E72D297353CC}">
              <c16:uniqueId val="{00000000-889C-4F25-A2CD-50A9A19AAB34}"/>
            </c:ext>
          </c:extLst>
        </c:ser>
        <c:dLbls>
          <c:dLblPos val="outEnd"/>
          <c:showLegendKey val="0"/>
          <c:showVal val="1"/>
          <c:showCatName val="0"/>
          <c:showSerName val="0"/>
          <c:showPercent val="0"/>
          <c:showBubbleSize val="0"/>
        </c:dLbls>
        <c:gapWidth val="100"/>
        <c:overlap val="-24"/>
        <c:axId val="247773440"/>
        <c:axId val="247783808"/>
      </c:barChart>
      <c:catAx>
        <c:axId val="247773440"/>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Project</a:t>
                </a:r>
              </a:p>
            </c:rich>
          </c:tx>
          <c:overlay val="0"/>
          <c:spPr>
            <a:noFill/>
            <a:ln>
              <a:noFill/>
            </a:ln>
            <a:effectLst/>
          </c:sp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783808"/>
        <c:crosses val="autoZero"/>
        <c:auto val="0"/>
        <c:lblAlgn val="ctr"/>
        <c:lblOffset val="100"/>
        <c:noMultiLvlLbl val="0"/>
      </c:catAx>
      <c:valAx>
        <c:axId val="247783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a:t>PI</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777344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tx1"/>
              </a:solidFill>
              <a:latin typeface="+mn-lt"/>
              <a:ea typeface="+mn-ea"/>
              <a:cs typeface="+mn-cs"/>
            </a:defRPr>
          </a:pPr>
          <a:endParaRPr lang="en-US"/>
        </a:p>
      </c:txPr>
    </c:title>
    <c:autoTitleDeleted val="0"/>
    <c:plotArea>
      <c:layout/>
      <c:barChart>
        <c:barDir val="col"/>
        <c:grouping val="clustered"/>
        <c:varyColors val="0"/>
        <c:ser>
          <c:idx val="0"/>
          <c:order val="0"/>
          <c:tx>
            <c:strRef>
              <c:f>NPV!$B$1</c:f>
              <c:strCache>
                <c:ptCount val="1"/>
                <c:pt idx="0">
                  <c:v>NPV (£m)</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shade val="95000"/>
                          <a:satMod val="105000"/>
                        </a:schemeClr>
                      </a:solidFill>
                      <a:prstDash val="solid"/>
                      <a:round/>
                    </a:ln>
                    <a:effectLst/>
                  </c:spPr>
                </c15:leaderLines>
              </c:ext>
            </c:extLst>
          </c:dLbls>
          <c:trendline>
            <c:spPr>
              <a:ln w="9525" cap="rnd" cmpd="sng" algn="ctr">
                <a:solidFill>
                  <a:schemeClr val="tx1">
                    <a:shade val="95000"/>
                    <a:satMod val="105000"/>
                  </a:schemeClr>
                </a:solidFill>
                <a:prstDash val="solid"/>
                <a:round/>
              </a:ln>
              <a:effectLst/>
            </c:spPr>
            <c:trendlineType val="linear"/>
            <c:dispRSqr val="0"/>
            <c:dispEq val="0"/>
          </c:trendline>
          <c:cat>
            <c:strRef>
              <c:f>NPV!$A$2:$A$4</c:f>
              <c:strCache>
                <c:ptCount val="3"/>
                <c:pt idx="0">
                  <c:v>Project A</c:v>
                </c:pt>
                <c:pt idx="1">
                  <c:v>Project B</c:v>
                </c:pt>
                <c:pt idx="2">
                  <c:v>Project C</c:v>
                </c:pt>
              </c:strCache>
            </c:strRef>
          </c:cat>
          <c:val>
            <c:numRef>
              <c:f>NPV!$B$2:$B$4</c:f>
              <c:numCache>
                <c:formatCode>General</c:formatCode>
                <c:ptCount val="3"/>
                <c:pt idx="0">
                  <c:v>1.33</c:v>
                </c:pt>
                <c:pt idx="1">
                  <c:v>-7.26</c:v>
                </c:pt>
                <c:pt idx="2">
                  <c:v>4.24</c:v>
                </c:pt>
              </c:numCache>
            </c:numRef>
          </c:val>
          <c:extLst xmlns:c16r2="http://schemas.microsoft.com/office/drawing/2015/06/chart">
            <c:ext xmlns:c16="http://schemas.microsoft.com/office/drawing/2014/chart" uri="{C3380CC4-5D6E-409C-BE32-E72D297353CC}">
              <c16:uniqueId val="{00000001-36FD-43E8-A4CD-D341FF9B19A4}"/>
            </c:ext>
          </c:extLst>
        </c:ser>
        <c:dLbls>
          <c:dLblPos val="outEnd"/>
          <c:showLegendKey val="0"/>
          <c:showVal val="1"/>
          <c:showCatName val="0"/>
          <c:showSerName val="0"/>
          <c:showPercent val="0"/>
          <c:showBubbleSize val="0"/>
        </c:dLbls>
        <c:gapWidth val="150"/>
        <c:axId val="247820288"/>
        <c:axId val="247821824"/>
      </c:barChart>
      <c:catAx>
        <c:axId val="247820288"/>
        <c:scaling>
          <c:orientation val="minMax"/>
        </c:scaling>
        <c:delete val="0"/>
        <c:axPos val="b"/>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247821824"/>
        <c:crosses val="autoZero"/>
        <c:auto val="0"/>
        <c:lblAlgn val="ctr"/>
        <c:lblOffset val="100"/>
        <c:noMultiLvlLbl val="0"/>
      </c:catAx>
      <c:valAx>
        <c:axId val="247821824"/>
        <c:scaling>
          <c:orientation val="minMax"/>
        </c:scaling>
        <c:delete val="0"/>
        <c:axPos val="l"/>
        <c:majorGridlines>
          <c:spPr>
            <a:ln w="9525" cap="flat" cmpd="sng" algn="ctr">
              <a:solidFill>
                <a:schemeClr val="tx1">
                  <a:tint val="75000"/>
                  <a:shade val="95000"/>
                  <a:satMod val="105000"/>
                </a:schemeClr>
              </a:solidFill>
              <a:prstDash val="solid"/>
              <a:round/>
            </a:ln>
            <a:effectLst/>
          </c:spPr>
        </c:majorGridlines>
        <c:numFmt formatCode="General" sourceLinked="1"/>
        <c:majorTickMark val="out"/>
        <c:minorTickMark val="none"/>
        <c:tickLblPos val="nextTo"/>
        <c:spPr>
          <a:noFill/>
          <a:ln w="9525" cap="flat" cmpd="sng" algn="ctr">
            <a:solidFill>
              <a:schemeClr val="tx1">
                <a:tint val="75000"/>
                <a:shade val="95000"/>
                <a:satMod val="105000"/>
              </a:schemeClr>
            </a:solidFill>
            <a:prstDash val="solid"/>
            <a:round/>
          </a:ln>
          <a:effectLst/>
        </c:spPr>
        <c:txPr>
          <a:bodyPr rot="-6000000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crossAx val="247820288"/>
        <c:crosses val="autoZero"/>
        <c:crossBetween val="between"/>
      </c:valAx>
      <c:dTable>
        <c:showHorzBorder val="1"/>
        <c:showVertBorder val="1"/>
        <c:showOutline val="1"/>
        <c:showKeys val="1"/>
        <c:spPr>
          <a:noFill/>
          <a:ln w="9525" cap="flat" cmpd="sng" algn="ctr">
            <a:solidFill>
              <a:schemeClr val="tx1">
                <a:tint val="75000"/>
                <a:shade val="95000"/>
                <a:satMod val="105000"/>
              </a:schemeClr>
            </a:solidFill>
            <a:prstDash val="solid"/>
            <a:round/>
          </a:ln>
          <a:effectLst/>
        </c:spPr>
        <c:txPr>
          <a:bodyPr rot="0" spcFirstLastPara="1" vertOverflow="ellipsis" vert="horz" wrap="square" anchor="ctr" anchorCtr="1"/>
          <a:lstStyle/>
          <a:p>
            <a:pPr rtl="0">
              <a:defRPr sz="1000" b="0" i="0" u="none" strike="noStrike" kern="1200" baseline="0">
                <a:solidFill>
                  <a:schemeClr val="tx1"/>
                </a:solidFill>
                <a:latin typeface="+mn-lt"/>
                <a:ea typeface="+mn-ea"/>
                <a:cs typeface="+mn-cs"/>
              </a:defRPr>
            </a:pPr>
            <a:endParaRPr lang="en-US"/>
          </a:p>
        </c:txPr>
      </c:dTable>
      <c:spPr>
        <a:solidFill>
          <a:schemeClr val="bg1"/>
        </a:solidFill>
        <a:ln>
          <a:noFill/>
        </a:ln>
        <a:effectLst/>
      </c:spPr>
    </c:plotArea>
    <c:legend>
      <c:legendPos val="r"/>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mn-lt"/>
              <a:ea typeface="+mn-ea"/>
              <a:cs typeface="+mn-cs"/>
            </a:defRPr>
          </a:pPr>
          <a:endParaRPr lang="en-US"/>
        </a:p>
      </c:txPr>
    </c:legend>
    <c:plotVisOnly val="1"/>
    <c:dispBlanksAs val="gap"/>
    <c:showDLblsOverMax val="0"/>
  </c:chart>
  <c:spPr>
    <a:solidFill>
      <a:schemeClr val="bg1"/>
    </a:solidFill>
    <a:ln w="12700" cap="flat" cmpd="sng" algn="ctr">
      <a:solidFill>
        <a:schemeClr val="tx1">
          <a:tint val="75000"/>
        </a:schemeClr>
      </a:solidFill>
      <a:prstDash val="solid"/>
      <a:round/>
    </a:ln>
    <a:effectLst/>
  </c:spPr>
  <c:txPr>
    <a:bodyPr/>
    <a:lstStyle/>
    <a:p>
      <a:pPr>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a:t>Project Cash Flow Profiles (Years 1–5)</a:t>
            </a:r>
          </a:p>
        </c:rich>
      </c:tx>
      <c:overlay val="1"/>
      <c:spPr>
        <a:noFill/>
        <a:ln>
          <a:noFill/>
        </a:ln>
        <a:effectLst/>
      </c:spPr>
    </c:title>
    <c:autoTitleDeleted val="0"/>
    <c:plotArea>
      <c:layout/>
      <c:lineChart>
        <c:grouping val="standard"/>
        <c:varyColors val="0"/>
        <c:ser>
          <c:idx val="0"/>
          <c:order val="0"/>
          <c:tx>
            <c:strRef>
              <c:f>Cash_Flows!$B$1</c:f>
              <c:strCache>
                <c:ptCount val="1"/>
                <c:pt idx="0">
                  <c:v>Project A</c:v>
                </c:pt>
              </c:strCache>
            </c:strRef>
          </c:tx>
          <c:spPr>
            <a:ln w="31750" cap="rnd">
              <a:solidFill>
                <a:schemeClr val="accent2"/>
              </a:solidFill>
              <a:round/>
            </a:ln>
            <a:effectLst>
              <a:outerShdw blurRad="40000" dist="23000" dir="5400000" rotWithShape="0">
                <a:srgbClr val="000000">
                  <a:alpha val="35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errBars>
            <c:errDir val="y"/>
            <c:errBarType val="both"/>
            <c:errValType val="stdErr"/>
            <c:noEndCap val="0"/>
            <c:spPr>
              <a:noFill/>
              <a:ln w="9525">
                <a:solidFill>
                  <a:schemeClr val="tx2">
                    <a:lumMod val="75000"/>
                  </a:schemeClr>
                </a:solidFill>
                <a:round/>
              </a:ln>
              <a:effectLst/>
            </c:spPr>
          </c:errBars>
          <c:cat>
            <c:strRef>
              <c:f>Cash_Flows!$A$2:$A$6</c:f>
              <c:strCache>
                <c:ptCount val="5"/>
                <c:pt idx="0">
                  <c:v>Year 1</c:v>
                </c:pt>
                <c:pt idx="1">
                  <c:v>Year 2</c:v>
                </c:pt>
                <c:pt idx="2">
                  <c:v>Year 3</c:v>
                </c:pt>
                <c:pt idx="3">
                  <c:v>Year 4</c:v>
                </c:pt>
                <c:pt idx="4">
                  <c:v>Year 5</c:v>
                </c:pt>
              </c:strCache>
            </c:strRef>
          </c:cat>
          <c:val>
            <c:numRef>
              <c:f>Cash_Flows!$B$2:$B$6</c:f>
              <c:numCache>
                <c:formatCode>General</c:formatCode>
                <c:ptCount val="5"/>
                <c:pt idx="0">
                  <c:v>10</c:v>
                </c:pt>
                <c:pt idx="1">
                  <c:v>12</c:v>
                </c:pt>
                <c:pt idx="2">
                  <c:v>14</c:v>
                </c:pt>
                <c:pt idx="3">
                  <c:v>10</c:v>
                </c:pt>
                <c:pt idx="4">
                  <c:v>8</c:v>
                </c:pt>
              </c:numCache>
            </c:numRef>
          </c:val>
          <c:smooth val="0"/>
          <c:extLst xmlns:c16r2="http://schemas.microsoft.com/office/drawing/2015/06/chart">
            <c:ext xmlns:c16="http://schemas.microsoft.com/office/drawing/2014/chart" uri="{C3380CC4-5D6E-409C-BE32-E72D297353CC}">
              <c16:uniqueId val="{00000000-15D6-4799-9AC6-4FD2BA9BFBD9}"/>
            </c:ext>
          </c:extLst>
        </c:ser>
        <c:ser>
          <c:idx val="1"/>
          <c:order val="1"/>
          <c:tx>
            <c:strRef>
              <c:f>Cash_Flows!$C$1</c:f>
              <c:strCache>
                <c:ptCount val="1"/>
                <c:pt idx="0">
                  <c:v>Project B</c:v>
                </c:pt>
              </c:strCache>
            </c:strRef>
          </c:tx>
          <c:spPr>
            <a:ln w="31750" cap="rnd">
              <a:solidFill>
                <a:schemeClr val="accent4"/>
              </a:solidFill>
              <a:round/>
            </a:ln>
            <a:effectLst>
              <a:outerShdw blurRad="40000" dist="23000" dir="5400000" rotWithShape="0">
                <a:srgbClr val="000000">
                  <a:alpha val="35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errBars>
            <c:errDir val="y"/>
            <c:errBarType val="both"/>
            <c:errValType val="stdErr"/>
            <c:noEndCap val="0"/>
            <c:spPr>
              <a:noFill/>
              <a:ln w="9525">
                <a:solidFill>
                  <a:schemeClr val="tx2">
                    <a:lumMod val="75000"/>
                  </a:schemeClr>
                </a:solidFill>
                <a:round/>
              </a:ln>
              <a:effectLst/>
            </c:spPr>
          </c:errBars>
          <c:cat>
            <c:strRef>
              <c:f>Cash_Flows!$A$2:$A$6</c:f>
              <c:strCache>
                <c:ptCount val="5"/>
                <c:pt idx="0">
                  <c:v>Year 1</c:v>
                </c:pt>
                <c:pt idx="1">
                  <c:v>Year 2</c:v>
                </c:pt>
                <c:pt idx="2">
                  <c:v>Year 3</c:v>
                </c:pt>
                <c:pt idx="3">
                  <c:v>Year 4</c:v>
                </c:pt>
                <c:pt idx="4">
                  <c:v>Year 5</c:v>
                </c:pt>
              </c:strCache>
            </c:strRef>
          </c:cat>
          <c:val>
            <c:numRef>
              <c:f>Cash_Flows!$C$2:$C$6</c:f>
              <c:numCache>
                <c:formatCode>General</c:formatCode>
                <c:ptCount val="5"/>
                <c:pt idx="0">
                  <c:v>6</c:v>
                </c:pt>
                <c:pt idx="1">
                  <c:v>6</c:v>
                </c:pt>
                <c:pt idx="2">
                  <c:v>6</c:v>
                </c:pt>
                <c:pt idx="3">
                  <c:v>6</c:v>
                </c:pt>
                <c:pt idx="4">
                  <c:v>6</c:v>
                </c:pt>
              </c:numCache>
            </c:numRef>
          </c:val>
          <c:smooth val="0"/>
          <c:extLst xmlns:c16r2="http://schemas.microsoft.com/office/drawing/2015/06/chart">
            <c:ext xmlns:c16="http://schemas.microsoft.com/office/drawing/2014/chart" uri="{C3380CC4-5D6E-409C-BE32-E72D297353CC}">
              <c16:uniqueId val="{00000001-15D6-4799-9AC6-4FD2BA9BFBD9}"/>
            </c:ext>
          </c:extLst>
        </c:ser>
        <c:ser>
          <c:idx val="2"/>
          <c:order val="2"/>
          <c:tx>
            <c:strRef>
              <c:f>Cash_Flows!$D$1</c:f>
              <c:strCache>
                <c:ptCount val="1"/>
                <c:pt idx="0">
                  <c:v>Project C</c:v>
                </c:pt>
              </c:strCache>
            </c:strRef>
          </c:tx>
          <c:spPr>
            <a:ln w="31750" cap="rnd">
              <a:solidFill>
                <a:schemeClr val="accent6"/>
              </a:solidFill>
              <a:round/>
            </a:ln>
            <a:effectLst>
              <a:outerShdw blurRad="40000" dist="23000" dir="5400000" rotWithShape="0">
                <a:srgbClr val="000000">
                  <a:alpha val="35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ct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errBars>
            <c:errDir val="y"/>
            <c:errBarType val="both"/>
            <c:errValType val="stdErr"/>
            <c:noEndCap val="0"/>
            <c:spPr>
              <a:noFill/>
              <a:ln w="9525">
                <a:solidFill>
                  <a:schemeClr val="tx2">
                    <a:lumMod val="75000"/>
                  </a:schemeClr>
                </a:solidFill>
                <a:round/>
              </a:ln>
              <a:effectLst/>
            </c:spPr>
          </c:errBars>
          <c:cat>
            <c:strRef>
              <c:f>Cash_Flows!$A$2:$A$6</c:f>
              <c:strCache>
                <c:ptCount val="5"/>
                <c:pt idx="0">
                  <c:v>Year 1</c:v>
                </c:pt>
                <c:pt idx="1">
                  <c:v>Year 2</c:v>
                </c:pt>
                <c:pt idx="2">
                  <c:v>Year 3</c:v>
                </c:pt>
                <c:pt idx="3">
                  <c:v>Year 4</c:v>
                </c:pt>
                <c:pt idx="4">
                  <c:v>Year 5</c:v>
                </c:pt>
              </c:strCache>
            </c:strRef>
          </c:cat>
          <c:val>
            <c:numRef>
              <c:f>Cash_Flows!$D$2:$D$6</c:f>
              <c:numCache>
                <c:formatCode>General</c:formatCode>
                <c:ptCount val="5"/>
                <c:pt idx="0">
                  <c:v>5</c:v>
                </c:pt>
                <c:pt idx="1">
                  <c:v>10</c:v>
                </c:pt>
                <c:pt idx="2">
                  <c:v>20</c:v>
                </c:pt>
                <c:pt idx="3">
                  <c:v>25</c:v>
                </c:pt>
                <c:pt idx="4">
                  <c:v>15</c:v>
                </c:pt>
              </c:numCache>
            </c:numRef>
          </c:val>
          <c:smooth val="0"/>
          <c:extLst xmlns:c16r2="http://schemas.microsoft.com/office/drawing/2015/06/chart">
            <c:ext xmlns:c16="http://schemas.microsoft.com/office/drawing/2014/chart" uri="{C3380CC4-5D6E-409C-BE32-E72D297353CC}">
              <c16:uniqueId val="{00000002-15D6-4799-9AC6-4FD2BA9BFBD9}"/>
            </c:ext>
          </c:extLst>
        </c:ser>
        <c:dLbls>
          <c:dLblPos val="ctr"/>
          <c:showLegendKey val="0"/>
          <c:showVal val="1"/>
          <c:showCatName val="0"/>
          <c:showSerName val="0"/>
          <c:showPercent val="0"/>
          <c:showBubbleSize val="0"/>
        </c:dLbls>
        <c:marker val="1"/>
        <c:smooth val="0"/>
        <c:axId val="248000512"/>
        <c:axId val="248002432"/>
      </c:lineChart>
      <c:catAx>
        <c:axId val="248000512"/>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Year</a:t>
                </a:r>
              </a:p>
            </c:rich>
          </c:tx>
          <c:overlay val="0"/>
          <c:spPr>
            <a:noFill/>
            <a:ln>
              <a:noFill/>
            </a:ln>
            <a:effectLst/>
          </c:spPr>
        </c:title>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48002432"/>
        <c:crosses val="autoZero"/>
        <c:auto val="0"/>
        <c:lblAlgn val="ctr"/>
        <c:lblOffset val="100"/>
        <c:noMultiLvlLbl val="0"/>
      </c:catAx>
      <c:valAx>
        <c:axId val="248002432"/>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Cash Inflows (£m)</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248000512"/>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9D1DCA-D21B-472F-BAA1-0329B1CB0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39</Pages>
  <Words>6797</Words>
  <Characters>38743</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45450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dc:creator>
  <cp:lastModifiedBy>Windows User</cp:lastModifiedBy>
  <cp:revision>2</cp:revision>
  <dcterms:created xsi:type="dcterms:W3CDTF">2025-12-20T22:31:00Z</dcterms:created>
  <dcterms:modified xsi:type="dcterms:W3CDTF">2025-12-20T22:31:00Z</dcterms:modified>
</cp:coreProperties>
</file>