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91F88" w14:textId="41C78AF9" w:rsidR="001A7DE8" w:rsidRDefault="001A7DE8" w:rsidP="001A7DE8">
      <w:pPr>
        <w:spacing w:after="0" w:line="360" w:lineRule="auto"/>
        <w:jc w:val="center"/>
        <w:rPr>
          <w:rFonts w:ascii="Times New Roman" w:hAnsi="Times New Roman" w:cs="Times New Roman"/>
          <w:sz w:val="28"/>
          <w:szCs w:val="24"/>
        </w:rPr>
      </w:pPr>
      <w:r w:rsidRPr="006363D3">
        <w:rPr>
          <w:rFonts w:ascii="Times New Roman" w:hAnsi="Times New Roman" w:cs="Times New Roman"/>
          <w:sz w:val="28"/>
          <w:szCs w:val="24"/>
        </w:rPr>
        <w:t>Scholar</w:t>
      </w:r>
      <w:r w:rsidR="005306D8">
        <w:rPr>
          <w:rFonts w:ascii="Times New Roman" w:hAnsi="Times New Roman" w:cs="Times New Roman"/>
          <w:sz w:val="28"/>
          <w:szCs w:val="24"/>
        </w:rPr>
        <w:t>ly</w:t>
      </w:r>
      <w:r w:rsidRPr="006363D3">
        <w:rPr>
          <w:rFonts w:ascii="Times New Roman" w:hAnsi="Times New Roman" w:cs="Times New Roman"/>
          <w:sz w:val="28"/>
          <w:szCs w:val="24"/>
        </w:rPr>
        <w:t xml:space="preserve"> reply to ‘Image and Authority in the Coinage of Augustus’</w:t>
      </w:r>
    </w:p>
    <w:p w14:paraId="5A6C1C29" w14:textId="77777777" w:rsidR="001A7DE8" w:rsidRPr="001A7DE8" w:rsidRDefault="001A7DE8" w:rsidP="001A7DE8">
      <w:pPr>
        <w:spacing w:after="0" w:line="360" w:lineRule="auto"/>
        <w:rPr>
          <w:rFonts w:ascii="Times New Roman" w:hAnsi="Times New Roman" w:cs="Times New Roman"/>
          <w:sz w:val="24"/>
          <w:szCs w:val="24"/>
        </w:rPr>
      </w:pPr>
    </w:p>
    <w:p w14:paraId="7CBAF538" w14:textId="5F509ED8" w:rsidR="00710BF1" w:rsidRPr="00710BF1" w:rsidRDefault="00710BF1"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Introduction</w:t>
      </w:r>
    </w:p>
    <w:p w14:paraId="6F7ED7E3" w14:textId="27BB605A"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Andrew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1986 paper on the ‘Image and Authority in the coinage of Augustus’ appears to examine and expand on the already established scholarship into numismatics of the Roman era by Crawford, Sutherland and Burnett. Wallace-Hadrill presents a new way of thinking with regards to the obverse and reverse of coins, fundamentally believing that the whole coin must be evaluated and not individual sides. This is most prevalent in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initial passages, where he discusses numismatics as a whole, not specifically the Augustan age. A significant proportion of the article is devoted to the transition from republic to imperial periods, with imperial symbolism and language becoming normality in the coinage of the imperial period.</w:t>
      </w:r>
    </w:p>
    <w:p w14:paraId="702D0F1B" w14:textId="77777777"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    </w:t>
      </w:r>
    </w:p>
    <w:p w14:paraId="0BA97187" w14:textId="1609D5FF" w:rsidR="00965D1C" w:rsidRPr="00710BF1" w:rsidRDefault="00965D1C"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The Function of the Image.</w:t>
      </w:r>
    </w:p>
    <w:p w14:paraId="7E74FF1D" w14:textId="5B2EF060"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Wallace-Hadrill initially discredits Crawford’s second thesis,</w:t>
      </w:r>
      <w:r w:rsidR="005306D8">
        <w:rPr>
          <w:rFonts w:ascii="Times New Roman" w:hAnsi="Times New Roman" w:cs="Times New Roman"/>
          <w:sz w:val="24"/>
          <w:szCs w:val="24"/>
        </w:rPr>
        <w:t xml:space="preserve"> where Crawford argues that the </w:t>
      </w:r>
      <w:r w:rsidRPr="001A7DE8">
        <w:rPr>
          <w:rFonts w:ascii="Times New Roman" w:hAnsi="Times New Roman" w:cs="Times New Roman"/>
          <w:sz w:val="24"/>
          <w:szCs w:val="24"/>
        </w:rPr>
        <w:t xml:space="preserve">head of the coin is a far superior asset for the Emperor to control. This is because the portrait of the emperor on the obverse of the coin holds the utmost mark of authority. Crawford dismisses the importance of the reverse as holding any images of authority. Rather it is only a carrier of persuasion to the audience. Crawford’s argument then alters when he states that the coin not only holds authority, but it also envelopes persuasion. This is due to the connotations of the imperial image, the importance it has and its effect on the public. The image of the emperor on coinage presents the emperor as a nearby authority and not a far distant ruler. Where the disagreement begins between Wallace-Hadrill and Crawford is that Crawford’s 1983 publication ‘Roman Imperial Coin Types and the Formation of public Opinion’, </w:t>
      </w:r>
      <w:r w:rsidR="005634C2">
        <w:rPr>
          <w:rFonts w:ascii="Times New Roman" w:hAnsi="Times New Roman" w:cs="Times New Roman"/>
          <w:sz w:val="24"/>
          <w:szCs w:val="24"/>
        </w:rPr>
        <w:t>summarises</w:t>
      </w:r>
      <w:r w:rsidRPr="001A7DE8">
        <w:rPr>
          <w:rFonts w:ascii="Times New Roman" w:hAnsi="Times New Roman" w:cs="Times New Roman"/>
          <w:sz w:val="24"/>
          <w:szCs w:val="24"/>
        </w:rPr>
        <w:t xml:space="preserve"> his argument suggesting the reverse is redundant in meaning and purely decorative in nature. Wallace-Hadrill views this argument as imbalanced arguing both faces must hold importance to the creator and the receiver and therefore the whole coin must be evaluated, the obverse is not the </w:t>
      </w:r>
      <w:r w:rsidR="001A7DE8">
        <w:rPr>
          <w:rFonts w:ascii="Times New Roman" w:hAnsi="Times New Roman" w:cs="Times New Roman"/>
          <w:sz w:val="24"/>
          <w:szCs w:val="24"/>
        </w:rPr>
        <w:t>only important part of coinage.</w:t>
      </w:r>
      <w:r w:rsidR="001A7DE8" w:rsidRPr="001A7DE8">
        <w:rPr>
          <w:rStyle w:val="FootnoteReference"/>
          <w:rFonts w:ascii="Times New Roman" w:hAnsi="Times New Roman" w:cs="Times New Roman"/>
          <w:sz w:val="24"/>
          <w:szCs w:val="24"/>
        </w:rPr>
        <w:t xml:space="preserve"> </w:t>
      </w:r>
      <w:r w:rsidR="001A7DE8">
        <w:rPr>
          <w:rStyle w:val="FootnoteReference"/>
          <w:rFonts w:ascii="Times New Roman" w:hAnsi="Times New Roman" w:cs="Times New Roman"/>
          <w:sz w:val="24"/>
          <w:szCs w:val="24"/>
        </w:rPr>
        <w:footnoteReference w:id="1"/>
      </w:r>
    </w:p>
    <w:p w14:paraId="696BE8C7" w14:textId="77777777" w:rsidR="00965D1C" w:rsidRPr="001A7DE8" w:rsidRDefault="00965D1C" w:rsidP="001A7DE8">
      <w:pPr>
        <w:spacing w:after="0" w:line="360" w:lineRule="auto"/>
        <w:rPr>
          <w:rFonts w:ascii="Times New Roman" w:hAnsi="Times New Roman" w:cs="Times New Roman"/>
          <w:sz w:val="24"/>
          <w:szCs w:val="24"/>
        </w:rPr>
      </w:pPr>
    </w:p>
    <w:p w14:paraId="6BCE1433" w14:textId="318634BC"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Wallace-Hadrill also questions </w:t>
      </w:r>
      <w:proofErr w:type="spellStart"/>
      <w:r w:rsidRPr="001A7DE8">
        <w:rPr>
          <w:rFonts w:ascii="Times New Roman" w:hAnsi="Times New Roman" w:cs="Times New Roman"/>
          <w:sz w:val="24"/>
          <w:szCs w:val="24"/>
        </w:rPr>
        <w:t>Levick’s</w:t>
      </w:r>
      <w:proofErr w:type="spellEnd"/>
      <w:r w:rsidRPr="001A7DE8">
        <w:rPr>
          <w:rFonts w:ascii="Times New Roman" w:hAnsi="Times New Roman" w:cs="Times New Roman"/>
          <w:sz w:val="24"/>
          <w:szCs w:val="24"/>
        </w:rPr>
        <w:t xml:space="preserve"> argument in her 1982 publication, questioning who created and chose the images for Augustus’ portrait, </w:t>
      </w:r>
      <w:proofErr w:type="spellStart"/>
      <w:r w:rsidRPr="001A7DE8">
        <w:rPr>
          <w:rFonts w:ascii="Times New Roman" w:hAnsi="Times New Roman" w:cs="Times New Roman"/>
          <w:sz w:val="24"/>
          <w:szCs w:val="24"/>
        </w:rPr>
        <w:t>Levick</w:t>
      </w:r>
      <w:proofErr w:type="spellEnd"/>
      <w:r w:rsidRPr="001A7DE8">
        <w:rPr>
          <w:rFonts w:ascii="Times New Roman" w:hAnsi="Times New Roman" w:cs="Times New Roman"/>
          <w:sz w:val="24"/>
          <w:szCs w:val="24"/>
        </w:rPr>
        <w:t xml:space="preserve"> favoured the idea that the image was chosen by the Emperor's subjects and not the Emperor himself. </w:t>
      </w:r>
      <w:proofErr w:type="spellStart"/>
      <w:r w:rsidRPr="001A7DE8">
        <w:rPr>
          <w:rFonts w:ascii="Times New Roman" w:hAnsi="Times New Roman" w:cs="Times New Roman"/>
          <w:sz w:val="24"/>
          <w:szCs w:val="24"/>
        </w:rPr>
        <w:t>Levick</w:t>
      </w:r>
      <w:proofErr w:type="spellEnd"/>
      <w:r w:rsidRPr="001A7DE8">
        <w:rPr>
          <w:rFonts w:ascii="Times New Roman" w:hAnsi="Times New Roman" w:cs="Times New Roman"/>
          <w:sz w:val="24"/>
          <w:szCs w:val="24"/>
        </w:rPr>
        <w:t xml:space="preserve"> argued that </w:t>
      </w:r>
      <w:r w:rsidRPr="001A7DE8">
        <w:rPr>
          <w:rFonts w:ascii="Times New Roman" w:hAnsi="Times New Roman" w:cs="Times New Roman"/>
          <w:sz w:val="24"/>
          <w:szCs w:val="24"/>
        </w:rPr>
        <w:lastRenderedPageBreak/>
        <w:t xml:space="preserve">placing the image on the coin was a way to offer respect to the Emperor and his position through the choice of image. Wallace-Hadrill challenged this by arguing the subjects did indeed choose the imagery but it was not out of respect for the Emperor, but rather, to display the Emperor in imagery they thought appropriate for the audience, it is essentially persuasive and not respectful. This view has been praised and supported by </w:t>
      </w:r>
      <w:proofErr w:type="spellStart"/>
      <w:r w:rsidRPr="001A7DE8">
        <w:rPr>
          <w:rFonts w:ascii="Times New Roman" w:hAnsi="Times New Roman" w:cs="Times New Roman"/>
          <w:sz w:val="24"/>
          <w:szCs w:val="24"/>
        </w:rPr>
        <w:t>Kidson</w:t>
      </w:r>
      <w:proofErr w:type="spellEnd"/>
      <w:r w:rsidRPr="001A7DE8">
        <w:rPr>
          <w:rFonts w:ascii="Times New Roman" w:hAnsi="Times New Roman" w:cs="Times New Roman"/>
          <w:sz w:val="24"/>
          <w:szCs w:val="24"/>
        </w:rPr>
        <w:t xml:space="preserve"> who believes Wallace-Hadrill had used very persuasive evidence to support his argument.</w:t>
      </w:r>
      <w:r w:rsidR="001A7DE8" w:rsidRPr="001A7DE8">
        <w:rPr>
          <w:rStyle w:val="FootnoteReference"/>
          <w:rFonts w:ascii="Times New Roman" w:hAnsi="Times New Roman" w:cs="Times New Roman"/>
          <w:sz w:val="24"/>
          <w:szCs w:val="24"/>
        </w:rPr>
        <w:t xml:space="preserve"> </w:t>
      </w:r>
      <w:r w:rsidR="001A7DE8" w:rsidRPr="00143733">
        <w:rPr>
          <w:rStyle w:val="FootnoteReference"/>
          <w:rFonts w:ascii="Times New Roman" w:hAnsi="Times New Roman" w:cs="Times New Roman"/>
          <w:sz w:val="24"/>
          <w:szCs w:val="24"/>
        </w:rPr>
        <w:footnoteReference w:id="2"/>
      </w:r>
      <w:r w:rsidR="001A7DE8">
        <w:rPr>
          <w:rFonts w:ascii="Times New Roman" w:hAnsi="Times New Roman" w:cs="Times New Roman"/>
          <w:sz w:val="24"/>
          <w:szCs w:val="24"/>
        </w:rPr>
        <w:t xml:space="preserve"> </w:t>
      </w:r>
      <w:proofErr w:type="spellStart"/>
      <w:r w:rsidRPr="001A7DE8">
        <w:rPr>
          <w:rFonts w:ascii="Times New Roman" w:hAnsi="Times New Roman" w:cs="Times New Roman"/>
          <w:sz w:val="24"/>
          <w:szCs w:val="24"/>
        </w:rPr>
        <w:t>Levick</w:t>
      </w:r>
      <w:proofErr w:type="spellEnd"/>
      <w:r w:rsidRPr="001A7DE8">
        <w:rPr>
          <w:rFonts w:ascii="Times New Roman" w:hAnsi="Times New Roman" w:cs="Times New Roman"/>
          <w:sz w:val="24"/>
          <w:szCs w:val="24"/>
        </w:rPr>
        <w:t xml:space="preserve"> in her 1999 response reassessed her initial argument and dismissed her previous statement that the role of the portrait was for respect and honour. She assigned herself a more neutral position of not affirming what the role of the type meant. One must consider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theory of persuasion through the portraits of Augustus as correct. The alternative arguments are intertwined with already existing systems of honouring the monarch. I would argue that the benefits gained from the use of coinage as a medium for spreading a message or displaying one’s self in a particular manner would be far too great not to undertake. The benefits from a top-down policy on coinage could counter unsettling acts that may otherwise disrupt public order, for example, administrative reforms. </w:t>
      </w:r>
      <w:proofErr w:type="spellStart"/>
      <w:r w:rsidRPr="001A7DE8">
        <w:rPr>
          <w:rFonts w:ascii="Times New Roman" w:hAnsi="Times New Roman" w:cs="Times New Roman"/>
          <w:sz w:val="24"/>
          <w:szCs w:val="24"/>
        </w:rPr>
        <w:t>Kidson</w:t>
      </w:r>
      <w:proofErr w:type="spellEnd"/>
      <w:r w:rsidRPr="001A7DE8">
        <w:rPr>
          <w:rFonts w:ascii="Times New Roman" w:hAnsi="Times New Roman" w:cs="Times New Roman"/>
          <w:sz w:val="24"/>
          <w:szCs w:val="24"/>
        </w:rPr>
        <w:t xml:space="preserve"> further developed the argument presented by Wallace-Hadrill, who suggests Sutherland’s description of the purpose of Roman coinage meant it no longer had the primary role of being an economic necessity, but rather it became a tool to promote a cause or po</w:t>
      </w:r>
      <w:r w:rsidR="001A7DE8">
        <w:rPr>
          <w:rFonts w:ascii="Times New Roman" w:hAnsi="Times New Roman" w:cs="Times New Roman"/>
          <w:sz w:val="24"/>
          <w:szCs w:val="24"/>
        </w:rPr>
        <w:t>int of view of imperial policy.</w:t>
      </w:r>
      <w:r w:rsidR="001A7DE8" w:rsidRPr="001A7DE8">
        <w:rPr>
          <w:rStyle w:val="FootnoteReference"/>
          <w:rFonts w:ascii="Times New Roman" w:hAnsi="Times New Roman" w:cs="Times New Roman"/>
          <w:sz w:val="24"/>
          <w:szCs w:val="24"/>
        </w:rPr>
        <w:t xml:space="preserve"> </w:t>
      </w:r>
      <w:r w:rsidR="001A7DE8">
        <w:rPr>
          <w:rStyle w:val="FootnoteReference"/>
          <w:rFonts w:ascii="Times New Roman" w:hAnsi="Times New Roman" w:cs="Times New Roman"/>
          <w:sz w:val="24"/>
          <w:szCs w:val="24"/>
        </w:rPr>
        <w:footnoteReference w:id="3"/>
      </w:r>
    </w:p>
    <w:p w14:paraId="5BE9D6AC" w14:textId="77777777" w:rsidR="00965D1C" w:rsidRPr="001A7DE8" w:rsidRDefault="00965D1C" w:rsidP="001A7DE8">
      <w:pPr>
        <w:spacing w:after="0" w:line="360" w:lineRule="auto"/>
        <w:rPr>
          <w:rFonts w:ascii="Times New Roman" w:hAnsi="Times New Roman" w:cs="Times New Roman"/>
          <w:sz w:val="24"/>
          <w:szCs w:val="24"/>
        </w:rPr>
      </w:pPr>
    </w:p>
    <w:p w14:paraId="34DD5EED" w14:textId="2F55D1E2"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discussion of primary and secondary functions once again appears to be a direct critique and response to Crawford’s understanding and argument. Crawford believes the primary function of coinage is to display a figure of authority by the institution or individual that created the coin. The primary function was also to be economic due to Crawford’s belief that without the mark of authority a coin cannot become a coin and therefore cannot hold economic value, therefore, the secondary function such as authority, persuasion or respect was optional to the needs at the time. Sutherland agrees with this idea of the obverse being a method to show the authority of a supreme leader/ government. However, he ascribes the reverse as being a method to spread information. He concludes that the primary function of the coin must be economic and the secondary purpose is to spread a message from authority to the populous/audience. Wallace-Hadrill takes both arguments into account when addressing his four</w:t>
      </w:r>
      <w:r w:rsidR="001A7DE8">
        <w:rPr>
          <w:rFonts w:ascii="Times New Roman" w:hAnsi="Times New Roman" w:cs="Times New Roman"/>
          <w:sz w:val="24"/>
          <w:szCs w:val="24"/>
        </w:rPr>
        <w:t xml:space="preserve"> overarching points </w:t>
      </w:r>
      <w:r w:rsidR="005634C2">
        <w:rPr>
          <w:rFonts w:ascii="Times New Roman" w:hAnsi="Times New Roman" w:cs="Times New Roman"/>
          <w:sz w:val="24"/>
          <w:szCs w:val="24"/>
        </w:rPr>
        <w:t>on</w:t>
      </w:r>
      <w:r w:rsidR="001A7DE8">
        <w:rPr>
          <w:rFonts w:ascii="Times New Roman" w:hAnsi="Times New Roman" w:cs="Times New Roman"/>
          <w:sz w:val="24"/>
          <w:szCs w:val="24"/>
        </w:rPr>
        <w:t xml:space="preserve"> coinage.</w:t>
      </w:r>
      <w:r w:rsidR="001A7DE8" w:rsidRPr="001A7DE8">
        <w:rPr>
          <w:rStyle w:val="FootnoteReference"/>
          <w:rFonts w:ascii="Times New Roman" w:hAnsi="Times New Roman" w:cs="Times New Roman"/>
          <w:sz w:val="24"/>
          <w:szCs w:val="24"/>
        </w:rPr>
        <w:t xml:space="preserve"> </w:t>
      </w:r>
      <w:r w:rsidR="001A7DE8">
        <w:rPr>
          <w:rStyle w:val="FootnoteReference"/>
          <w:rFonts w:ascii="Times New Roman" w:hAnsi="Times New Roman" w:cs="Times New Roman"/>
          <w:sz w:val="24"/>
          <w:szCs w:val="24"/>
        </w:rPr>
        <w:footnoteReference w:id="4"/>
      </w:r>
    </w:p>
    <w:p w14:paraId="2B8F66CB" w14:textId="77777777" w:rsidR="00965D1C" w:rsidRPr="001A7DE8" w:rsidRDefault="00965D1C" w:rsidP="001A7DE8">
      <w:pPr>
        <w:spacing w:after="0" w:line="360" w:lineRule="auto"/>
        <w:rPr>
          <w:rFonts w:ascii="Times New Roman" w:hAnsi="Times New Roman" w:cs="Times New Roman"/>
          <w:sz w:val="24"/>
          <w:szCs w:val="24"/>
        </w:rPr>
      </w:pPr>
    </w:p>
    <w:p w14:paraId="3767322B" w14:textId="22E738C5"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Firstly, authority is present in both the obverse and reverse. The portrait of the emperor is the central power of the state. The reverse</w:t>
      </w:r>
      <w:r w:rsidR="005634C2">
        <w:rPr>
          <w:rFonts w:ascii="Times New Roman" w:hAnsi="Times New Roman" w:cs="Times New Roman"/>
          <w:sz w:val="24"/>
          <w:szCs w:val="24"/>
        </w:rPr>
        <w:t>, displaying</w:t>
      </w:r>
      <w:r w:rsidRPr="001A7DE8">
        <w:rPr>
          <w:rFonts w:ascii="Times New Roman" w:hAnsi="Times New Roman" w:cs="Times New Roman"/>
          <w:sz w:val="24"/>
          <w:szCs w:val="24"/>
        </w:rPr>
        <w:t xml:space="preserve"> any image of victory or successes also conveys authority of the empire and emperor.</w:t>
      </w:r>
    </w:p>
    <w:p w14:paraId="0CFC6CD9" w14:textId="25EB7490"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Secondly, the obverse and reverse are also symbols of respect and value; the emperor was worshipped nationally. Therefore, any imagery regarding the emperor was </w:t>
      </w:r>
      <w:r w:rsidR="005634C2">
        <w:rPr>
          <w:rFonts w:ascii="Times New Roman" w:hAnsi="Times New Roman" w:cs="Times New Roman"/>
          <w:sz w:val="24"/>
          <w:szCs w:val="24"/>
        </w:rPr>
        <w:t>viewed</w:t>
      </w:r>
      <w:r w:rsidRPr="001A7DE8">
        <w:rPr>
          <w:rFonts w:ascii="Times New Roman" w:hAnsi="Times New Roman" w:cs="Times New Roman"/>
          <w:sz w:val="24"/>
          <w:szCs w:val="24"/>
        </w:rPr>
        <w:t xml:space="preserve"> with the utmost respect and honour.</w:t>
      </w:r>
    </w:p>
    <w:p w14:paraId="4AE87069" w14:textId="33D3343F"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Thirdly, coinage is fundamentally persuasive in its creation. This is </w:t>
      </w:r>
      <w:r w:rsidR="005634C2">
        <w:rPr>
          <w:rFonts w:ascii="Times New Roman" w:hAnsi="Times New Roman" w:cs="Times New Roman"/>
          <w:sz w:val="24"/>
          <w:szCs w:val="24"/>
        </w:rPr>
        <w:t>evidenced</w:t>
      </w:r>
      <w:r w:rsidRPr="001A7DE8">
        <w:rPr>
          <w:rFonts w:ascii="Times New Roman" w:hAnsi="Times New Roman" w:cs="Times New Roman"/>
          <w:sz w:val="24"/>
          <w:szCs w:val="24"/>
        </w:rPr>
        <w:t xml:space="preserve"> by Procopius’ attempt to usurp </w:t>
      </w:r>
      <w:proofErr w:type="spellStart"/>
      <w:r w:rsidRPr="001A7DE8">
        <w:rPr>
          <w:rFonts w:ascii="Times New Roman" w:hAnsi="Times New Roman" w:cs="Times New Roman"/>
          <w:sz w:val="24"/>
          <w:szCs w:val="24"/>
        </w:rPr>
        <w:t>Valetinian</w:t>
      </w:r>
      <w:proofErr w:type="spellEnd"/>
      <w:r w:rsidRPr="001A7DE8">
        <w:rPr>
          <w:rFonts w:ascii="Times New Roman" w:hAnsi="Times New Roman" w:cs="Times New Roman"/>
          <w:sz w:val="24"/>
          <w:szCs w:val="24"/>
        </w:rPr>
        <w:t xml:space="preserve">. Procopius minted gold coins bearing his portrait instead of </w:t>
      </w:r>
      <w:proofErr w:type="spellStart"/>
      <w:r w:rsidRPr="001A7DE8">
        <w:rPr>
          <w:rFonts w:ascii="Times New Roman" w:hAnsi="Times New Roman" w:cs="Times New Roman"/>
          <w:sz w:val="24"/>
          <w:szCs w:val="24"/>
        </w:rPr>
        <w:t>Valetinian</w:t>
      </w:r>
      <w:proofErr w:type="spellEnd"/>
      <w:r w:rsidRPr="001A7DE8">
        <w:rPr>
          <w:rFonts w:ascii="Times New Roman" w:hAnsi="Times New Roman" w:cs="Times New Roman"/>
          <w:sz w:val="24"/>
          <w:szCs w:val="24"/>
        </w:rPr>
        <w:t>, with the intention of having these coins generate support for his claim.</w:t>
      </w:r>
    </w:p>
    <w:p w14:paraId="522D5318" w14:textId="740259D6"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Fourthly, Wallace-Hadrill argues that coins have both an economic and non-economic purpose. This is due to coins being economic because of exchange. However, the imagery of coins does not bear any economic benefits. Alternately Wallace-Hadrill acknowledges that without such bearings a coin would be a piece of metal and not an asset to the global economy. The imagery is essential to gi</w:t>
      </w:r>
      <w:r w:rsidR="001A7DE8">
        <w:rPr>
          <w:rFonts w:ascii="Times New Roman" w:hAnsi="Times New Roman" w:cs="Times New Roman"/>
          <w:sz w:val="24"/>
          <w:szCs w:val="24"/>
        </w:rPr>
        <w:t>ve coins legal, economic value.</w:t>
      </w:r>
      <w:r w:rsidR="001A7DE8" w:rsidRPr="001A7DE8">
        <w:rPr>
          <w:rStyle w:val="FootnoteReference"/>
          <w:rFonts w:ascii="Times New Roman" w:hAnsi="Times New Roman" w:cs="Times New Roman"/>
          <w:sz w:val="24"/>
          <w:szCs w:val="24"/>
        </w:rPr>
        <w:t xml:space="preserve"> </w:t>
      </w:r>
      <w:r w:rsidR="001A7DE8">
        <w:rPr>
          <w:rStyle w:val="FootnoteReference"/>
          <w:rFonts w:ascii="Times New Roman" w:hAnsi="Times New Roman" w:cs="Times New Roman"/>
          <w:sz w:val="24"/>
          <w:szCs w:val="24"/>
        </w:rPr>
        <w:footnoteReference w:id="5"/>
      </w:r>
    </w:p>
    <w:p w14:paraId="2FD9AF97" w14:textId="5961B1E9"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I agree with some of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points, the idea that the coin can be used for persuasion to display a message, such as Procopius’ creation of his own coinage</w:t>
      </w:r>
      <w:r w:rsidR="005634C2">
        <w:rPr>
          <w:rFonts w:ascii="Times New Roman" w:hAnsi="Times New Roman" w:cs="Times New Roman"/>
          <w:sz w:val="24"/>
          <w:szCs w:val="24"/>
        </w:rPr>
        <w:t>, is persuasive</w:t>
      </w:r>
      <w:r w:rsidRPr="001A7DE8">
        <w:rPr>
          <w:rFonts w:ascii="Times New Roman" w:hAnsi="Times New Roman" w:cs="Times New Roman"/>
          <w:sz w:val="24"/>
          <w:szCs w:val="24"/>
        </w:rPr>
        <w:t xml:space="preserve">. I also agree with the assumption that coinage portraits and imagery are inherently authoritarian in nature. However, there are aspects of his argument that I </w:t>
      </w:r>
      <w:r w:rsidR="008A502B">
        <w:rPr>
          <w:rFonts w:ascii="Times New Roman" w:hAnsi="Times New Roman" w:cs="Times New Roman"/>
          <w:sz w:val="24"/>
          <w:szCs w:val="24"/>
        </w:rPr>
        <w:t>question</w:t>
      </w:r>
      <w:r w:rsidRPr="001A7DE8">
        <w:rPr>
          <w:rFonts w:ascii="Times New Roman" w:hAnsi="Times New Roman" w:cs="Times New Roman"/>
          <w:sz w:val="24"/>
          <w:szCs w:val="24"/>
        </w:rPr>
        <w:t>,</w:t>
      </w:r>
      <w:r w:rsidR="008A502B">
        <w:rPr>
          <w:rFonts w:ascii="Times New Roman" w:hAnsi="Times New Roman" w:cs="Times New Roman"/>
          <w:sz w:val="24"/>
          <w:szCs w:val="24"/>
        </w:rPr>
        <w:t xml:space="preserve"> for example,</w:t>
      </w:r>
      <w:r w:rsidRPr="001A7DE8">
        <w:rPr>
          <w:rFonts w:ascii="Times New Roman" w:hAnsi="Times New Roman" w:cs="Times New Roman"/>
          <w:sz w:val="24"/>
          <w:szCs w:val="24"/>
        </w:rPr>
        <w:t xml:space="preserve"> his assumption of coinage being non-economic and economic. The design of the obverse and reverse does not make the coin economic, the content of the coin, such as the metal content is the actual value of the coin. The design of the coin is purely for displaying its creator, the authority involved with its creation and a message or imagery that the authority wishes to publish to the population. This is evident through the economic use of ‘money’ in the Ancient world, where the society determined what the actual value of the money was. For instance, Roman and Greek society value</w:t>
      </w:r>
      <w:r w:rsidR="0054614B">
        <w:rPr>
          <w:rFonts w:ascii="Times New Roman" w:hAnsi="Times New Roman" w:cs="Times New Roman"/>
          <w:sz w:val="24"/>
          <w:szCs w:val="24"/>
        </w:rPr>
        <w:t>d</w:t>
      </w:r>
      <w:r w:rsidRPr="001A7DE8">
        <w:rPr>
          <w:rFonts w:ascii="Times New Roman" w:hAnsi="Times New Roman" w:cs="Times New Roman"/>
          <w:sz w:val="24"/>
          <w:szCs w:val="24"/>
        </w:rPr>
        <w:t xml:space="preserve"> money </w:t>
      </w:r>
      <w:r w:rsidR="008A502B">
        <w:rPr>
          <w:rFonts w:ascii="Times New Roman" w:hAnsi="Times New Roman" w:cs="Times New Roman"/>
          <w:sz w:val="24"/>
          <w:szCs w:val="24"/>
        </w:rPr>
        <w:t>by</w:t>
      </w:r>
      <w:r w:rsidR="0054614B">
        <w:rPr>
          <w:rFonts w:ascii="Times New Roman" w:hAnsi="Times New Roman" w:cs="Times New Roman"/>
          <w:sz w:val="24"/>
          <w:szCs w:val="24"/>
        </w:rPr>
        <w:t xml:space="preserve"> determining</w:t>
      </w:r>
      <w:r w:rsidRPr="001A7DE8">
        <w:rPr>
          <w:rFonts w:ascii="Times New Roman" w:hAnsi="Times New Roman" w:cs="Times New Roman"/>
          <w:sz w:val="24"/>
          <w:szCs w:val="24"/>
        </w:rPr>
        <w:t xml:space="preserve"> the silver and metal content of coins, should the metal content change through coin debasement, it effectively threatened the stability of the coin’s value. Evidence of this can be seen through the debasement of the denarius in Diocletian’s reign where the silver content was deemed to be below the permitted level required of a denarius. The consequence was that new coinage was commissioned with the metal content being bronze and gold, this shows that the imagery on a denarius was not the economic factor, it was indeed the silver content that ma</w:t>
      </w:r>
      <w:r w:rsidR="001A7DE8">
        <w:rPr>
          <w:rFonts w:ascii="Times New Roman" w:hAnsi="Times New Roman" w:cs="Times New Roman"/>
          <w:sz w:val="24"/>
          <w:szCs w:val="24"/>
        </w:rPr>
        <w:t xml:space="preserve">de a coin </w:t>
      </w:r>
      <w:r w:rsidR="001A7DE8">
        <w:rPr>
          <w:rFonts w:ascii="Times New Roman" w:hAnsi="Times New Roman" w:cs="Times New Roman"/>
          <w:sz w:val="24"/>
          <w:szCs w:val="24"/>
        </w:rPr>
        <w:lastRenderedPageBreak/>
        <w:t>inherently economic.</w:t>
      </w:r>
      <w:r w:rsidR="001A7DE8">
        <w:rPr>
          <w:rStyle w:val="FootnoteReference"/>
          <w:rFonts w:ascii="Times New Roman" w:hAnsi="Times New Roman" w:cs="Times New Roman"/>
          <w:sz w:val="24"/>
          <w:szCs w:val="24"/>
        </w:rPr>
        <w:footnoteReference w:id="6"/>
      </w:r>
      <w:r w:rsidR="001A7DE8">
        <w:rPr>
          <w:rFonts w:ascii="Times New Roman" w:hAnsi="Times New Roman" w:cs="Times New Roman"/>
          <w:sz w:val="24"/>
          <w:szCs w:val="24"/>
        </w:rPr>
        <w:t xml:space="preserve"> </w:t>
      </w:r>
      <w:r w:rsidRPr="001A7DE8">
        <w:rPr>
          <w:rFonts w:ascii="Times New Roman" w:hAnsi="Times New Roman" w:cs="Times New Roman"/>
          <w:sz w:val="24"/>
          <w:szCs w:val="24"/>
        </w:rPr>
        <w:t>However, it is true that in the Roman Imperial society the likelihood of a coin being traded that does not hold the markings of the state is improbable. Nevertheless, the economic value does not hold itself in the design of the coin, just the legal authority that it is a Roman coin. That authority, in itself though, stood as a guarantee that all denarius held the same value.</w:t>
      </w:r>
    </w:p>
    <w:p w14:paraId="4D31EE99" w14:textId="77777777" w:rsidR="00965D1C" w:rsidRPr="001A7DE8" w:rsidRDefault="00965D1C" w:rsidP="001A7DE8">
      <w:pPr>
        <w:spacing w:after="0" w:line="360" w:lineRule="auto"/>
        <w:rPr>
          <w:rFonts w:ascii="Times New Roman" w:hAnsi="Times New Roman" w:cs="Times New Roman"/>
          <w:sz w:val="24"/>
          <w:szCs w:val="24"/>
        </w:rPr>
      </w:pPr>
    </w:p>
    <w:p w14:paraId="0F9B4D02" w14:textId="56630016" w:rsidR="00965D1C" w:rsidRPr="00710BF1" w:rsidRDefault="00965D1C"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Heads and Authority.</w:t>
      </w:r>
    </w:p>
    <w:p w14:paraId="53E60F01" w14:textId="6AF0F347"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paper now addresses Augustan coinage in his argument directly. He initially claims that the purpose of Augustan coinage is to connect Caesar with a god. He uses the pair of coins depicting Augustus and Venus and the legend, CAESAR DIVI F. Augustus and Venus switch between the coins from obverse to reverse, both holding a portrait and a full body reverse image. Wallace-Hadrill claims these coins make the traditional meaning of the head as an authority and the reverse as a message redundant. Both sides are interchangeable on this coinage and therefore cannot hold a specific purpose. One could agree with Wallace-Hadrill, coinage with interchangeable obverse and reverse such as these coins, must be evaluated as a whole and not just </w:t>
      </w:r>
      <w:r w:rsidR="001A7DE8">
        <w:rPr>
          <w:rFonts w:ascii="Times New Roman" w:hAnsi="Times New Roman" w:cs="Times New Roman"/>
          <w:sz w:val="24"/>
          <w:szCs w:val="24"/>
        </w:rPr>
        <w:t>merely the obverse and reverse.</w:t>
      </w:r>
      <w:r w:rsidR="001A7DE8">
        <w:rPr>
          <w:rStyle w:val="FootnoteReference"/>
          <w:rFonts w:ascii="Times New Roman" w:hAnsi="Times New Roman" w:cs="Times New Roman"/>
          <w:sz w:val="24"/>
          <w:szCs w:val="24"/>
        </w:rPr>
        <w:footnoteReference w:id="7"/>
      </w:r>
    </w:p>
    <w:p w14:paraId="3BDA8BEE" w14:textId="77777777" w:rsidR="00965D1C" w:rsidRPr="001A7DE8" w:rsidRDefault="00965D1C" w:rsidP="001A7DE8">
      <w:pPr>
        <w:spacing w:after="0" w:line="360" w:lineRule="auto"/>
        <w:rPr>
          <w:rFonts w:ascii="Times New Roman" w:hAnsi="Times New Roman" w:cs="Times New Roman"/>
          <w:sz w:val="24"/>
          <w:szCs w:val="24"/>
        </w:rPr>
      </w:pPr>
    </w:p>
    <w:p w14:paraId="4A36F8E2" w14:textId="459FF14C"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Civic coinage under Augustus appears to be somewhat controversial. Augustus’ portrait is not considered a sign of authority as portraits are normally regarded, instead authority is seen through the symbol, name or magistrate that was responsible for the creation of the coin. Burnett argues that cities chose to place Augustus’ head onto their coinage. This is also evident with kings, such as </w:t>
      </w:r>
      <w:proofErr w:type="spellStart"/>
      <w:r w:rsidRPr="001A7DE8">
        <w:rPr>
          <w:rFonts w:ascii="Times New Roman" w:hAnsi="Times New Roman" w:cs="Times New Roman"/>
          <w:sz w:val="24"/>
          <w:szCs w:val="24"/>
        </w:rPr>
        <w:t>Rhoemetalces</w:t>
      </w:r>
      <w:proofErr w:type="spellEnd"/>
      <w:r w:rsidRPr="001A7DE8">
        <w:rPr>
          <w:rFonts w:ascii="Times New Roman" w:hAnsi="Times New Roman" w:cs="Times New Roman"/>
          <w:sz w:val="24"/>
          <w:szCs w:val="24"/>
        </w:rPr>
        <w:t xml:space="preserve"> of Thrace. Wallace-Hadrill continues this theory by claiming the inclusion of the image of Augustus was to evoke the emotion of honour and association. Wallace-Hadrill claims that the similarities of the inclusion of Augustus in coinage and the spread of inscriptions for Augustus as a heroic cult are too great to dismiss. His image would hold no benefit apart from </w:t>
      </w:r>
      <w:r w:rsidR="0054614B">
        <w:rPr>
          <w:rFonts w:ascii="Times New Roman" w:hAnsi="Times New Roman" w:cs="Times New Roman"/>
          <w:sz w:val="24"/>
          <w:szCs w:val="24"/>
        </w:rPr>
        <w:t>being</w:t>
      </w:r>
      <w:r w:rsidRPr="001A7DE8">
        <w:rPr>
          <w:rFonts w:ascii="Times New Roman" w:hAnsi="Times New Roman" w:cs="Times New Roman"/>
          <w:sz w:val="24"/>
          <w:szCs w:val="24"/>
        </w:rPr>
        <w:t xml:space="preserve"> intertwined with honouring him. However, Wallace-Hadrill explores if Augustus’ image could have benefited the coin or society in any manner. He concludes that although his portrait is not a symbol of legislation, it does have a powerful emotive response. </w:t>
      </w:r>
      <w:r w:rsidR="0054614B">
        <w:rPr>
          <w:rFonts w:ascii="Times New Roman" w:hAnsi="Times New Roman" w:cs="Times New Roman"/>
          <w:sz w:val="24"/>
          <w:szCs w:val="24"/>
        </w:rPr>
        <w:t>Portraits of Augustus</w:t>
      </w:r>
      <w:r w:rsidRPr="001A7DE8">
        <w:rPr>
          <w:rFonts w:ascii="Times New Roman" w:hAnsi="Times New Roman" w:cs="Times New Roman"/>
          <w:sz w:val="24"/>
          <w:szCs w:val="24"/>
        </w:rPr>
        <w:t xml:space="preserve"> </w:t>
      </w:r>
      <w:r w:rsidR="0054614B">
        <w:rPr>
          <w:rFonts w:ascii="Times New Roman" w:hAnsi="Times New Roman" w:cs="Times New Roman"/>
          <w:sz w:val="24"/>
          <w:szCs w:val="24"/>
        </w:rPr>
        <w:t xml:space="preserve">create </w:t>
      </w:r>
      <w:r w:rsidRPr="001A7DE8">
        <w:rPr>
          <w:rFonts w:ascii="Times New Roman" w:hAnsi="Times New Roman" w:cs="Times New Roman"/>
          <w:sz w:val="24"/>
          <w:szCs w:val="24"/>
        </w:rPr>
        <w:t>an emotional attachment to the coin which Wallace-Hadrill believes would stimulate the movement and acceptance of the coin. This is largely due to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belief that an individual would not, or could not, </w:t>
      </w:r>
      <w:r w:rsidRPr="001A7DE8">
        <w:rPr>
          <w:rFonts w:ascii="Times New Roman" w:hAnsi="Times New Roman" w:cs="Times New Roman"/>
          <w:sz w:val="24"/>
          <w:szCs w:val="24"/>
        </w:rPr>
        <w:lastRenderedPageBreak/>
        <w:t>refuse a coin, marked with the emperor’s head.</w:t>
      </w:r>
      <w:r w:rsidR="001A7DE8">
        <w:rPr>
          <w:rStyle w:val="FootnoteReference"/>
          <w:rFonts w:ascii="Times New Roman" w:hAnsi="Times New Roman" w:cs="Times New Roman"/>
          <w:sz w:val="24"/>
          <w:szCs w:val="24"/>
        </w:rPr>
        <w:footnoteReference w:id="8"/>
      </w:r>
      <w:r w:rsidR="001A7DE8">
        <w:rPr>
          <w:rFonts w:ascii="Times New Roman" w:hAnsi="Times New Roman" w:cs="Times New Roman"/>
          <w:sz w:val="24"/>
          <w:szCs w:val="24"/>
        </w:rPr>
        <w:t xml:space="preserve"> </w:t>
      </w:r>
      <w:r w:rsidRPr="001A7DE8">
        <w:rPr>
          <w:rFonts w:ascii="Times New Roman" w:hAnsi="Times New Roman" w:cs="Times New Roman"/>
          <w:sz w:val="24"/>
          <w:szCs w:val="24"/>
        </w:rPr>
        <w:t>I agree with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assumption that the authority that Augustus’ image brings to the coinage would have contributed to its circulation and economic value. It would have been difficult to refuse a coin on the basis of the imagery it held when Augustus’ position in Imperial Rome was so great. I would argue, that Roman coinage would have circulated naturally in the Roman provinces due to the interconnectivity of trade routes in the Empire. The imagery of the coin would not have contributed mainly to this circulation, but would, have acted as guarantor of its value. </w:t>
      </w:r>
    </w:p>
    <w:p w14:paraId="39F6E49F" w14:textId="77777777" w:rsidR="00965D1C" w:rsidRPr="001A7DE8" w:rsidRDefault="00965D1C" w:rsidP="001A7DE8">
      <w:pPr>
        <w:spacing w:after="0" w:line="360" w:lineRule="auto"/>
        <w:rPr>
          <w:rFonts w:ascii="Times New Roman" w:hAnsi="Times New Roman" w:cs="Times New Roman"/>
          <w:sz w:val="24"/>
          <w:szCs w:val="24"/>
        </w:rPr>
      </w:pPr>
    </w:p>
    <w:p w14:paraId="4FAD7E87" w14:textId="1DF9CF72" w:rsidR="00965D1C" w:rsidRPr="00710BF1" w:rsidRDefault="00965D1C"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The Emergence of the Imperial image</w:t>
      </w:r>
      <w:r w:rsidR="001A7DE8" w:rsidRPr="00710BF1">
        <w:rPr>
          <w:rFonts w:ascii="Times New Roman" w:hAnsi="Times New Roman" w:cs="Times New Roman"/>
          <w:b/>
          <w:i/>
          <w:sz w:val="24"/>
          <w:szCs w:val="24"/>
        </w:rPr>
        <w:t>.</w:t>
      </w:r>
    </w:p>
    <w:p w14:paraId="085D0B46" w14:textId="566FE3D3" w:rsidR="00965D1C"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Wallace-Hadrill explores this section of his article by comparing how republican coinage was developing, with how the triumvirs fundamentally changed and created the new style of the Imperial era. This change is most evidently seen through the inclusion of the image of living men incorporated onto coinage, with the obverse and reverse both being used to depict the living individuals. Wallace-Hadrill identifies Julius Caesar as being responsible for including the portraits of living men onto Roman coinage. In 44 BC Julius Caesar minted coinage with his portrait on the obverse. The article argues that this paved the way for the symbolism of monarchy and the Imperial period to be created. The head of an individual, </w:t>
      </w:r>
      <w:r w:rsidR="0054614B">
        <w:rPr>
          <w:rFonts w:ascii="Times New Roman" w:hAnsi="Times New Roman" w:cs="Times New Roman"/>
          <w:sz w:val="24"/>
          <w:szCs w:val="24"/>
        </w:rPr>
        <w:t>presented</w:t>
      </w:r>
      <w:r w:rsidRPr="001A7DE8">
        <w:rPr>
          <w:rFonts w:ascii="Times New Roman" w:hAnsi="Times New Roman" w:cs="Times New Roman"/>
          <w:sz w:val="24"/>
          <w:szCs w:val="24"/>
        </w:rPr>
        <w:t xml:space="preserve"> like a god or deity brings forth and demonstrates either loyalty or acquiescence by the coin user. This strategy may well have been used by Caesar's opponents during Caesar’s civil war; the Republican opponent’s also minted coinage with their own portraits displayed perhaps with the intention of further legitimising their own claims to power. In the area of the triumvirs, it is understandable how this style of coinage continued as individuals sought for more power. Their coinage developed and incorporated a heavier usage of text to present their </w:t>
      </w:r>
      <w:proofErr w:type="spellStart"/>
      <w:r w:rsidRPr="001A7DE8">
        <w:rPr>
          <w:rFonts w:ascii="Times New Roman" w:hAnsi="Times New Roman" w:cs="Times New Roman"/>
          <w:sz w:val="24"/>
          <w:szCs w:val="24"/>
        </w:rPr>
        <w:t>titulature</w:t>
      </w:r>
      <w:proofErr w:type="spellEnd"/>
      <w:r w:rsidRPr="001A7DE8">
        <w:rPr>
          <w:rFonts w:ascii="Times New Roman" w:hAnsi="Times New Roman" w:cs="Times New Roman"/>
          <w:sz w:val="24"/>
          <w:szCs w:val="24"/>
        </w:rPr>
        <w:t>. An example of this is Octavian’s minted coinage in 43-42 BC</w:t>
      </w:r>
      <w:r w:rsidR="0054614B">
        <w:rPr>
          <w:rFonts w:ascii="Times New Roman" w:hAnsi="Times New Roman" w:cs="Times New Roman"/>
          <w:sz w:val="24"/>
          <w:szCs w:val="24"/>
        </w:rPr>
        <w:t xml:space="preserve">, the coin </w:t>
      </w:r>
      <w:proofErr w:type="spellStart"/>
      <w:r w:rsidR="0054614B">
        <w:rPr>
          <w:rFonts w:ascii="Times New Roman" w:hAnsi="Times New Roman" w:cs="Times New Roman"/>
          <w:sz w:val="24"/>
          <w:szCs w:val="24"/>
        </w:rPr>
        <w:t>helf</w:t>
      </w:r>
      <w:proofErr w:type="spellEnd"/>
      <w:r w:rsidR="0054614B">
        <w:rPr>
          <w:rFonts w:ascii="Times New Roman" w:hAnsi="Times New Roman" w:cs="Times New Roman"/>
          <w:sz w:val="24"/>
          <w:szCs w:val="24"/>
        </w:rPr>
        <w:t xml:space="preserve"> Octavian’s image</w:t>
      </w:r>
      <w:r w:rsidRPr="001A7DE8">
        <w:rPr>
          <w:rFonts w:ascii="Times New Roman" w:hAnsi="Times New Roman" w:cs="Times New Roman"/>
          <w:sz w:val="24"/>
          <w:szCs w:val="24"/>
        </w:rPr>
        <w:t xml:space="preserve"> on the reverse holding the equestrian statue, </w:t>
      </w:r>
      <w:r w:rsidR="0054614B">
        <w:rPr>
          <w:rFonts w:ascii="Times New Roman" w:hAnsi="Times New Roman" w:cs="Times New Roman"/>
          <w:sz w:val="24"/>
          <w:szCs w:val="24"/>
        </w:rPr>
        <w:t>thereby</w:t>
      </w:r>
      <w:r w:rsidRPr="001A7DE8">
        <w:rPr>
          <w:rFonts w:ascii="Times New Roman" w:hAnsi="Times New Roman" w:cs="Times New Roman"/>
          <w:sz w:val="24"/>
          <w:szCs w:val="24"/>
        </w:rPr>
        <w:t xml:space="preserve"> depicting himself on both the obverse and reverse of the coin for the first time. Wallace-Hadrill believes this example is an omen to th</w:t>
      </w:r>
      <w:r w:rsidR="001A7DE8">
        <w:rPr>
          <w:rFonts w:ascii="Times New Roman" w:hAnsi="Times New Roman" w:cs="Times New Roman"/>
          <w:sz w:val="24"/>
          <w:szCs w:val="24"/>
        </w:rPr>
        <w:t>e future imperial period style.</w:t>
      </w:r>
      <w:r w:rsidR="001A7DE8">
        <w:rPr>
          <w:rStyle w:val="FootnoteReference"/>
          <w:rFonts w:ascii="Times New Roman" w:hAnsi="Times New Roman" w:cs="Times New Roman"/>
          <w:sz w:val="24"/>
          <w:szCs w:val="24"/>
        </w:rPr>
        <w:footnoteReference w:id="9"/>
      </w:r>
    </w:p>
    <w:p w14:paraId="38A977F5" w14:textId="77777777" w:rsidR="001A7DE8" w:rsidRPr="001A7DE8" w:rsidRDefault="001A7DE8" w:rsidP="001A7DE8">
      <w:pPr>
        <w:spacing w:after="0" w:line="360" w:lineRule="auto"/>
        <w:rPr>
          <w:rFonts w:ascii="Times New Roman" w:hAnsi="Times New Roman" w:cs="Times New Roman"/>
          <w:sz w:val="24"/>
          <w:szCs w:val="24"/>
        </w:rPr>
      </w:pPr>
    </w:p>
    <w:p w14:paraId="74863B4B" w14:textId="71B0018C"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Coinage of Augustus’ early reign suggests three possibilities to the methods of displaying the Imperial mark and authority. The initial method Wallace-Hadrill discusses is the badge, which refers to a personal image that is specific and solely Augustus and no other. This </w:t>
      </w:r>
      <w:r w:rsidRPr="001A7DE8">
        <w:rPr>
          <w:rFonts w:ascii="Times New Roman" w:hAnsi="Times New Roman" w:cs="Times New Roman"/>
          <w:sz w:val="24"/>
          <w:szCs w:val="24"/>
        </w:rPr>
        <w:lastRenderedPageBreak/>
        <w:t xml:space="preserve">introduction of a badge to his coinage on their reverse was specific to Augustus’ coinage; no other emperor repeated the style by incorporating their own badge. The argument is that Augustus created this imagery to stop any rival to the Imperial value system. The most common theme of his coinage is the introduction of honours that were awarded to him by the Senate and the populous. This, as has already been established, is very similar to the badge Augustus created </w:t>
      </w:r>
      <w:r w:rsidR="0054614B">
        <w:rPr>
          <w:rFonts w:ascii="Times New Roman" w:hAnsi="Times New Roman" w:cs="Times New Roman"/>
          <w:sz w:val="24"/>
          <w:szCs w:val="24"/>
        </w:rPr>
        <w:t xml:space="preserve">which was </w:t>
      </w:r>
      <w:r w:rsidRPr="001A7DE8">
        <w:rPr>
          <w:rFonts w:ascii="Times New Roman" w:hAnsi="Times New Roman" w:cs="Times New Roman"/>
          <w:sz w:val="24"/>
          <w:szCs w:val="24"/>
        </w:rPr>
        <w:t>a method to completely dominate both sides of the coin. His authority is no longer situated strictly in the obverse with his portrait, now the reverse is an advertisement for his numerous honours and victories. It could be argued the reverse of the coin legitimises the obverse of the coin. The purpose of Augustus’ coinage is becoming far more authoritarian as a method for self-advertisement. Augustus has fundamentally changed the meaning and display of coinage from the Republic era.</w:t>
      </w:r>
    </w:p>
    <w:p w14:paraId="5C9D954B" w14:textId="77777777" w:rsidR="00965D1C" w:rsidRPr="001A7DE8" w:rsidRDefault="00965D1C" w:rsidP="001A7DE8">
      <w:pPr>
        <w:spacing w:after="0" w:line="360" w:lineRule="auto"/>
        <w:rPr>
          <w:rFonts w:ascii="Times New Roman" w:hAnsi="Times New Roman" w:cs="Times New Roman"/>
          <w:sz w:val="24"/>
          <w:szCs w:val="24"/>
        </w:rPr>
      </w:pPr>
    </w:p>
    <w:p w14:paraId="24755190" w14:textId="5A814D67"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Another example of the change of style of coinage from Republic to Imperial is the movement of deities. In the Republic, the obverse would be specifically for deities. However, Augustus placed his portrait on the obverse and relocated the deities to the reverse. Wallace-Hadrill refers to the coinage celebrating the battle of Actium to express this method where Apollo is on the reverse, while Augustus takes priority on the obverse. Augustus’ complete absorption of the design of the coin comes to its pinnacle when the only remaining information that is not referring to Augustus himself is the inclusion of the minter’s name.</w:t>
      </w:r>
      <w:r w:rsidR="002D298E">
        <w:rPr>
          <w:rStyle w:val="FootnoteReference"/>
          <w:rFonts w:ascii="Times New Roman" w:hAnsi="Times New Roman" w:cs="Times New Roman"/>
          <w:sz w:val="24"/>
          <w:szCs w:val="24"/>
        </w:rPr>
        <w:footnoteReference w:id="10"/>
      </w:r>
      <w:r w:rsidRPr="001A7DE8">
        <w:rPr>
          <w:rFonts w:ascii="Times New Roman" w:hAnsi="Times New Roman" w:cs="Times New Roman"/>
          <w:sz w:val="24"/>
          <w:szCs w:val="24"/>
        </w:rPr>
        <w:t xml:space="preserve"> One must agree with 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argument that Augustus dominates every aspect of design and control of the Imperial coinage to present and legitimate himself by installing the badge, his honours and the movement of, and connection to deities. All three of these methods are powerful imagery that will present emotive responses by the audience, whether that be an acknowledgement of Augustus’ authority or the new Imperial state. The coin becomes the connector; by using the coin the trader is accepting the power of the empire and Augustus’ legitimacy as its head.</w:t>
      </w:r>
    </w:p>
    <w:p w14:paraId="43C6C9B1" w14:textId="77777777" w:rsidR="00965D1C" w:rsidRPr="001A7DE8" w:rsidRDefault="00965D1C" w:rsidP="001A7DE8">
      <w:pPr>
        <w:spacing w:after="0" w:line="360" w:lineRule="auto"/>
        <w:rPr>
          <w:rFonts w:ascii="Times New Roman" w:hAnsi="Times New Roman" w:cs="Times New Roman"/>
          <w:sz w:val="24"/>
          <w:szCs w:val="24"/>
        </w:rPr>
      </w:pPr>
    </w:p>
    <w:p w14:paraId="3C3476F9" w14:textId="44683D3F" w:rsidR="00965D1C" w:rsidRPr="00710BF1" w:rsidRDefault="00965D1C"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Emperor and Senate</w:t>
      </w:r>
      <w:r w:rsidR="001A7DE8" w:rsidRPr="00710BF1">
        <w:rPr>
          <w:rFonts w:ascii="Times New Roman" w:hAnsi="Times New Roman" w:cs="Times New Roman"/>
          <w:b/>
          <w:i/>
          <w:sz w:val="24"/>
          <w:szCs w:val="24"/>
        </w:rPr>
        <w:t>.</w:t>
      </w:r>
    </w:p>
    <w:p w14:paraId="43C508F8" w14:textId="6D58FE59"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The mark SC on bronze coinage has divided scholars’ opinions; the letters appear on all numismatics in bronze. This is absent in the silver and gold counterparts created by colleges of </w:t>
      </w:r>
      <w:proofErr w:type="spellStart"/>
      <w:r w:rsidRPr="001A7DE8">
        <w:rPr>
          <w:rFonts w:ascii="Times New Roman" w:hAnsi="Times New Roman" w:cs="Times New Roman"/>
          <w:sz w:val="24"/>
          <w:szCs w:val="24"/>
        </w:rPr>
        <w:t>moneyers</w:t>
      </w:r>
      <w:proofErr w:type="spellEnd"/>
      <w:r w:rsidRPr="001A7DE8">
        <w:rPr>
          <w:rFonts w:ascii="Times New Roman" w:hAnsi="Times New Roman" w:cs="Times New Roman"/>
          <w:sz w:val="24"/>
          <w:szCs w:val="24"/>
        </w:rPr>
        <w:t xml:space="preserve">. Mommsen’s interpretation of SC as a mark of authority is according to Wallace-Hadrill false, as Mommsen’s argument distinguishes a separation in authority and </w:t>
      </w:r>
      <w:r w:rsidRPr="001A7DE8">
        <w:rPr>
          <w:rFonts w:ascii="Times New Roman" w:hAnsi="Times New Roman" w:cs="Times New Roman"/>
          <w:sz w:val="24"/>
          <w:szCs w:val="24"/>
        </w:rPr>
        <w:lastRenderedPageBreak/>
        <w:t xml:space="preserve">function between the Senate and emperor. This argument expounded the idea that only the Emperor could mint in gold and silver, but the Senate created coinage in bronze. Kraft brought forward a differing opinion regarding the SC mark, instead of holding a purpose such </w:t>
      </w:r>
      <w:bookmarkStart w:id="0" w:name="_GoBack"/>
      <w:bookmarkEnd w:id="0"/>
      <w:r w:rsidRPr="001A7DE8">
        <w:rPr>
          <w:rFonts w:ascii="Times New Roman" w:hAnsi="Times New Roman" w:cs="Times New Roman"/>
          <w:sz w:val="24"/>
          <w:szCs w:val="24"/>
        </w:rPr>
        <w:t>as authority; it was a design feature for the senatorial origin of the honours to mark the Roman bronze series of coinage. This theory has also failed to gat</w:t>
      </w:r>
      <w:r w:rsidR="001A7DE8">
        <w:rPr>
          <w:rFonts w:ascii="Times New Roman" w:hAnsi="Times New Roman" w:cs="Times New Roman"/>
          <w:sz w:val="24"/>
          <w:szCs w:val="24"/>
        </w:rPr>
        <w:t>her support by other scholars.</w:t>
      </w:r>
      <w:r w:rsidR="001A7DE8">
        <w:rPr>
          <w:rStyle w:val="FootnoteReference"/>
          <w:rFonts w:ascii="Times New Roman" w:hAnsi="Times New Roman" w:cs="Times New Roman"/>
          <w:sz w:val="24"/>
          <w:szCs w:val="24"/>
        </w:rPr>
        <w:footnoteReference w:id="11"/>
      </w:r>
    </w:p>
    <w:p w14:paraId="78F5FC1D" w14:textId="77777777" w:rsidR="00965D1C" w:rsidRPr="001A7DE8" w:rsidRDefault="00965D1C" w:rsidP="001A7DE8">
      <w:pPr>
        <w:spacing w:after="0" w:line="360" w:lineRule="auto"/>
        <w:rPr>
          <w:rFonts w:ascii="Times New Roman" w:hAnsi="Times New Roman" w:cs="Times New Roman"/>
          <w:sz w:val="24"/>
          <w:szCs w:val="24"/>
        </w:rPr>
      </w:pPr>
    </w:p>
    <w:p w14:paraId="582E0895" w14:textId="3676270B" w:rsid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 xml:space="preserve">Wallace-Hadrill counter argues both these scholars and presents an alternative reading, where the purpose of the mark SC was economic to stimulate the circulation of the coin. In the Republic era, SC was already in use in Roman numismatics, in its previous use, the Republic minted coinage with the mark SC on special occasions. One must consider the possibility that this tradition was upheld to some degree with the creation of Augustan imperial coinage. Wallace-Hadrill agrees with </w:t>
      </w:r>
      <w:proofErr w:type="spellStart"/>
      <w:r w:rsidRPr="001A7DE8">
        <w:rPr>
          <w:rFonts w:ascii="Times New Roman" w:hAnsi="Times New Roman" w:cs="Times New Roman"/>
          <w:sz w:val="24"/>
          <w:szCs w:val="24"/>
        </w:rPr>
        <w:t>Asae</w:t>
      </w:r>
      <w:proofErr w:type="spellEnd"/>
      <w:r w:rsidRPr="001A7DE8">
        <w:rPr>
          <w:rFonts w:ascii="Times New Roman" w:hAnsi="Times New Roman" w:cs="Times New Roman"/>
          <w:sz w:val="24"/>
          <w:szCs w:val="24"/>
        </w:rPr>
        <w:t xml:space="preserve"> Bay, rather than Burnett’s approach on the debate whether SC had the purpose of being used on special occasions. The use of SC would be fitting to be used as a method to indicate reform under Augustus, where it originally would have been in the eastern areas of the Empire. However, Augustus seemingly brought SC to Rome, where the mark SC was printed more regularly over the whole Empire. Another reason Wallace-Hadrill argues that the mark SC is a sign of administrative reform is it appears simultaneously with the reforms of bronz</w:t>
      </w:r>
      <w:r w:rsidR="001A7DE8">
        <w:rPr>
          <w:rFonts w:ascii="Times New Roman" w:hAnsi="Times New Roman" w:cs="Times New Roman"/>
          <w:sz w:val="24"/>
          <w:szCs w:val="24"/>
        </w:rPr>
        <w:t>e coinage.</w:t>
      </w:r>
      <w:r w:rsidR="001A7DE8">
        <w:rPr>
          <w:rStyle w:val="FootnoteReference"/>
          <w:rFonts w:ascii="Times New Roman" w:hAnsi="Times New Roman" w:cs="Times New Roman"/>
          <w:sz w:val="24"/>
          <w:szCs w:val="24"/>
        </w:rPr>
        <w:footnoteReference w:id="12"/>
      </w:r>
    </w:p>
    <w:p w14:paraId="1DBEA96B" w14:textId="77777777" w:rsidR="001A7DE8" w:rsidRPr="001A7DE8" w:rsidRDefault="001A7DE8" w:rsidP="001A7DE8">
      <w:pPr>
        <w:spacing w:after="0" w:line="360" w:lineRule="auto"/>
        <w:rPr>
          <w:rFonts w:ascii="Times New Roman" w:hAnsi="Times New Roman" w:cs="Times New Roman"/>
          <w:sz w:val="24"/>
          <w:szCs w:val="24"/>
        </w:rPr>
      </w:pPr>
    </w:p>
    <w:p w14:paraId="45B3FACF" w14:textId="77777777" w:rsidR="00965D1C" w:rsidRPr="00710BF1" w:rsidRDefault="00965D1C" w:rsidP="001A7DE8">
      <w:pPr>
        <w:spacing w:after="0" w:line="360" w:lineRule="auto"/>
        <w:rPr>
          <w:rFonts w:ascii="Times New Roman" w:hAnsi="Times New Roman" w:cs="Times New Roman"/>
          <w:b/>
          <w:i/>
          <w:sz w:val="24"/>
          <w:szCs w:val="24"/>
        </w:rPr>
      </w:pPr>
      <w:r w:rsidRPr="00710BF1">
        <w:rPr>
          <w:rFonts w:ascii="Times New Roman" w:hAnsi="Times New Roman" w:cs="Times New Roman"/>
          <w:b/>
          <w:i/>
          <w:sz w:val="24"/>
          <w:szCs w:val="24"/>
        </w:rPr>
        <w:t>Conclusions</w:t>
      </w:r>
    </w:p>
    <w:p w14:paraId="24A9A14E" w14:textId="15B66EC3"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Wallace-Hadrill believes that coinage holds multiple purposes. Firstly it is a form of authority whether that be by the inclusions of the name of the responsible official, the name of the state that created it and if required bear the image of the emperor who was the ultimate authority in the state. However, these authoritative elements also bring out a persuasive element where the coin and the producer are being legitimised. The imagery on the coin also legitimises the coin as an official currency by virtue of the respect that the images induce on its audience. Alongside this, the respect for the image on the coin also legitimises that individual’s regime, whether that be an empe</w:t>
      </w:r>
      <w:r w:rsidR="001A7DE8">
        <w:rPr>
          <w:rFonts w:ascii="Times New Roman" w:hAnsi="Times New Roman" w:cs="Times New Roman"/>
          <w:sz w:val="24"/>
          <w:szCs w:val="24"/>
        </w:rPr>
        <w:t>ror or a prominent magistrate.</w:t>
      </w:r>
      <w:r w:rsidR="001A7DE8">
        <w:rPr>
          <w:rStyle w:val="FootnoteReference"/>
          <w:rFonts w:ascii="Times New Roman" w:hAnsi="Times New Roman" w:cs="Times New Roman"/>
          <w:sz w:val="24"/>
          <w:szCs w:val="24"/>
        </w:rPr>
        <w:footnoteReference w:id="13"/>
      </w:r>
    </w:p>
    <w:p w14:paraId="1A9DF977" w14:textId="77777777" w:rsidR="00965D1C" w:rsidRPr="001A7DE8" w:rsidRDefault="00965D1C" w:rsidP="001A7DE8">
      <w:pPr>
        <w:spacing w:after="0" w:line="360" w:lineRule="auto"/>
        <w:rPr>
          <w:rFonts w:ascii="Times New Roman" w:hAnsi="Times New Roman" w:cs="Times New Roman"/>
          <w:sz w:val="24"/>
          <w:szCs w:val="24"/>
        </w:rPr>
      </w:pPr>
    </w:p>
    <w:p w14:paraId="397812B0" w14:textId="77777777"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lastRenderedPageBreak/>
        <w:t xml:space="preserve">The coinage of this era, especially under Augustus was a transitional process from Republic to Imperial where a balanced imagery had to be displayed in coinage. This was to avoid unsettling the populous or the prevalent elites of that era, which fundamentally places coins as a large part of state advertisement of itself and its empire. Coinage from a public standpoint would be seen as a direct message from the state that was broadcast throughout the Empire and was therefore increasingly important for the maintenance of public opinion. </w:t>
      </w:r>
    </w:p>
    <w:p w14:paraId="4E71B637" w14:textId="77777777" w:rsidR="00965D1C" w:rsidRPr="001A7DE8" w:rsidRDefault="00965D1C" w:rsidP="001A7DE8">
      <w:pPr>
        <w:spacing w:after="0" w:line="360" w:lineRule="auto"/>
        <w:rPr>
          <w:rFonts w:ascii="Times New Roman" w:hAnsi="Times New Roman" w:cs="Times New Roman"/>
          <w:sz w:val="24"/>
          <w:szCs w:val="24"/>
        </w:rPr>
      </w:pPr>
    </w:p>
    <w:p w14:paraId="7B68325F" w14:textId="77777777" w:rsidR="00965D1C" w:rsidRPr="001A7DE8" w:rsidRDefault="00965D1C" w:rsidP="001A7DE8">
      <w:pPr>
        <w:spacing w:after="0" w:line="360" w:lineRule="auto"/>
        <w:rPr>
          <w:rFonts w:ascii="Times New Roman" w:hAnsi="Times New Roman" w:cs="Times New Roman"/>
          <w:sz w:val="24"/>
          <w:szCs w:val="24"/>
        </w:rPr>
      </w:pPr>
      <w:r w:rsidRPr="001A7DE8">
        <w:rPr>
          <w:rFonts w:ascii="Times New Roman" w:hAnsi="Times New Roman" w:cs="Times New Roman"/>
          <w:sz w:val="24"/>
          <w:szCs w:val="24"/>
        </w:rPr>
        <w:t>Wallace-</w:t>
      </w:r>
      <w:proofErr w:type="spellStart"/>
      <w:r w:rsidRPr="001A7DE8">
        <w:rPr>
          <w:rFonts w:ascii="Times New Roman" w:hAnsi="Times New Roman" w:cs="Times New Roman"/>
          <w:sz w:val="24"/>
          <w:szCs w:val="24"/>
        </w:rPr>
        <w:t>Hadrill’s</w:t>
      </w:r>
      <w:proofErr w:type="spellEnd"/>
      <w:r w:rsidRPr="001A7DE8">
        <w:rPr>
          <w:rFonts w:ascii="Times New Roman" w:hAnsi="Times New Roman" w:cs="Times New Roman"/>
          <w:sz w:val="24"/>
          <w:szCs w:val="24"/>
        </w:rPr>
        <w:t xml:space="preserve"> article contains a well thought out argument which both expands and changes the previously accepted theories on the purpose and imagery of Augustan coinage. He specifically questions Crawford, </w:t>
      </w:r>
      <w:proofErr w:type="spellStart"/>
      <w:r w:rsidRPr="001A7DE8">
        <w:rPr>
          <w:rFonts w:ascii="Times New Roman" w:hAnsi="Times New Roman" w:cs="Times New Roman"/>
          <w:sz w:val="24"/>
          <w:szCs w:val="24"/>
        </w:rPr>
        <w:t>Levick</w:t>
      </w:r>
      <w:proofErr w:type="spellEnd"/>
      <w:r w:rsidRPr="001A7DE8">
        <w:rPr>
          <w:rFonts w:ascii="Times New Roman" w:hAnsi="Times New Roman" w:cs="Times New Roman"/>
          <w:sz w:val="24"/>
          <w:szCs w:val="24"/>
        </w:rPr>
        <w:t xml:space="preserve"> and Sutherland who proposed some of the main accepted scholarly arguments into Roman numismatics. </w:t>
      </w:r>
    </w:p>
    <w:p w14:paraId="676150E8" w14:textId="77777777" w:rsidR="00965D1C" w:rsidRPr="001A7DE8" w:rsidRDefault="00965D1C" w:rsidP="001A7DE8">
      <w:pPr>
        <w:spacing w:after="0" w:line="360" w:lineRule="auto"/>
        <w:rPr>
          <w:rFonts w:ascii="Times New Roman" w:hAnsi="Times New Roman" w:cs="Times New Roman"/>
          <w:sz w:val="24"/>
          <w:szCs w:val="24"/>
        </w:rPr>
      </w:pPr>
    </w:p>
    <w:p w14:paraId="66F42202" w14:textId="734C9E5B" w:rsidR="006363D3" w:rsidRDefault="0054614B" w:rsidP="001A7DE8">
      <w:pPr>
        <w:spacing w:after="0" w:line="360" w:lineRule="auto"/>
        <w:rPr>
          <w:rFonts w:ascii="Times New Roman" w:hAnsi="Times New Roman" w:cs="Times New Roman"/>
          <w:sz w:val="24"/>
          <w:szCs w:val="24"/>
        </w:rPr>
      </w:pPr>
      <w:r>
        <w:rPr>
          <w:rFonts w:ascii="Times New Roman" w:hAnsi="Times New Roman" w:cs="Times New Roman"/>
          <w:sz w:val="24"/>
          <w:szCs w:val="24"/>
        </w:rPr>
        <w:t>Word count: 3032</w:t>
      </w:r>
      <w:r w:rsidR="00965D1C" w:rsidRPr="001A7DE8">
        <w:rPr>
          <w:rFonts w:ascii="Times New Roman" w:hAnsi="Times New Roman" w:cs="Times New Roman"/>
          <w:sz w:val="24"/>
          <w:szCs w:val="24"/>
        </w:rPr>
        <w:t>.</w:t>
      </w:r>
    </w:p>
    <w:p w14:paraId="6C989282" w14:textId="77777777" w:rsidR="00452E13" w:rsidRDefault="00452E13" w:rsidP="001A7DE8">
      <w:pPr>
        <w:spacing w:after="0" w:line="360" w:lineRule="auto"/>
        <w:rPr>
          <w:rFonts w:ascii="Times New Roman" w:hAnsi="Times New Roman" w:cs="Times New Roman"/>
          <w:sz w:val="24"/>
          <w:szCs w:val="24"/>
        </w:rPr>
      </w:pPr>
    </w:p>
    <w:p w14:paraId="34397073" w14:textId="77777777" w:rsidR="00452E13" w:rsidRDefault="00452E13" w:rsidP="001A7DE8">
      <w:pPr>
        <w:spacing w:after="0" w:line="360" w:lineRule="auto"/>
        <w:rPr>
          <w:rFonts w:ascii="Times New Roman" w:hAnsi="Times New Roman" w:cs="Times New Roman"/>
          <w:sz w:val="24"/>
          <w:szCs w:val="24"/>
        </w:rPr>
      </w:pPr>
    </w:p>
    <w:p w14:paraId="1A9BC2EC" w14:textId="77777777" w:rsidR="00452E13" w:rsidRDefault="00452E13" w:rsidP="001A7DE8">
      <w:pPr>
        <w:spacing w:after="0" w:line="360" w:lineRule="auto"/>
        <w:rPr>
          <w:rFonts w:ascii="Times New Roman" w:hAnsi="Times New Roman" w:cs="Times New Roman"/>
          <w:sz w:val="24"/>
          <w:szCs w:val="24"/>
        </w:rPr>
      </w:pPr>
    </w:p>
    <w:p w14:paraId="649194B9" w14:textId="77777777" w:rsidR="00452E13" w:rsidRDefault="00452E13" w:rsidP="001A7DE8">
      <w:pPr>
        <w:spacing w:after="0" w:line="360" w:lineRule="auto"/>
        <w:rPr>
          <w:rFonts w:ascii="Times New Roman" w:hAnsi="Times New Roman" w:cs="Times New Roman"/>
          <w:sz w:val="24"/>
          <w:szCs w:val="24"/>
        </w:rPr>
      </w:pPr>
    </w:p>
    <w:p w14:paraId="400377DD" w14:textId="77777777" w:rsidR="00452E13" w:rsidRDefault="00452E13" w:rsidP="001A7DE8">
      <w:pPr>
        <w:spacing w:after="0" w:line="360" w:lineRule="auto"/>
        <w:rPr>
          <w:rFonts w:ascii="Times New Roman" w:hAnsi="Times New Roman" w:cs="Times New Roman"/>
          <w:sz w:val="24"/>
          <w:szCs w:val="24"/>
        </w:rPr>
      </w:pPr>
    </w:p>
    <w:p w14:paraId="601A4063" w14:textId="77777777" w:rsidR="00452E13" w:rsidRDefault="00452E13" w:rsidP="001A7DE8">
      <w:pPr>
        <w:spacing w:after="0" w:line="360" w:lineRule="auto"/>
        <w:rPr>
          <w:rFonts w:ascii="Times New Roman" w:hAnsi="Times New Roman" w:cs="Times New Roman"/>
          <w:sz w:val="24"/>
          <w:szCs w:val="24"/>
        </w:rPr>
      </w:pPr>
    </w:p>
    <w:p w14:paraId="6A24ED67" w14:textId="77777777" w:rsidR="00452E13" w:rsidRDefault="00452E13" w:rsidP="001A7DE8">
      <w:pPr>
        <w:spacing w:after="0" w:line="360" w:lineRule="auto"/>
        <w:rPr>
          <w:rFonts w:ascii="Times New Roman" w:hAnsi="Times New Roman" w:cs="Times New Roman"/>
          <w:sz w:val="24"/>
          <w:szCs w:val="24"/>
        </w:rPr>
      </w:pPr>
    </w:p>
    <w:p w14:paraId="25B487A6" w14:textId="77777777" w:rsidR="00452E13" w:rsidRDefault="00452E13" w:rsidP="001A7DE8">
      <w:pPr>
        <w:spacing w:after="0" w:line="360" w:lineRule="auto"/>
        <w:rPr>
          <w:rFonts w:ascii="Times New Roman" w:hAnsi="Times New Roman" w:cs="Times New Roman"/>
          <w:sz w:val="24"/>
          <w:szCs w:val="24"/>
        </w:rPr>
      </w:pPr>
    </w:p>
    <w:p w14:paraId="19C4AF1E" w14:textId="77777777" w:rsidR="00452E13" w:rsidRDefault="00452E13" w:rsidP="001A7DE8">
      <w:pPr>
        <w:spacing w:after="0" w:line="360" w:lineRule="auto"/>
        <w:rPr>
          <w:rFonts w:ascii="Times New Roman" w:hAnsi="Times New Roman" w:cs="Times New Roman"/>
          <w:sz w:val="24"/>
          <w:szCs w:val="24"/>
        </w:rPr>
      </w:pPr>
    </w:p>
    <w:p w14:paraId="297ED423" w14:textId="77777777" w:rsidR="00452E13" w:rsidRDefault="00452E13" w:rsidP="001A7DE8">
      <w:pPr>
        <w:spacing w:after="0" w:line="360" w:lineRule="auto"/>
        <w:rPr>
          <w:rFonts w:ascii="Times New Roman" w:hAnsi="Times New Roman" w:cs="Times New Roman"/>
          <w:sz w:val="24"/>
          <w:szCs w:val="24"/>
        </w:rPr>
      </w:pPr>
    </w:p>
    <w:p w14:paraId="019D0C13" w14:textId="77777777" w:rsidR="00452E13" w:rsidRDefault="00452E13" w:rsidP="001A7DE8">
      <w:pPr>
        <w:spacing w:after="0" w:line="360" w:lineRule="auto"/>
        <w:rPr>
          <w:rFonts w:ascii="Times New Roman" w:hAnsi="Times New Roman" w:cs="Times New Roman"/>
          <w:sz w:val="24"/>
          <w:szCs w:val="24"/>
        </w:rPr>
      </w:pPr>
    </w:p>
    <w:p w14:paraId="00E4E1B7" w14:textId="77777777" w:rsidR="00452E13" w:rsidRDefault="00452E13" w:rsidP="001A7DE8">
      <w:pPr>
        <w:spacing w:after="0" w:line="360" w:lineRule="auto"/>
        <w:rPr>
          <w:rFonts w:ascii="Times New Roman" w:hAnsi="Times New Roman" w:cs="Times New Roman"/>
          <w:sz w:val="24"/>
          <w:szCs w:val="24"/>
        </w:rPr>
      </w:pPr>
    </w:p>
    <w:p w14:paraId="67B3CE6B" w14:textId="77777777" w:rsidR="00452E13" w:rsidRDefault="00452E13" w:rsidP="001A7DE8">
      <w:pPr>
        <w:spacing w:after="0" w:line="360" w:lineRule="auto"/>
        <w:rPr>
          <w:rFonts w:ascii="Times New Roman" w:hAnsi="Times New Roman" w:cs="Times New Roman"/>
          <w:sz w:val="24"/>
          <w:szCs w:val="24"/>
        </w:rPr>
      </w:pPr>
    </w:p>
    <w:p w14:paraId="7802D943" w14:textId="77777777" w:rsidR="00452E13" w:rsidRDefault="00452E13" w:rsidP="001A7DE8">
      <w:pPr>
        <w:spacing w:after="0" w:line="360" w:lineRule="auto"/>
        <w:rPr>
          <w:rFonts w:ascii="Times New Roman" w:hAnsi="Times New Roman" w:cs="Times New Roman"/>
          <w:sz w:val="24"/>
          <w:szCs w:val="24"/>
        </w:rPr>
      </w:pPr>
    </w:p>
    <w:p w14:paraId="2055D0A2" w14:textId="77777777" w:rsidR="00452E13" w:rsidRDefault="00452E13" w:rsidP="001A7DE8">
      <w:pPr>
        <w:spacing w:after="0" w:line="360" w:lineRule="auto"/>
        <w:rPr>
          <w:rFonts w:ascii="Times New Roman" w:hAnsi="Times New Roman" w:cs="Times New Roman"/>
          <w:sz w:val="24"/>
          <w:szCs w:val="24"/>
        </w:rPr>
      </w:pPr>
    </w:p>
    <w:p w14:paraId="1731A2E8" w14:textId="77777777" w:rsidR="00452E13" w:rsidRDefault="00452E13" w:rsidP="001A7DE8">
      <w:pPr>
        <w:spacing w:after="0" w:line="360" w:lineRule="auto"/>
        <w:rPr>
          <w:rFonts w:ascii="Times New Roman" w:hAnsi="Times New Roman" w:cs="Times New Roman"/>
          <w:sz w:val="24"/>
          <w:szCs w:val="24"/>
        </w:rPr>
      </w:pPr>
    </w:p>
    <w:p w14:paraId="66435FC4" w14:textId="77777777" w:rsidR="00452E13" w:rsidRDefault="00452E13" w:rsidP="001A7DE8">
      <w:pPr>
        <w:spacing w:after="0" w:line="360" w:lineRule="auto"/>
        <w:rPr>
          <w:rFonts w:ascii="Times New Roman" w:hAnsi="Times New Roman" w:cs="Times New Roman"/>
          <w:sz w:val="24"/>
          <w:szCs w:val="24"/>
        </w:rPr>
      </w:pPr>
    </w:p>
    <w:p w14:paraId="41BDD8F7" w14:textId="77777777" w:rsidR="00452E13" w:rsidRDefault="00452E13" w:rsidP="001A7DE8">
      <w:pPr>
        <w:spacing w:after="0" w:line="360" w:lineRule="auto"/>
        <w:rPr>
          <w:rFonts w:ascii="Times New Roman" w:hAnsi="Times New Roman" w:cs="Times New Roman"/>
          <w:sz w:val="24"/>
          <w:szCs w:val="24"/>
        </w:rPr>
      </w:pPr>
    </w:p>
    <w:p w14:paraId="2B3951C0" w14:textId="77777777" w:rsidR="00452E13" w:rsidRDefault="00452E13" w:rsidP="001A7DE8">
      <w:pPr>
        <w:spacing w:after="0" w:line="360" w:lineRule="auto"/>
        <w:rPr>
          <w:rFonts w:ascii="Times New Roman" w:hAnsi="Times New Roman" w:cs="Times New Roman"/>
          <w:sz w:val="24"/>
          <w:szCs w:val="24"/>
        </w:rPr>
      </w:pPr>
    </w:p>
    <w:p w14:paraId="4B2410F1" w14:textId="77777777" w:rsidR="00452E13" w:rsidRDefault="00452E13" w:rsidP="001A7DE8">
      <w:pPr>
        <w:spacing w:after="0" w:line="360" w:lineRule="auto"/>
        <w:rPr>
          <w:rFonts w:ascii="Times New Roman" w:hAnsi="Times New Roman" w:cs="Times New Roman"/>
          <w:sz w:val="24"/>
          <w:szCs w:val="24"/>
        </w:rPr>
      </w:pPr>
    </w:p>
    <w:p w14:paraId="36D1C795" w14:textId="77777777" w:rsidR="007448F6" w:rsidRDefault="007448F6" w:rsidP="001A7DE8">
      <w:pPr>
        <w:spacing w:after="0" w:line="360" w:lineRule="auto"/>
        <w:rPr>
          <w:rFonts w:ascii="Times New Roman" w:hAnsi="Times New Roman" w:cs="Times New Roman"/>
          <w:sz w:val="24"/>
          <w:szCs w:val="24"/>
        </w:rPr>
      </w:pPr>
    </w:p>
    <w:p w14:paraId="0BE810B9" w14:textId="77777777" w:rsidR="00452E13" w:rsidRDefault="00452E13" w:rsidP="001A7DE8">
      <w:pPr>
        <w:spacing w:after="0" w:line="360" w:lineRule="auto"/>
        <w:rPr>
          <w:rFonts w:ascii="Times New Roman" w:hAnsi="Times New Roman" w:cs="Times New Roman"/>
          <w:sz w:val="24"/>
          <w:szCs w:val="24"/>
        </w:rPr>
      </w:pPr>
    </w:p>
    <w:p w14:paraId="1DDD57AF" w14:textId="28E26BB5" w:rsidR="00452E13" w:rsidRDefault="00452E13" w:rsidP="007448F6">
      <w:pPr>
        <w:spacing w:after="0" w:line="480" w:lineRule="auto"/>
        <w:jc w:val="center"/>
        <w:rPr>
          <w:rFonts w:ascii="Times New Roman" w:hAnsi="Times New Roman" w:cs="Times New Roman"/>
          <w:sz w:val="28"/>
          <w:szCs w:val="24"/>
        </w:rPr>
      </w:pPr>
      <w:r>
        <w:rPr>
          <w:rFonts w:ascii="Times New Roman" w:hAnsi="Times New Roman" w:cs="Times New Roman"/>
          <w:sz w:val="28"/>
          <w:szCs w:val="24"/>
        </w:rPr>
        <w:t>Bibliography</w:t>
      </w:r>
    </w:p>
    <w:p w14:paraId="122A3BD6" w14:textId="6541F1F8" w:rsidR="00452E13" w:rsidRPr="001F320B" w:rsidRDefault="001F320B" w:rsidP="001F320B">
      <w:pPr>
        <w:spacing w:after="0" w:line="480" w:lineRule="auto"/>
        <w:jc w:val="center"/>
        <w:rPr>
          <w:rFonts w:ascii="Times New Roman" w:hAnsi="Times New Roman" w:cs="Times New Roman"/>
          <w:sz w:val="28"/>
          <w:szCs w:val="24"/>
        </w:rPr>
      </w:pPr>
      <w:r>
        <w:rPr>
          <w:rFonts w:ascii="Times New Roman" w:hAnsi="Times New Roman" w:cs="Times New Roman"/>
          <w:sz w:val="28"/>
          <w:szCs w:val="24"/>
        </w:rPr>
        <w:t>Modern Scholarship</w:t>
      </w:r>
    </w:p>
    <w:p w14:paraId="29A96704" w14:textId="198F843A" w:rsidR="001F320B" w:rsidRDefault="001F320B" w:rsidP="001F320B">
      <w:pPr>
        <w:spacing w:after="0" w:line="480" w:lineRule="auto"/>
        <w:rPr>
          <w:rFonts w:ascii="Times New Roman" w:hAnsi="Times New Roman" w:cs="Times New Roman"/>
          <w:sz w:val="24"/>
        </w:rPr>
      </w:pPr>
      <w:r w:rsidRPr="00F06532">
        <w:rPr>
          <w:rFonts w:ascii="Times New Roman" w:hAnsi="Times New Roman" w:cs="Times New Roman"/>
          <w:sz w:val="24"/>
        </w:rPr>
        <w:t xml:space="preserve">Crawford. M. H. 1974. </w:t>
      </w:r>
      <w:r w:rsidRPr="00195E4D">
        <w:rPr>
          <w:rFonts w:ascii="Times New Roman" w:hAnsi="Times New Roman" w:cs="Times New Roman"/>
          <w:i/>
          <w:sz w:val="24"/>
        </w:rPr>
        <w:t>Roman Republican Coinage</w:t>
      </w:r>
      <w:r w:rsidRPr="00F06532">
        <w:rPr>
          <w:rFonts w:ascii="Times New Roman" w:hAnsi="Times New Roman" w:cs="Times New Roman"/>
          <w:sz w:val="24"/>
        </w:rPr>
        <w:t>.</w:t>
      </w:r>
      <w:r w:rsidR="004E77F3">
        <w:rPr>
          <w:rFonts w:ascii="Times New Roman" w:hAnsi="Times New Roman" w:cs="Times New Roman"/>
          <w:sz w:val="24"/>
        </w:rPr>
        <w:t xml:space="preserve"> Cambridge: Cambridge University</w:t>
      </w:r>
      <w:r w:rsidR="004E77F3">
        <w:rPr>
          <w:rFonts w:ascii="Times New Roman" w:hAnsi="Times New Roman" w:cs="Times New Roman"/>
          <w:sz w:val="24"/>
        </w:rPr>
        <w:tab/>
        <w:t>Press.</w:t>
      </w:r>
    </w:p>
    <w:p w14:paraId="7FB82AA8" w14:textId="5B625BA0" w:rsidR="00324010" w:rsidRPr="00F06532" w:rsidRDefault="00324010" w:rsidP="001F320B">
      <w:pPr>
        <w:spacing w:after="0" w:line="480" w:lineRule="auto"/>
        <w:rPr>
          <w:rFonts w:ascii="Times New Roman" w:hAnsi="Times New Roman" w:cs="Times New Roman"/>
          <w:sz w:val="24"/>
        </w:rPr>
      </w:pPr>
      <w:r w:rsidRPr="00F06532">
        <w:rPr>
          <w:rFonts w:ascii="Times New Roman" w:hAnsi="Times New Roman" w:cs="Times New Roman"/>
          <w:sz w:val="24"/>
        </w:rPr>
        <w:t xml:space="preserve">Crawford. M. H.  1983. </w:t>
      </w:r>
      <w:r>
        <w:rPr>
          <w:rFonts w:ascii="Times New Roman" w:hAnsi="Times New Roman" w:cs="Times New Roman"/>
          <w:sz w:val="24"/>
        </w:rPr>
        <w:t>‘</w:t>
      </w:r>
      <w:r w:rsidRPr="00F06532">
        <w:rPr>
          <w:rFonts w:ascii="Times New Roman" w:hAnsi="Times New Roman" w:cs="Times New Roman"/>
          <w:sz w:val="24"/>
        </w:rPr>
        <w:t>Roman Imperial coin types and the formation of public opinion</w:t>
      </w:r>
      <w:r w:rsidR="00195E4D">
        <w:rPr>
          <w:rFonts w:ascii="Times New Roman" w:hAnsi="Times New Roman" w:cs="Times New Roman"/>
          <w:sz w:val="24"/>
        </w:rPr>
        <w:t>’,</w:t>
      </w:r>
      <w:r>
        <w:rPr>
          <w:rFonts w:ascii="Times New Roman" w:hAnsi="Times New Roman" w:cs="Times New Roman"/>
          <w:sz w:val="24"/>
        </w:rPr>
        <w:t xml:space="preserve"> </w:t>
      </w:r>
      <w:r w:rsidR="00195E4D">
        <w:rPr>
          <w:rFonts w:ascii="Times New Roman" w:hAnsi="Times New Roman" w:cs="Times New Roman"/>
          <w:sz w:val="24"/>
        </w:rPr>
        <w:t>i</w:t>
      </w:r>
      <w:r>
        <w:rPr>
          <w:rFonts w:ascii="Times New Roman" w:hAnsi="Times New Roman" w:cs="Times New Roman"/>
          <w:sz w:val="24"/>
        </w:rPr>
        <w:t>n</w:t>
      </w:r>
      <w:r>
        <w:rPr>
          <w:rFonts w:ascii="Times New Roman" w:hAnsi="Times New Roman" w:cs="Times New Roman"/>
          <w:sz w:val="24"/>
        </w:rPr>
        <w:tab/>
        <w:t xml:space="preserve">C. N. L. Brooke, B. H. I. Stewart, J. G. Pollard, T. R. Volk (eds.), </w:t>
      </w:r>
      <w:r>
        <w:rPr>
          <w:rFonts w:ascii="Times New Roman" w:hAnsi="Times New Roman" w:cs="Times New Roman"/>
          <w:i/>
          <w:sz w:val="24"/>
        </w:rPr>
        <w:t>Studies in</w:t>
      </w:r>
      <w:r>
        <w:rPr>
          <w:rFonts w:ascii="Times New Roman" w:hAnsi="Times New Roman" w:cs="Times New Roman"/>
          <w:i/>
          <w:sz w:val="24"/>
        </w:rPr>
        <w:tab/>
        <w:t>Numismatic method</w:t>
      </w:r>
      <w:r w:rsidR="00195E4D">
        <w:rPr>
          <w:rFonts w:ascii="Times New Roman" w:hAnsi="Times New Roman" w:cs="Times New Roman"/>
          <w:i/>
          <w:sz w:val="24"/>
        </w:rPr>
        <w:t xml:space="preserve">. </w:t>
      </w:r>
      <w:r w:rsidR="00195E4D">
        <w:rPr>
          <w:rFonts w:ascii="Times New Roman" w:hAnsi="Times New Roman" w:cs="Times New Roman"/>
          <w:sz w:val="24"/>
        </w:rPr>
        <w:t>Cambridge</w:t>
      </w:r>
      <w:r>
        <w:rPr>
          <w:rFonts w:ascii="Times New Roman" w:hAnsi="Times New Roman" w:cs="Times New Roman"/>
          <w:i/>
          <w:sz w:val="24"/>
        </w:rPr>
        <w:t>:</w:t>
      </w:r>
      <w:r w:rsidR="00195E4D">
        <w:rPr>
          <w:rFonts w:ascii="Times New Roman" w:hAnsi="Times New Roman" w:cs="Times New Roman"/>
          <w:sz w:val="24"/>
        </w:rPr>
        <w:t xml:space="preserve"> University of Cambridge Press,</w:t>
      </w:r>
      <w:r>
        <w:rPr>
          <w:rFonts w:ascii="Times New Roman" w:hAnsi="Times New Roman" w:cs="Times New Roman"/>
          <w:i/>
          <w:sz w:val="24"/>
        </w:rPr>
        <w:t xml:space="preserve"> </w:t>
      </w:r>
      <w:r w:rsidRPr="00195E4D">
        <w:rPr>
          <w:rFonts w:ascii="Times New Roman" w:hAnsi="Times New Roman" w:cs="Times New Roman"/>
          <w:sz w:val="24"/>
        </w:rPr>
        <w:t>47-64.</w:t>
      </w:r>
    </w:p>
    <w:p w14:paraId="62E1CDCE" w14:textId="3495FDC5" w:rsidR="001F320B" w:rsidRPr="0083721D" w:rsidRDefault="001F320B" w:rsidP="001F320B">
      <w:pPr>
        <w:spacing w:after="0" w:line="480" w:lineRule="auto"/>
        <w:rPr>
          <w:rFonts w:ascii="Times New Roman" w:hAnsi="Times New Roman" w:cs="Times New Roman"/>
          <w:sz w:val="24"/>
          <w:szCs w:val="24"/>
        </w:rPr>
      </w:pPr>
      <w:proofErr w:type="spellStart"/>
      <w:r w:rsidRPr="0083721D">
        <w:rPr>
          <w:rFonts w:ascii="Times New Roman" w:hAnsi="Times New Roman" w:cs="Times New Roman"/>
          <w:sz w:val="24"/>
          <w:szCs w:val="24"/>
        </w:rPr>
        <w:t>Kidson</w:t>
      </w:r>
      <w:proofErr w:type="spellEnd"/>
      <w:r w:rsidRPr="0083721D">
        <w:rPr>
          <w:rFonts w:ascii="Times New Roman" w:hAnsi="Times New Roman" w:cs="Times New Roman"/>
          <w:sz w:val="24"/>
          <w:szCs w:val="24"/>
        </w:rPr>
        <w:t xml:space="preserve">. L. </w:t>
      </w:r>
      <w:r w:rsidR="00195E4D">
        <w:rPr>
          <w:rFonts w:ascii="Times New Roman" w:hAnsi="Times New Roman" w:cs="Times New Roman"/>
          <w:sz w:val="24"/>
          <w:szCs w:val="24"/>
        </w:rPr>
        <w:t xml:space="preserve">2012. </w:t>
      </w:r>
      <w:r w:rsidR="00F70421">
        <w:rPr>
          <w:rFonts w:ascii="Times New Roman" w:hAnsi="Times New Roman" w:cs="Times New Roman"/>
          <w:sz w:val="24"/>
          <w:szCs w:val="24"/>
        </w:rPr>
        <w:t>‘</w:t>
      </w:r>
      <w:r w:rsidRPr="0083721D">
        <w:rPr>
          <w:rFonts w:ascii="Times New Roman" w:hAnsi="Times New Roman" w:cs="Times New Roman"/>
          <w:sz w:val="24"/>
          <w:szCs w:val="24"/>
        </w:rPr>
        <w:t>Minting in Ephesus: Economics and Self-Promotion i</w:t>
      </w:r>
      <w:r w:rsidR="00F70421">
        <w:rPr>
          <w:rFonts w:ascii="Times New Roman" w:hAnsi="Times New Roman" w:cs="Times New Roman"/>
          <w:sz w:val="24"/>
          <w:szCs w:val="24"/>
        </w:rPr>
        <w:t>n the Early Imperial</w:t>
      </w:r>
      <w:r w:rsidR="00F70421">
        <w:rPr>
          <w:rFonts w:ascii="Times New Roman" w:hAnsi="Times New Roman" w:cs="Times New Roman"/>
          <w:sz w:val="24"/>
          <w:szCs w:val="24"/>
        </w:rPr>
        <w:tab/>
      </w:r>
      <w:r w:rsidRPr="0083721D">
        <w:rPr>
          <w:rFonts w:ascii="Times New Roman" w:hAnsi="Times New Roman" w:cs="Times New Roman"/>
          <w:sz w:val="24"/>
          <w:szCs w:val="24"/>
        </w:rPr>
        <w:t>Period</w:t>
      </w:r>
      <w:r w:rsidR="00F70421">
        <w:rPr>
          <w:rFonts w:ascii="Times New Roman" w:hAnsi="Times New Roman" w:cs="Times New Roman"/>
          <w:sz w:val="24"/>
          <w:szCs w:val="24"/>
        </w:rPr>
        <w:t>’</w:t>
      </w:r>
      <w:r w:rsidR="00195E4D">
        <w:rPr>
          <w:rFonts w:ascii="Times New Roman" w:hAnsi="Times New Roman" w:cs="Times New Roman"/>
          <w:sz w:val="24"/>
          <w:szCs w:val="24"/>
        </w:rPr>
        <w:t>,</w:t>
      </w:r>
      <w:r w:rsidRPr="0083721D">
        <w:rPr>
          <w:rFonts w:ascii="Times New Roman" w:hAnsi="Times New Roman" w:cs="Times New Roman"/>
          <w:sz w:val="24"/>
          <w:szCs w:val="24"/>
        </w:rPr>
        <w:t xml:space="preserve"> </w:t>
      </w:r>
      <w:r w:rsidRPr="004E77F3">
        <w:rPr>
          <w:rFonts w:ascii="Times New Roman" w:hAnsi="Times New Roman" w:cs="Times New Roman"/>
          <w:i/>
          <w:sz w:val="24"/>
          <w:szCs w:val="24"/>
        </w:rPr>
        <w:t>Journal of the Numismatic Association of Australia</w:t>
      </w:r>
      <w:r w:rsidR="00195E4D">
        <w:rPr>
          <w:rFonts w:ascii="Times New Roman" w:hAnsi="Times New Roman" w:cs="Times New Roman"/>
          <w:sz w:val="24"/>
          <w:szCs w:val="24"/>
        </w:rPr>
        <w:t>,</w:t>
      </w:r>
      <w:r w:rsidRPr="0083721D">
        <w:rPr>
          <w:rFonts w:ascii="Times New Roman" w:hAnsi="Times New Roman" w:cs="Times New Roman"/>
          <w:sz w:val="24"/>
          <w:szCs w:val="24"/>
        </w:rPr>
        <w:t xml:space="preserve"> </w:t>
      </w:r>
      <w:r w:rsidR="00195E4D">
        <w:rPr>
          <w:rFonts w:ascii="Times New Roman" w:hAnsi="Times New Roman" w:cs="Times New Roman"/>
          <w:sz w:val="24"/>
          <w:szCs w:val="24"/>
        </w:rPr>
        <w:t>23,</w:t>
      </w:r>
      <w:r w:rsidRPr="0083721D">
        <w:rPr>
          <w:rFonts w:ascii="Times New Roman" w:hAnsi="Times New Roman" w:cs="Times New Roman"/>
          <w:sz w:val="24"/>
          <w:szCs w:val="24"/>
        </w:rPr>
        <w:t xml:space="preserve"> </w:t>
      </w:r>
      <w:r w:rsidR="00195E4D">
        <w:rPr>
          <w:rFonts w:ascii="Times New Roman" w:hAnsi="Times New Roman" w:cs="Times New Roman"/>
          <w:sz w:val="24"/>
          <w:szCs w:val="24"/>
        </w:rPr>
        <w:t>27-36.</w:t>
      </w:r>
    </w:p>
    <w:p w14:paraId="0BA15160" w14:textId="746B992D" w:rsidR="001F320B" w:rsidRDefault="001F320B" w:rsidP="001F320B">
      <w:pPr>
        <w:spacing w:after="0" w:line="480" w:lineRule="auto"/>
        <w:rPr>
          <w:rFonts w:ascii="Times New Roman" w:hAnsi="Times New Roman" w:cs="Times New Roman"/>
          <w:sz w:val="24"/>
        </w:rPr>
      </w:pPr>
      <w:proofErr w:type="spellStart"/>
      <w:r w:rsidRPr="00F06532">
        <w:rPr>
          <w:rFonts w:ascii="Times New Roman" w:hAnsi="Times New Roman" w:cs="Times New Roman"/>
          <w:sz w:val="24"/>
        </w:rPr>
        <w:t>Levick</w:t>
      </w:r>
      <w:proofErr w:type="spellEnd"/>
      <w:r w:rsidRPr="00F06532">
        <w:rPr>
          <w:rFonts w:ascii="Times New Roman" w:hAnsi="Times New Roman" w:cs="Times New Roman"/>
          <w:sz w:val="24"/>
        </w:rPr>
        <w:t>. B. 1982. ‘Propaganda and the Imperial Coinage’</w:t>
      </w:r>
      <w:r w:rsidR="00295DD9">
        <w:rPr>
          <w:rFonts w:ascii="Times New Roman" w:hAnsi="Times New Roman" w:cs="Times New Roman"/>
          <w:sz w:val="24"/>
        </w:rPr>
        <w:t>,</w:t>
      </w:r>
      <w:r w:rsidRPr="00F06532">
        <w:rPr>
          <w:rFonts w:ascii="Times New Roman" w:hAnsi="Times New Roman" w:cs="Times New Roman"/>
          <w:sz w:val="24"/>
        </w:rPr>
        <w:t xml:space="preserve"> </w:t>
      </w:r>
      <w:proofErr w:type="spellStart"/>
      <w:r w:rsidRPr="00F06532">
        <w:rPr>
          <w:rFonts w:ascii="Times New Roman" w:hAnsi="Times New Roman" w:cs="Times New Roman"/>
          <w:i/>
          <w:sz w:val="24"/>
        </w:rPr>
        <w:t>Antichthon</w:t>
      </w:r>
      <w:proofErr w:type="spellEnd"/>
      <w:r w:rsidR="00195E4D">
        <w:rPr>
          <w:rFonts w:ascii="Times New Roman" w:hAnsi="Times New Roman" w:cs="Times New Roman"/>
          <w:sz w:val="24"/>
        </w:rPr>
        <w:t>,</w:t>
      </w:r>
      <w:r w:rsidR="00295DD9">
        <w:rPr>
          <w:rFonts w:ascii="Times New Roman" w:hAnsi="Times New Roman" w:cs="Times New Roman"/>
          <w:sz w:val="24"/>
        </w:rPr>
        <w:t xml:space="preserve"> </w:t>
      </w:r>
      <w:r w:rsidR="00195E4D">
        <w:rPr>
          <w:rFonts w:ascii="Times New Roman" w:hAnsi="Times New Roman" w:cs="Times New Roman"/>
          <w:sz w:val="24"/>
        </w:rPr>
        <w:t>16,</w:t>
      </w:r>
      <w:r w:rsidRPr="00F06532">
        <w:rPr>
          <w:rFonts w:ascii="Times New Roman" w:hAnsi="Times New Roman" w:cs="Times New Roman"/>
          <w:sz w:val="24"/>
        </w:rPr>
        <w:t xml:space="preserve"> 104-116.</w:t>
      </w:r>
    </w:p>
    <w:p w14:paraId="46BB74D1" w14:textId="4B8E8D5B" w:rsidR="001F320B" w:rsidRDefault="001F320B" w:rsidP="001F320B">
      <w:pPr>
        <w:spacing w:after="0" w:line="480" w:lineRule="auto"/>
        <w:rPr>
          <w:rFonts w:ascii="Times New Roman" w:hAnsi="Times New Roman" w:cs="Times New Roman"/>
          <w:sz w:val="24"/>
        </w:rPr>
      </w:pPr>
      <w:proofErr w:type="spellStart"/>
      <w:r w:rsidRPr="00F06532">
        <w:rPr>
          <w:rFonts w:ascii="Times New Roman" w:hAnsi="Times New Roman" w:cs="Times New Roman"/>
          <w:sz w:val="24"/>
        </w:rPr>
        <w:t>Levick</w:t>
      </w:r>
      <w:proofErr w:type="spellEnd"/>
      <w:r w:rsidRPr="00F06532">
        <w:rPr>
          <w:rFonts w:ascii="Times New Roman" w:hAnsi="Times New Roman" w:cs="Times New Roman"/>
          <w:sz w:val="24"/>
        </w:rPr>
        <w:t>. B. 1999. ‘Messages on the Roman Coinag</w:t>
      </w:r>
      <w:r w:rsidR="00295DD9">
        <w:rPr>
          <w:rFonts w:ascii="Times New Roman" w:hAnsi="Times New Roman" w:cs="Times New Roman"/>
          <w:sz w:val="24"/>
        </w:rPr>
        <w:t>e: Types and Inscriptions’,</w:t>
      </w:r>
      <w:r w:rsidRPr="00F06532">
        <w:rPr>
          <w:rFonts w:ascii="Times New Roman" w:hAnsi="Times New Roman" w:cs="Times New Roman"/>
          <w:sz w:val="24"/>
        </w:rPr>
        <w:t xml:space="preserve"> </w:t>
      </w:r>
      <w:r w:rsidR="00195E4D">
        <w:rPr>
          <w:rFonts w:ascii="Times New Roman" w:hAnsi="Times New Roman" w:cs="Times New Roman"/>
          <w:sz w:val="24"/>
        </w:rPr>
        <w:t>i</w:t>
      </w:r>
      <w:r w:rsidR="00295DD9">
        <w:rPr>
          <w:rFonts w:ascii="Times New Roman" w:hAnsi="Times New Roman" w:cs="Times New Roman"/>
          <w:sz w:val="24"/>
        </w:rPr>
        <w:t>n G. M. Paul,</w:t>
      </w:r>
      <w:r w:rsidR="00295DD9">
        <w:rPr>
          <w:rFonts w:ascii="Times New Roman" w:hAnsi="Times New Roman" w:cs="Times New Roman"/>
          <w:sz w:val="24"/>
        </w:rPr>
        <w:tab/>
        <w:t xml:space="preserve">M. </w:t>
      </w:r>
      <w:proofErr w:type="spellStart"/>
      <w:r w:rsidR="00295DD9">
        <w:rPr>
          <w:rFonts w:ascii="Times New Roman" w:hAnsi="Times New Roman" w:cs="Times New Roman"/>
          <w:sz w:val="24"/>
        </w:rPr>
        <w:t>Ierardi</w:t>
      </w:r>
      <w:proofErr w:type="spellEnd"/>
      <w:r w:rsidR="00295DD9">
        <w:rPr>
          <w:rFonts w:ascii="Times New Roman" w:hAnsi="Times New Roman" w:cs="Times New Roman"/>
          <w:sz w:val="24"/>
        </w:rPr>
        <w:t>, E. Togo (eds.),</w:t>
      </w:r>
      <w:r w:rsidR="00295DD9" w:rsidRPr="00F06532">
        <w:rPr>
          <w:rFonts w:ascii="Times New Roman" w:hAnsi="Times New Roman" w:cs="Times New Roman"/>
          <w:i/>
          <w:sz w:val="24"/>
        </w:rPr>
        <w:t xml:space="preserve"> </w:t>
      </w:r>
      <w:r w:rsidRPr="00F06532">
        <w:rPr>
          <w:rFonts w:ascii="Times New Roman" w:hAnsi="Times New Roman" w:cs="Times New Roman"/>
          <w:i/>
          <w:sz w:val="24"/>
        </w:rPr>
        <w:t>Roman</w:t>
      </w:r>
      <w:r w:rsidR="00295DD9">
        <w:rPr>
          <w:rFonts w:ascii="Times New Roman" w:hAnsi="Times New Roman" w:cs="Times New Roman"/>
          <w:i/>
          <w:sz w:val="24"/>
        </w:rPr>
        <w:t xml:space="preserve"> Coins </w:t>
      </w:r>
      <w:r w:rsidRPr="00F06532">
        <w:rPr>
          <w:rFonts w:ascii="Times New Roman" w:hAnsi="Times New Roman" w:cs="Times New Roman"/>
          <w:i/>
          <w:sz w:val="24"/>
        </w:rPr>
        <w:t>and Public Life under the Empire</w:t>
      </w:r>
      <w:r w:rsidR="007448F6">
        <w:rPr>
          <w:rFonts w:ascii="Times New Roman" w:hAnsi="Times New Roman" w:cs="Times New Roman"/>
          <w:sz w:val="24"/>
        </w:rPr>
        <w:t>. Michigan</w:t>
      </w:r>
      <w:r w:rsidR="00295DD9">
        <w:rPr>
          <w:rFonts w:ascii="Times New Roman" w:hAnsi="Times New Roman" w:cs="Times New Roman"/>
          <w:sz w:val="24"/>
        </w:rPr>
        <w:t>:</w:t>
      </w:r>
      <w:r w:rsidR="007448F6">
        <w:rPr>
          <w:rFonts w:ascii="Times New Roman" w:hAnsi="Times New Roman" w:cs="Times New Roman"/>
          <w:sz w:val="24"/>
        </w:rPr>
        <w:tab/>
        <w:t>University of Michigan Press,</w:t>
      </w:r>
      <w:r w:rsidRPr="00F06532">
        <w:rPr>
          <w:rFonts w:ascii="Times New Roman" w:hAnsi="Times New Roman" w:cs="Times New Roman"/>
          <w:sz w:val="24"/>
        </w:rPr>
        <w:t xml:space="preserve"> 41-60</w:t>
      </w:r>
      <w:r w:rsidR="00295DD9">
        <w:rPr>
          <w:rFonts w:ascii="Times New Roman" w:hAnsi="Times New Roman" w:cs="Times New Roman"/>
          <w:sz w:val="24"/>
        </w:rPr>
        <w:t>.</w:t>
      </w:r>
      <w:r w:rsidR="00195E4D">
        <w:rPr>
          <w:rFonts w:ascii="Times New Roman" w:hAnsi="Times New Roman" w:cs="Times New Roman"/>
          <w:sz w:val="24"/>
        </w:rPr>
        <w:t xml:space="preserve"> </w:t>
      </w:r>
    </w:p>
    <w:p w14:paraId="207D3E75" w14:textId="440AEBAD" w:rsidR="001F320B" w:rsidRDefault="001F320B" w:rsidP="001F320B">
      <w:pPr>
        <w:spacing w:after="0" w:line="480" w:lineRule="auto"/>
        <w:rPr>
          <w:rFonts w:ascii="Times New Roman" w:hAnsi="Times New Roman" w:cs="Times New Roman"/>
          <w:sz w:val="24"/>
        </w:rPr>
      </w:pPr>
      <w:r>
        <w:rPr>
          <w:rFonts w:ascii="Times New Roman" w:hAnsi="Times New Roman" w:cs="Times New Roman"/>
          <w:sz w:val="24"/>
        </w:rPr>
        <w:t xml:space="preserve">Sutherland. C. H. V. 1976. </w:t>
      </w:r>
      <w:r w:rsidRPr="00195E4D">
        <w:rPr>
          <w:rFonts w:ascii="Times New Roman" w:hAnsi="Times New Roman" w:cs="Times New Roman"/>
          <w:i/>
          <w:sz w:val="24"/>
        </w:rPr>
        <w:t>The Emperor and the Coinage</w:t>
      </w:r>
      <w:r w:rsidR="006872E2" w:rsidRPr="00195E4D">
        <w:rPr>
          <w:rFonts w:ascii="Times New Roman" w:hAnsi="Times New Roman" w:cs="Times New Roman"/>
          <w:i/>
          <w:sz w:val="24"/>
        </w:rPr>
        <w:t>: Julio-Claudian studies</w:t>
      </w:r>
      <w:r>
        <w:rPr>
          <w:rFonts w:ascii="Times New Roman" w:hAnsi="Times New Roman" w:cs="Times New Roman"/>
          <w:sz w:val="24"/>
        </w:rPr>
        <w:t>.</w:t>
      </w:r>
      <w:r w:rsidR="006872E2">
        <w:rPr>
          <w:rFonts w:ascii="Times New Roman" w:hAnsi="Times New Roman" w:cs="Times New Roman"/>
          <w:sz w:val="24"/>
        </w:rPr>
        <w:t xml:space="preserve"> London:</w:t>
      </w:r>
      <w:r w:rsidR="006872E2">
        <w:rPr>
          <w:rFonts w:ascii="Times New Roman" w:hAnsi="Times New Roman" w:cs="Times New Roman"/>
          <w:sz w:val="24"/>
        </w:rPr>
        <w:tab/>
      </w:r>
      <w:proofErr w:type="spellStart"/>
      <w:r w:rsidR="006872E2">
        <w:rPr>
          <w:rFonts w:ascii="Times New Roman" w:hAnsi="Times New Roman" w:cs="Times New Roman"/>
          <w:sz w:val="24"/>
        </w:rPr>
        <w:t>Spink</w:t>
      </w:r>
      <w:proofErr w:type="spellEnd"/>
      <w:r w:rsidR="006872E2">
        <w:rPr>
          <w:rFonts w:ascii="Times New Roman" w:hAnsi="Times New Roman" w:cs="Times New Roman"/>
          <w:sz w:val="24"/>
        </w:rPr>
        <w:t>.</w:t>
      </w:r>
    </w:p>
    <w:p w14:paraId="7FD1E1BF" w14:textId="248D5C1A" w:rsidR="001F320B" w:rsidRPr="001F320B" w:rsidRDefault="001F320B" w:rsidP="001F320B">
      <w:pPr>
        <w:spacing w:after="0" w:line="480" w:lineRule="auto"/>
        <w:rPr>
          <w:rFonts w:ascii="Times New Roman" w:hAnsi="Times New Roman" w:cs="Times New Roman"/>
          <w:sz w:val="24"/>
        </w:rPr>
      </w:pPr>
      <w:r>
        <w:rPr>
          <w:rFonts w:ascii="Times New Roman" w:hAnsi="Times New Roman" w:cs="Times New Roman"/>
          <w:sz w:val="24"/>
        </w:rPr>
        <w:t>Sutherland. C. H. V. 1983. ‘The purpose of Roman Imperial coin types’</w:t>
      </w:r>
      <w:r w:rsidR="00195E4D">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i/>
          <w:sz w:val="24"/>
        </w:rPr>
        <w:t>Rev</w:t>
      </w:r>
      <w:r w:rsidR="00D64669">
        <w:rPr>
          <w:rFonts w:ascii="Times New Roman" w:hAnsi="Times New Roman" w:cs="Times New Roman"/>
          <w:i/>
          <w:sz w:val="24"/>
        </w:rPr>
        <w:t>ue</w:t>
      </w:r>
      <w:r w:rsidR="00D64669">
        <w:rPr>
          <w:rFonts w:ascii="Times New Roman" w:hAnsi="Times New Roman" w:cs="Times New Roman"/>
          <w:i/>
          <w:sz w:val="24"/>
        </w:rPr>
        <w:tab/>
      </w:r>
      <w:proofErr w:type="spellStart"/>
      <w:r w:rsidR="00D64669">
        <w:rPr>
          <w:rFonts w:ascii="Times New Roman" w:hAnsi="Times New Roman" w:cs="Times New Roman"/>
          <w:i/>
          <w:sz w:val="24"/>
        </w:rPr>
        <w:t>Numismatique</w:t>
      </w:r>
      <w:proofErr w:type="spellEnd"/>
      <w:r w:rsidR="00195E4D">
        <w:rPr>
          <w:rFonts w:ascii="Times New Roman" w:hAnsi="Times New Roman" w:cs="Times New Roman"/>
          <w:i/>
          <w:sz w:val="24"/>
        </w:rPr>
        <w:t>,</w:t>
      </w:r>
      <w:r w:rsidR="00D64669" w:rsidRPr="00195E4D">
        <w:rPr>
          <w:rFonts w:ascii="Times New Roman" w:hAnsi="Times New Roman" w:cs="Times New Roman"/>
          <w:sz w:val="24"/>
        </w:rPr>
        <w:t xml:space="preserve"> 25</w:t>
      </w:r>
      <w:r w:rsidR="00195E4D">
        <w:rPr>
          <w:rFonts w:ascii="Times New Roman" w:hAnsi="Times New Roman" w:cs="Times New Roman"/>
          <w:sz w:val="24"/>
        </w:rPr>
        <w:t>,</w:t>
      </w:r>
      <w:r>
        <w:rPr>
          <w:rFonts w:ascii="Times New Roman" w:hAnsi="Times New Roman" w:cs="Times New Roman"/>
          <w:sz w:val="24"/>
        </w:rPr>
        <w:t xml:space="preserve"> 73-82.</w:t>
      </w:r>
    </w:p>
    <w:p w14:paraId="31CE5506" w14:textId="28D0E735" w:rsidR="001F320B" w:rsidRDefault="001F320B" w:rsidP="001F320B">
      <w:pPr>
        <w:spacing w:after="0" w:line="480" w:lineRule="auto"/>
        <w:rPr>
          <w:rFonts w:ascii="Times New Roman" w:hAnsi="Times New Roman" w:cs="Times New Roman"/>
          <w:sz w:val="24"/>
          <w:szCs w:val="24"/>
        </w:rPr>
      </w:pPr>
      <w:r w:rsidRPr="0083721D">
        <w:rPr>
          <w:rFonts w:ascii="Times New Roman" w:hAnsi="Times New Roman" w:cs="Times New Roman"/>
          <w:sz w:val="24"/>
          <w:szCs w:val="24"/>
        </w:rPr>
        <w:t xml:space="preserve">Sutherland. C. H. V. </w:t>
      </w:r>
      <w:r>
        <w:rPr>
          <w:rFonts w:ascii="Times New Roman" w:hAnsi="Times New Roman" w:cs="Times New Roman"/>
          <w:sz w:val="24"/>
          <w:szCs w:val="24"/>
        </w:rPr>
        <w:t xml:space="preserve">1940. </w:t>
      </w:r>
      <w:r w:rsidRPr="0083721D">
        <w:rPr>
          <w:rFonts w:ascii="Times New Roman" w:hAnsi="Times New Roman" w:cs="Times New Roman"/>
          <w:sz w:val="24"/>
          <w:szCs w:val="24"/>
        </w:rPr>
        <w:t xml:space="preserve">The Historical Evidence of Greek and Roman Coins’, </w:t>
      </w:r>
      <w:r>
        <w:rPr>
          <w:rFonts w:ascii="Times New Roman" w:hAnsi="Times New Roman" w:cs="Times New Roman"/>
          <w:i/>
          <w:sz w:val="24"/>
          <w:szCs w:val="24"/>
        </w:rPr>
        <w:t>Greece and</w:t>
      </w:r>
      <w:r>
        <w:rPr>
          <w:rFonts w:ascii="Times New Roman" w:hAnsi="Times New Roman" w:cs="Times New Roman"/>
          <w:i/>
          <w:sz w:val="24"/>
          <w:szCs w:val="24"/>
        </w:rPr>
        <w:tab/>
      </w:r>
      <w:r w:rsidRPr="0083721D">
        <w:rPr>
          <w:rFonts w:ascii="Times New Roman" w:hAnsi="Times New Roman" w:cs="Times New Roman"/>
          <w:i/>
          <w:sz w:val="24"/>
          <w:szCs w:val="24"/>
        </w:rPr>
        <w:t>Rome,</w:t>
      </w:r>
      <w:r w:rsidR="00195E4D">
        <w:rPr>
          <w:rFonts w:ascii="Times New Roman" w:hAnsi="Times New Roman" w:cs="Times New Roman"/>
          <w:i/>
          <w:sz w:val="24"/>
          <w:szCs w:val="24"/>
        </w:rPr>
        <w:t xml:space="preserve"> </w:t>
      </w:r>
      <w:r w:rsidR="00D64669">
        <w:rPr>
          <w:rFonts w:ascii="Times New Roman" w:hAnsi="Times New Roman" w:cs="Times New Roman"/>
          <w:sz w:val="24"/>
          <w:szCs w:val="24"/>
        </w:rPr>
        <w:t>9</w:t>
      </w:r>
      <w:r w:rsidR="00195E4D">
        <w:rPr>
          <w:rFonts w:ascii="Times New Roman" w:hAnsi="Times New Roman" w:cs="Times New Roman"/>
          <w:sz w:val="24"/>
          <w:szCs w:val="24"/>
        </w:rPr>
        <w:t>,</w:t>
      </w:r>
      <w:r w:rsidR="00D64669">
        <w:rPr>
          <w:rFonts w:ascii="Times New Roman" w:hAnsi="Times New Roman" w:cs="Times New Roman"/>
          <w:sz w:val="24"/>
          <w:szCs w:val="24"/>
        </w:rPr>
        <w:t xml:space="preserve"> </w:t>
      </w:r>
      <w:r w:rsidR="00195E4D">
        <w:rPr>
          <w:rFonts w:ascii="Times New Roman" w:hAnsi="Times New Roman" w:cs="Times New Roman"/>
          <w:sz w:val="24"/>
          <w:szCs w:val="24"/>
        </w:rPr>
        <w:t>26,</w:t>
      </w:r>
      <w:r w:rsidRPr="0083721D">
        <w:rPr>
          <w:rFonts w:ascii="Times New Roman" w:hAnsi="Times New Roman" w:cs="Times New Roman"/>
          <w:sz w:val="24"/>
          <w:szCs w:val="24"/>
        </w:rPr>
        <w:t xml:space="preserve"> 65-80</w:t>
      </w:r>
      <w:r w:rsidR="00D64669">
        <w:rPr>
          <w:rFonts w:ascii="Times New Roman" w:hAnsi="Times New Roman" w:cs="Times New Roman"/>
          <w:sz w:val="24"/>
          <w:szCs w:val="24"/>
        </w:rPr>
        <w:t>.</w:t>
      </w:r>
    </w:p>
    <w:p w14:paraId="53A08BBD" w14:textId="3A81016A" w:rsidR="001F320B" w:rsidRPr="0083721D" w:rsidRDefault="001F320B" w:rsidP="001F320B">
      <w:pPr>
        <w:spacing w:after="0" w:line="480" w:lineRule="auto"/>
        <w:rPr>
          <w:rFonts w:ascii="Times New Roman" w:hAnsi="Times New Roman" w:cs="Times New Roman"/>
          <w:sz w:val="24"/>
          <w:szCs w:val="24"/>
        </w:rPr>
      </w:pPr>
      <w:r w:rsidRPr="0083721D">
        <w:rPr>
          <w:rFonts w:ascii="Times New Roman" w:hAnsi="Times New Roman" w:cs="Times New Roman"/>
          <w:sz w:val="24"/>
          <w:szCs w:val="24"/>
        </w:rPr>
        <w:t>Wallace-Hadrill. A.</w:t>
      </w:r>
      <w:r w:rsidR="00D64669">
        <w:rPr>
          <w:rFonts w:ascii="Times New Roman" w:hAnsi="Times New Roman" w:cs="Times New Roman"/>
          <w:sz w:val="24"/>
          <w:szCs w:val="24"/>
        </w:rPr>
        <w:t xml:space="preserve"> 1986.</w:t>
      </w:r>
      <w:r w:rsidRPr="0083721D">
        <w:rPr>
          <w:rFonts w:ascii="Times New Roman" w:hAnsi="Times New Roman" w:cs="Times New Roman"/>
          <w:sz w:val="24"/>
          <w:szCs w:val="24"/>
        </w:rPr>
        <w:t xml:space="preserve"> </w:t>
      </w:r>
      <w:r w:rsidR="00F70421">
        <w:rPr>
          <w:rFonts w:ascii="Times New Roman" w:hAnsi="Times New Roman" w:cs="Times New Roman"/>
          <w:sz w:val="24"/>
          <w:szCs w:val="24"/>
        </w:rPr>
        <w:t>‘</w:t>
      </w:r>
      <w:r w:rsidRPr="0083721D">
        <w:rPr>
          <w:rFonts w:ascii="Times New Roman" w:hAnsi="Times New Roman" w:cs="Times New Roman"/>
          <w:sz w:val="24"/>
          <w:szCs w:val="24"/>
        </w:rPr>
        <w:t>Image and Authority in the Coinage of Augustus</w:t>
      </w:r>
      <w:r w:rsidR="00F70421">
        <w:rPr>
          <w:rFonts w:ascii="Times New Roman" w:hAnsi="Times New Roman" w:cs="Times New Roman"/>
          <w:sz w:val="24"/>
          <w:szCs w:val="24"/>
        </w:rPr>
        <w:t>’</w:t>
      </w:r>
      <w:r w:rsidR="00195E4D">
        <w:rPr>
          <w:rFonts w:ascii="Times New Roman" w:hAnsi="Times New Roman" w:cs="Times New Roman"/>
          <w:sz w:val="24"/>
          <w:szCs w:val="24"/>
        </w:rPr>
        <w:t>,</w:t>
      </w:r>
      <w:r w:rsidRPr="0083721D">
        <w:rPr>
          <w:rFonts w:ascii="Times New Roman" w:hAnsi="Times New Roman" w:cs="Times New Roman"/>
          <w:sz w:val="24"/>
          <w:szCs w:val="24"/>
        </w:rPr>
        <w:t xml:space="preserve"> </w:t>
      </w:r>
      <w:proofErr w:type="gramStart"/>
      <w:r w:rsidR="00D64669">
        <w:rPr>
          <w:rFonts w:ascii="Times New Roman" w:hAnsi="Times New Roman" w:cs="Times New Roman"/>
          <w:i/>
          <w:sz w:val="24"/>
          <w:szCs w:val="24"/>
        </w:rPr>
        <w:t>The</w:t>
      </w:r>
      <w:proofErr w:type="gramEnd"/>
      <w:r w:rsidR="00D64669">
        <w:rPr>
          <w:rFonts w:ascii="Times New Roman" w:hAnsi="Times New Roman" w:cs="Times New Roman"/>
          <w:i/>
          <w:sz w:val="24"/>
          <w:szCs w:val="24"/>
        </w:rPr>
        <w:t xml:space="preserve"> journal of</w:t>
      </w:r>
      <w:r w:rsidR="00D64669">
        <w:rPr>
          <w:rFonts w:ascii="Times New Roman" w:hAnsi="Times New Roman" w:cs="Times New Roman"/>
          <w:i/>
          <w:sz w:val="24"/>
          <w:szCs w:val="24"/>
        </w:rPr>
        <w:tab/>
      </w:r>
      <w:r w:rsidRPr="00D64669">
        <w:rPr>
          <w:rFonts w:ascii="Times New Roman" w:hAnsi="Times New Roman" w:cs="Times New Roman"/>
          <w:i/>
          <w:sz w:val="24"/>
          <w:szCs w:val="24"/>
        </w:rPr>
        <w:t>Roman</w:t>
      </w:r>
      <w:r w:rsidRPr="00D64669">
        <w:rPr>
          <w:rFonts w:ascii="Times New Roman" w:hAnsi="Times New Roman" w:cs="Times New Roman"/>
          <w:i/>
          <w:sz w:val="24"/>
          <w:szCs w:val="24"/>
        </w:rPr>
        <w:tab/>
        <w:t>Studies</w:t>
      </w:r>
      <w:r w:rsidR="00195E4D">
        <w:rPr>
          <w:rFonts w:ascii="Times New Roman" w:hAnsi="Times New Roman" w:cs="Times New Roman"/>
          <w:sz w:val="24"/>
          <w:szCs w:val="24"/>
        </w:rPr>
        <w:t xml:space="preserve">, </w:t>
      </w:r>
      <w:r w:rsidR="00D64669">
        <w:rPr>
          <w:rFonts w:ascii="Times New Roman" w:hAnsi="Times New Roman" w:cs="Times New Roman"/>
          <w:sz w:val="24"/>
          <w:szCs w:val="24"/>
        </w:rPr>
        <w:t>76</w:t>
      </w:r>
      <w:r w:rsidR="00195E4D">
        <w:rPr>
          <w:rFonts w:ascii="Times New Roman" w:hAnsi="Times New Roman" w:cs="Times New Roman"/>
          <w:sz w:val="24"/>
          <w:szCs w:val="24"/>
        </w:rPr>
        <w:t>,</w:t>
      </w:r>
      <w:r w:rsidRPr="0083721D">
        <w:rPr>
          <w:rFonts w:ascii="Times New Roman" w:hAnsi="Times New Roman" w:cs="Times New Roman"/>
          <w:sz w:val="24"/>
          <w:szCs w:val="24"/>
        </w:rPr>
        <w:t xml:space="preserve"> 66-87. </w:t>
      </w:r>
    </w:p>
    <w:p w14:paraId="511DB337" w14:textId="77777777" w:rsidR="001F320B" w:rsidRPr="0083721D" w:rsidRDefault="001F320B" w:rsidP="001F320B">
      <w:pPr>
        <w:spacing w:line="480" w:lineRule="auto"/>
        <w:rPr>
          <w:rFonts w:ascii="Times New Roman" w:hAnsi="Times New Roman" w:cs="Times New Roman"/>
          <w:sz w:val="24"/>
          <w:szCs w:val="24"/>
        </w:rPr>
      </w:pPr>
      <w:r w:rsidRPr="0083721D">
        <w:rPr>
          <w:rFonts w:ascii="Times New Roman" w:hAnsi="Times New Roman" w:cs="Times New Roman"/>
          <w:sz w:val="24"/>
          <w:szCs w:val="24"/>
        </w:rPr>
        <w:t xml:space="preserve">Williams, S. 1985. </w:t>
      </w:r>
      <w:r w:rsidRPr="00195E4D">
        <w:rPr>
          <w:rFonts w:ascii="Times New Roman" w:hAnsi="Times New Roman" w:cs="Times New Roman"/>
          <w:i/>
          <w:sz w:val="24"/>
          <w:szCs w:val="24"/>
        </w:rPr>
        <w:t>Diocletian and the Roman Recovery</w:t>
      </w:r>
      <w:r w:rsidRPr="0083721D">
        <w:rPr>
          <w:rFonts w:ascii="Times New Roman" w:hAnsi="Times New Roman" w:cs="Times New Roman"/>
          <w:sz w:val="24"/>
          <w:szCs w:val="24"/>
        </w:rPr>
        <w:t xml:space="preserve">. London: B T </w:t>
      </w:r>
      <w:proofErr w:type="spellStart"/>
      <w:r w:rsidRPr="0083721D">
        <w:rPr>
          <w:rFonts w:ascii="Times New Roman" w:hAnsi="Times New Roman" w:cs="Times New Roman"/>
          <w:sz w:val="24"/>
          <w:szCs w:val="24"/>
        </w:rPr>
        <w:t>Batsford</w:t>
      </w:r>
      <w:proofErr w:type="spellEnd"/>
      <w:r w:rsidRPr="0083721D">
        <w:rPr>
          <w:rFonts w:ascii="Times New Roman" w:hAnsi="Times New Roman" w:cs="Times New Roman"/>
          <w:sz w:val="24"/>
          <w:szCs w:val="24"/>
        </w:rPr>
        <w:t xml:space="preserve"> Ltd.</w:t>
      </w:r>
    </w:p>
    <w:p w14:paraId="61C166B7" w14:textId="2881EC69" w:rsidR="00AC0BDB" w:rsidRPr="0083721D" w:rsidRDefault="00AC0BDB" w:rsidP="00AC0BDB">
      <w:pPr>
        <w:spacing w:after="0" w:line="360" w:lineRule="auto"/>
        <w:ind w:firstLine="720"/>
        <w:rPr>
          <w:rFonts w:ascii="Times New Roman" w:hAnsi="Times New Roman" w:cs="Times New Roman"/>
          <w:sz w:val="24"/>
          <w:szCs w:val="24"/>
        </w:rPr>
      </w:pPr>
    </w:p>
    <w:sectPr w:rsidR="00AC0BDB" w:rsidRPr="0083721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B68CB" w14:textId="77777777" w:rsidR="00172479" w:rsidRDefault="00172479" w:rsidP="00130DB4">
      <w:pPr>
        <w:spacing w:after="0" w:line="240" w:lineRule="auto"/>
      </w:pPr>
      <w:r>
        <w:separator/>
      </w:r>
    </w:p>
  </w:endnote>
  <w:endnote w:type="continuationSeparator" w:id="0">
    <w:p w14:paraId="4277296F" w14:textId="77777777" w:rsidR="00172479" w:rsidRDefault="00172479" w:rsidP="0013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8309784"/>
      <w:docPartObj>
        <w:docPartGallery w:val="Page Numbers (Bottom of Page)"/>
        <w:docPartUnique/>
      </w:docPartObj>
    </w:sdtPr>
    <w:sdtEndPr>
      <w:rPr>
        <w:noProof/>
      </w:rPr>
    </w:sdtEndPr>
    <w:sdtContent>
      <w:p w14:paraId="1596A70A" w14:textId="5295F05E" w:rsidR="00A03807" w:rsidRDefault="00A03807">
        <w:pPr>
          <w:pStyle w:val="Footer"/>
          <w:jc w:val="center"/>
        </w:pPr>
        <w:r>
          <w:fldChar w:fldCharType="begin"/>
        </w:r>
        <w:r>
          <w:instrText xml:space="preserve"> PAGE   \* MERGEFORMAT </w:instrText>
        </w:r>
        <w:r>
          <w:fldChar w:fldCharType="separate"/>
        </w:r>
        <w:r w:rsidR="005306D8">
          <w:rPr>
            <w:noProof/>
          </w:rPr>
          <w:t>9</w:t>
        </w:r>
        <w:r>
          <w:rPr>
            <w:noProof/>
          </w:rPr>
          <w:fldChar w:fldCharType="end"/>
        </w:r>
      </w:p>
    </w:sdtContent>
  </w:sdt>
  <w:p w14:paraId="3757FF82" w14:textId="77777777" w:rsidR="00A03807" w:rsidRDefault="00A038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292B2" w14:textId="77777777" w:rsidR="00172479" w:rsidRDefault="00172479" w:rsidP="00130DB4">
      <w:pPr>
        <w:spacing w:after="0" w:line="240" w:lineRule="auto"/>
      </w:pPr>
      <w:r>
        <w:separator/>
      </w:r>
    </w:p>
  </w:footnote>
  <w:footnote w:type="continuationSeparator" w:id="0">
    <w:p w14:paraId="78FA006B" w14:textId="77777777" w:rsidR="00172479" w:rsidRDefault="00172479" w:rsidP="00130DB4">
      <w:pPr>
        <w:spacing w:after="0" w:line="240" w:lineRule="auto"/>
      </w:pPr>
      <w:r>
        <w:continuationSeparator/>
      </w:r>
    </w:p>
  </w:footnote>
  <w:footnote w:id="1">
    <w:p w14:paraId="03B92942" w14:textId="77777777" w:rsidR="00A03807" w:rsidRDefault="00A03807" w:rsidP="001A7DE8">
      <w:pPr>
        <w:pStyle w:val="FootnoteText"/>
      </w:pPr>
      <w:r>
        <w:rPr>
          <w:rStyle w:val="FootnoteReference"/>
        </w:rPr>
        <w:footnoteRef/>
      </w:r>
      <w:r>
        <w:t xml:space="preserve"> Wallace-Hadrill. 1986: 68-69.</w:t>
      </w:r>
    </w:p>
  </w:footnote>
  <w:footnote w:id="2">
    <w:p w14:paraId="7FC28929" w14:textId="77777777" w:rsidR="00A03807" w:rsidRDefault="00A03807" w:rsidP="001A7DE8">
      <w:pPr>
        <w:pStyle w:val="FootnoteText"/>
      </w:pPr>
      <w:r>
        <w:rPr>
          <w:rStyle w:val="FootnoteReference"/>
        </w:rPr>
        <w:footnoteRef/>
      </w:r>
      <w:r>
        <w:t xml:space="preserve"> Wallace-Hadrill. 1986: 68; </w:t>
      </w:r>
      <w:proofErr w:type="spellStart"/>
      <w:r>
        <w:t>Kidson</w:t>
      </w:r>
      <w:proofErr w:type="spellEnd"/>
      <w:r>
        <w:t>. 2013: 4.</w:t>
      </w:r>
    </w:p>
  </w:footnote>
  <w:footnote w:id="3">
    <w:p w14:paraId="33E69F9E" w14:textId="4E88B39B" w:rsidR="00A03807" w:rsidRDefault="00A03807" w:rsidP="001A7DE8">
      <w:pPr>
        <w:pStyle w:val="FootnoteText"/>
      </w:pPr>
      <w:r>
        <w:rPr>
          <w:rStyle w:val="FootnoteReference"/>
        </w:rPr>
        <w:footnoteRef/>
      </w:r>
      <w:r>
        <w:t xml:space="preserve"> </w:t>
      </w:r>
      <w:proofErr w:type="spellStart"/>
      <w:r>
        <w:t>Kidson</w:t>
      </w:r>
      <w:proofErr w:type="spellEnd"/>
      <w:r>
        <w:t>. 2013: 4; Sutherland 1940: 76.</w:t>
      </w:r>
      <w:r w:rsidR="00AC0BDB">
        <w:t xml:space="preserve"> </w:t>
      </w:r>
      <w:proofErr w:type="spellStart"/>
      <w:r w:rsidR="00AC0BDB">
        <w:t>Levick</w:t>
      </w:r>
      <w:proofErr w:type="spellEnd"/>
      <w:r w:rsidR="00AC0BDB">
        <w:t xml:space="preserve">: 1982: 107. </w:t>
      </w:r>
      <w:proofErr w:type="spellStart"/>
      <w:r w:rsidR="00AC0BDB">
        <w:t>Levick</w:t>
      </w:r>
      <w:proofErr w:type="spellEnd"/>
      <w:r w:rsidR="00AC0BDB">
        <w:t xml:space="preserve"> 1999: 58.</w:t>
      </w:r>
    </w:p>
  </w:footnote>
  <w:footnote w:id="4">
    <w:p w14:paraId="37262B58" w14:textId="54ED3186" w:rsidR="00A03807" w:rsidRDefault="00A03807" w:rsidP="001A7DE8">
      <w:pPr>
        <w:pStyle w:val="FootnoteText"/>
      </w:pPr>
      <w:r>
        <w:rPr>
          <w:rStyle w:val="FootnoteReference"/>
        </w:rPr>
        <w:footnoteRef/>
      </w:r>
      <w:r>
        <w:t xml:space="preserve"> Wallace-Hadrill. 1986: 69.</w:t>
      </w:r>
      <w:r w:rsidR="001170C8">
        <w:t xml:space="preserve"> </w:t>
      </w:r>
      <w:r w:rsidR="00AC0BDB">
        <w:t xml:space="preserve">Crawford 1974: 712. </w:t>
      </w:r>
      <w:r w:rsidR="001170C8">
        <w:t xml:space="preserve">Crawford 1983: </w:t>
      </w:r>
      <w:r w:rsidR="00AC0BDB">
        <w:t>59</w:t>
      </w:r>
      <w:r w:rsidR="001170C8">
        <w:t>. Sutherland</w:t>
      </w:r>
      <w:r w:rsidR="00AC0BDB">
        <w:t xml:space="preserve"> 1983: 77. </w:t>
      </w:r>
    </w:p>
  </w:footnote>
  <w:footnote w:id="5">
    <w:p w14:paraId="6C938FD9" w14:textId="77777777" w:rsidR="00A03807" w:rsidRDefault="00A03807" w:rsidP="001A7DE8">
      <w:pPr>
        <w:pStyle w:val="FootnoteText"/>
      </w:pPr>
      <w:r>
        <w:rPr>
          <w:rStyle w:val="FootnoteReference"/>
        </w:rPr>
        <w:footnoteRef/>
      </w:r>
      <w:r>
        <w:t xml:space="preserve"> Wallace-Hadrill. 1986: 69-70.</w:t>
      </w:r>
    </w:p>
  </w:footnote>
  <w:footnote w:id="6">
    <w:p w14:paraId="2913A3C7" w14:textId="77777777" w:rsidR="00A03807" w:rsidRPr="005C2649" w:rsidRDefault="00A03807" w:rsidP="001A7DE8">
      <w:pPr>
        <w:pStyle w:val="FootnoteText"/>
      </w:pPr>
      <w:r>
        <w:rPr>
          <w:rStyle w:val="FootnoteReference"/>
        </w:rPr>
        <w:footnoteRef/>
      </w:r>
      <w:r>
        <w:t xml:space="preserve"> 286 AD Diocletian issued a new version of the </w:t>
      </w:r>
      <w:r w:rsidRPr="005C2649">
        <w:rPr>
          <w:i/>
        </w:rPr>
        <w:t>aureus</w:t>
      </w:r>
      <w:r>
        <w:rPr>
          <w:i/>
        </w:rPr>
        <w:t xml:space="preserve"> </w:t>
      </w:r>
      <w:r w:rsidRPr="005C2649">
        <w:t xml:space="preserve">and </w:t>
      </w:r>
      <w:r>
        <w:t xml:space="preserve">shortly after the creation of the tetrarchy </w:t>
      </w:r>
      <w:r w:rsidRPr="005C2649">
        <w:t>in 293</w:t>
      </w:r>
      <w:r>
        <w:t xml:space="preserve"> AD, Diocletian issued the </w:t>
      </w:r>
      <w:r>
        <w:rPr>
          <w:i/>
        </w:rPr>
        <w:t>Argenteus</w:t>
      </w:r>
      <w:r>
        <w:t xml:space="preserve"> as a new silver coin.</w:t>
      </w:r>
      <w:r>
        <w:rPr>
          <w:i/>
        </w:rPr>
        <w:t xml:space="preserve"> </w:t>
      </w:r>
      <w:r>
        <w:t>Williams 1985: 117.</w:t>
      </w:r>
    </w:p>
  </w:footnote>
  <w:footnote w:id="7">
    <w:p w14:paraId="6F73048D" w14:textId="77777777" w:rsidR="00A03807" w:rsidRDefault="00A03807" w:rsidP="001A7DE8">
      <w:pPr>
        <w:pStyle w:val="FootnoteText"/>
        <w:tabs>
          <w:tab w:val="left" w:pos="3645"/>
        </w:tabs>
      </w:pPr>
      <w:r>
        <w:rPr>
          <w:rStyle w:val="FootnoteReference"/>
        </w:rPr>
        <w:footnoteRef/>
      </w:r>
      <w:r>
        <w:t xml:space="preserve"> Wallace-Hadrill. 1986: 71.</w:t>
      </w:r>
      <w:r>
        <w:tab/>
      </w:r>
    </w:p>
  </w:footnote>
  <w:footnote w:id="8">
    <w:p w14:paraId="16861FFB" w14:textId="77777777" w:rsidR="00A03807" w:rsidRDefault="00A03807" w:rsidP="001A7DE8">
      <w:pPr>
        <w:pStyle w:val="FootnoteText"/>
      </w:pPr>
      <w:r>
        <w:rPr>
          <w:rStyle w:val="FootnoteReference"/>
        </w:rPr>
        <w:footnoteRef/>
      </w:r>
      <w:r>
        <w:t xml:space="preserve"> Wallace-Hadrill. 1986: 72-73.</w:t>
      </w:r>
    </w:p>
  </w:footnote>
  <w:footnote w:id="9">
    <w:p w14:paraId="0F5147AD" w14:textId="77777777" w:rsidR="00A03807" w:rsidRDefault="00A03807" w:rsidP="001A7DE8">
      <w:pPr>
        <w:pStyle w:val="FootnoteText"/>
      </w:pPr>
      <w:r>
        <w:rPr>
          <w:rStyle w:val="FootnoteReference"/>
        </w:rPr>
        <w:footnoteRef/>
      </w:r>
      <w:r>
        <w:t xml:space="preserve"> Wallace-Hadrill. 1986: 75.</w:t>
      </w:r>
    </w:p>
  </w:footnote>
  <w:footnote w:id="10">
    <w:p w14:paraId="2D8348A1" w14:textId="3958FB28" w:rsidR="002D298E" w:rsidRDefault="002D298E">
      <w:pPr>
        <w:pStyle w:val="FootnoteText"/>
      </w:pPr>
      <w:r>
        <w:rPr>
          <w:rStyle w:val="FootnoteReference"/>
        </w:rPr>
        <w:footnoteRef/>
      </w:r>
      <w:r>
        <w:t xml:space="preserve"> Wallace-Hadrill. 1986: 76-77.</w:t>
      </w:r>
    </w:p>
  </w:footnote>
  <w:footnote w:id="11">
    <w:p w14:paraId="02D455E8" w14:textId="347B5EA1" w:rsidR="00A03807" w:rsidRDefault="00A03807" w:rsidP="001A7DE8">
      <w:pPr>
        <w:pStyle w:val="FootnoteText"/>
      </w:pPr>
      <w:r>
        <w:rPr>
          <w:rStyle w:val="FootnoteReference"/>
        </w:rPr>
        <w:footnoteRef/>
      </w:r>
      <w:r>
        <w:t xml:space="preserve"> Wallace-Hadrill. 1986: 80.</w:t>
      </w:r>
      <w:r w:rsidR="00EE6717">
        <w:t xml:space="preserve"> </w:t>
      </w:r>
    </w:p>
  </w:footnote>
  <w:footnote w:id="12">
    <w:p w14:paraId="656BCD74" w14:textId="77777777" w:rsidR="00A03807" w:rsidRDefault="00A03807" w:rsidP="001A7DE8">
      <w:pPr>
        <w:pStyle w:val="FootnoteText"/>
      </w:pPr>
      <w:r>
        <w:rPr>
          <w:rStyle w:val="FootnoteReference"/>
        </w:rPr>
        <w:footnoteRef/>
      </w:r>
      <w:r>
        <w:t xml:space="preserve"> Wallace-Hadrill. 1986: 81-82.</w:t>
      </w:r>
    </w:p>
  </w:footnote>
  <w:footnote w:id="13">
    <w:p w14:paraId="2E8F6141" w14:textId="77777777" w:rsidR="00A03807" w:rsidRDefault="00A03807" w:rsidP="001A7DE8">
      <w:pPr>
        <w:pStyle w:val="FootnoteText"/>
      </w:pPr>
      <w:r>
        <w:rPr>
          <w:rStyle w:val="FootnoteReference"/>
        </w:rPr>
        <w:footnoteRef/>
      </w:r>
      <w:r>
        <w:t xml:space="preserve"> Wallace-Hadrill. 1986: 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8EE7F" w14:textId="3C41698F" w:rsidR="00710BF1" w:rsidRPr="00710BF1" w:rsidRDefault="00710BF1" w:rsidP="00710BF1">
    <w:pPr>
      <w:pStyle w:val="Heading1"/>
      <w:shd w:val="clear" w:color="auto" w:fill="FFFFFF"/>
      <w:spacing w:before="0" w:beforeAutospacing="0" w:after="0" w:afterAutospacing="0" w:line="600" w:lineRule="atLeast"/>
      <w:rPr>
        <w:rFonts w:asciiTheme="minorHAnsi" w:hAnsiTheme="minorHAnsi"/>
        <w:b w:val="0"/>
        <w:sz w:val="22"/>
        <w:szCs w:val="22"/>
      </w:rPr>
    </w:pPr>
    <w:r>
      <w:rPr>
        <w:rFonts w:asciiTheme="minorHAnsi" w:hAnsiTheme="minorHAnsi"/>
        <w:b w:val="0"/>
        <w:sz w:val="22"/>
        <w:szCs w:val="22"/>
      </w:rPr>
      <w:t xml:space="preserve">Alexander Goodman </w:t>
    </w:r>
    <w:r w:rsidRPr="00613FCD">
      <w:rPr>
        <w:rFonts w:asciiTheme="minorHAnsi" w:hAnsiTheme="minorHAnsi"/>
        <w:b w:val="0"/>
        <w:sz w:val="22"/>
        <w:szCs w:val="22"/>
      </w:rPr>
      <w:t xml:space="preserve">1400461 </w:t>
    </w:r>
    <w:r w:rsidRPr="00613FCD">
      <w:rPr>
        <w:rFonts w:asciiTheme="minorHAnsi" w:hAnsiTheme="minorHAnsi"/>
        <w:b w:val="0"/>
        <w:sz w:val="22"/>
        <w:szCs w:val="22"/>
      </w:rPr>
      <w:ptab w:relativeTo="margin" w:alignment="center" w:leader="none"/>
    </w:r>
    <w:r>
      <w:rPr>
        <w:rFonts w:asciiTheme="minorHAnsi" w:hAnsiTheme="minorHAnsi"/>
        <w:b w:val="0"/>
        <w:sz w:val="22"/>
        <w:szCs w:val="22"/>
      </w:rPr>
      <w:t xml:space="preserve">                   CLCL7005</w:t>
    </w:r>
    <w:r w:rsidRPr="00613FCD">
      <w:rPr>
        <w:rFonts w:asciiTheme="minorHAnsi" w:hAnsiTheme="minorHAnsi"/>
        <w:b w:val="0"/>
        <w:i/>
        <w:iCs/>
        <w:sz w:val="22"/>
        <w:szCs w:val="22"/>
      </w:rPr>
      <w:t> </w:t>
    </w:r>
    <w:r>
      <w:rPr>
        <w:rFonts w:asciiTheme="minorHAnsi" w:hAnsiTheme="minorHAnsi"/>
        <w:b w:val="0"/>
        <w:sz w:val="22"/>
        <w:szCs w:val="22"/>
      </w:rPr>
      <w:t>Theory and Methodology for the study of Classics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B4"/>
    <w:rsid w:val="0000265A"/>
    <w:rsid w:val="00011AAE"/>
    <w:rsid w:val="00054F1E"/>
    <w:rsid w:val="000A5473"/>
    <w:rsid w:val="000B2051"/>
    <w:rsid w:val="000C4406"/>
    <w:rsid w:val="000D408C"/>
    <w:rsid w:val="000E024A"/>
    <w:rsid w:val="0010778A"/>
    <w:rsid w:val="001170C8"/>
    <w:rsid w:val="00130DB4"/>
    <w:rsid w:val="00143733"/>
    <w:rsid w:val="00153A50"/>
    <w:rsid w:val="00160AB2"/>
    <w:rsid w:val="00172479"/>
    <w:rsid w:val="0018517B"/>
    <w:rsid w:val="00195E4D"/>
    <w:rsid w:val="0019735E"/>
    <w:rsid w:val="001A7DE8"/>
    <w:rsid w:val="001C6BF7"/>
    <w:rsid w:val="001F320B"/>
    <w:rsid w:val="001F4A08"/>
    <w:rsid w:val="00205A98"/>
    <w:rsid w:val="00220BC5"/>
    <w:rsid w:val="00237E99"/>
    <w:rsid w:val="00287BD0"/>
    <w:rsid w:val="00295DD9"/>
    <w:rsid w:val="002B6DAA"/>
    <w:rsid w:val="002D298E"/>
    <w:rsid w:val="002E15B7"/>
    <w:rsid w:val="0031188F"/>
    <w:rsid w:val="00324010"/>
    <w:rsid w:val="00383085"/>
    <w:rsid w:val="00391C7A"/>
    <w:rsid w:val="00393085"/>
    <w:rsid w:val="003B3D33"/>
    <w:rsid w:val="003E55AD"/>
    <w:rsid w:val="00433D5E"/>
    <w:rsid w:val="00452E13"/>
    <w:rsid w:val="0045357E"/>
    <w:rsid w:val="004558B2"/>
    <w:rsid w:val="00476F98"/>
    <w:rsid w:val="004815B7"/>
    <w:rsid w:val="004B4731"/>
    <w:rsid w:val="004B60CF"/>
    <w:rsid w:val="004C0151"/>
    <w:rsid w:val="004E45CD"/>
    <w:rsid w:val="004E77F3"/>
    <w:rsid w:val="00512A47"/>
    <w:rsid w:val="005144A4"/>
    <w:rsid w:val="005233E0"/>
    <w:rsid w:val="005306D8"/>
    <w:rsid w:val="0053662D"/>
    <w:rsid w:val="0054614B"/>
    <w:rsid w:val="005634C2"/>
    <w:rsid w:val="005A0EA1"/>
    <w:rsid w:val="005A3C42"/>
    <w:rsid w:val="005C2649"/>
    <w:rsid w:val="005C3EAB"/>
    <w:rsid w:val="006363D3"/>
    <w:rsid w:val="00636D54"/>
    <w:rsid w:val="00672E5F"/>
    <w:rsid w:val="00676B5C"/>
    <w:rsid w:val="006872E2"/>
    <w:rsid w:val="006C6AAE"/>
    <w:rsid w:val="006D01E1"/>
    <w:rsid w:val="006D19EA"/>
    <w:rsid w:val="006D670E"/>
    <w:rsid w:val="00710BF1"/>
    <w:rsid w:val="00721ACA"/>
    <w:rsid w:val="00742609"/>
    <w:rsid w:val="007448F6"/>
    <w:rsid w:val="007465AC"/>
    <w:rsid w:val="00747B63"/>
    <w:rsid w:val="007556F2"/>
    <w:rsid w:val="0078450F"/>
    <w:rsid w:val="007942EA"/>
    <w:rsid w:val="007D3566"/>
    <w:rsid w:val="007E67B3"/>
    <w:rsid w:val="007F5494"/>
    <w:rsid w:val="007F65B3"/>
    <w:rsid w:val="00834B3D"/>
    <w:rsid w:val="0083721D"/>
    <w:rsid w:val="00864120"/>
    <w:rsid w:val="0087558C"/>
    <w:rsid w:val="00880513"/>
    <w:rsid w:val="00886904"/>
    <w:rsid w:val="008A502B"/>
    <w:rsid w:val="008B3A3D"/>
    <w:rsid w:val="008D03B7"/>
    <w:rsid w:val="008F0905"/>
    <w:rsid w:val="00905454"/>
    <w:rsid w:val="009072BF"/>
    <w:rsid w:val="009142DE"/>
    <w:rsid w:val="0092010B"/>
    <w:rsid w:val="00940D29"/>
    <w:rsid w:val="00961D58"/>
    <w:rsid w:val="00962C4F"/>
    <w:rsid w:val="00965D1C"/>
    <w:rsid w:val="009858F1"/>
    <w:rsid w:val="009B28C7"/>
    <w:rsid w:val="009C54DC"/>
    <w:rsid w:val="009F1095"/>
    <w:rsid w:val="00A03807"/>
    <w:rsid w:val="00A05177"/>
    <w:rsid w:val="00A1065D"/>
    <w:rsid w:val="00A7383B"/>
    <w:rsid w:val="00A74681"/>
    <w:rsid w:val="00AA5AFF"/>
    <w:rsid w:val="00AA6546"/>
    <w:rsid w:val="00AC0BDB"/>
    <w:rsid w:val="00AC6D18"/>
    <w:rsid w:val="00B11A92"/>
    <w:rsid w:val="00B15BB9"/>
    <w:rsid w:val="00B630B3"/>
    <w:rsid w:val="00B67332"/>
    <w:rsid w:val="00B94D4F"/>
    <w:rsid w:val="00BA086F"/>
    <w:rsid w:val="00BA3400"/>
    <w:rsid w:val="00BB5C5F"/>
    <w:rsid w:val="00BE02A1"/>
    <w:rsid w:val="00C170A5"/>
    <w:rsid w:val="00C26A5F"/>
    <w:rsid w:val="00C275A0"/>
    <w:rsid w:val="00C30388"/>
    <w:rsid w:val="00C634EA"/>
    <w:rsid w:val="00C80C56"/>
    <w:rsid w:val="00C86805"/>
    <w:rsid w:val="00C958A2"/>
    <w:rsid w:val="00C96BBF"/>
    <w:rsid w:val="00CA254C"/>
    <w:rsid w:val="00CD4AC5"/>
    <w:rsid w:val="00CE1B38"/>
    <w:rsid w:val="00D178AA"/>
    <w:rsid w:val="00D621C8"/>
    <w:rsid w:val="00D64669"/>
    <w:rsid w:val="00D75DA5"/>
    <w:rsid w:val="00D83D24"/>
    <w:rsid w:val="00D931A4"/>
    <w:rsid w:val="00DA0D58"/>
    <w:rsid w:val="00DA324E"/>
    <w:rsid w:val="00DA54E6"/>
    <w:rsid w:val="00DB3051"/>
    <w:rsid w:val="00DD34E4"/>
    <w:rsid w:val="00DD5075"/>
    <w:rsid w:val="00DE58C6"/>
    <w:rsid w:val="00DF65C0"/>
    <w:rsid w:val="00E268FA"/>
    <w:rsid w:val="00E407FA"/>
    <w:rsid w:val="00E43874"/>
    <w:rsid w:val="00E833EE"/>
    <w:rsid w:val="00ED0206"/>
    <w:rsid w:val="00ED369E"/>
    <w:rsid w:val="00ED396B"/>
    <w:rsid w:val="00EE0D8E"/>
    <w:rsid w:val="00EE6717"/>
    <w:rsid w:val="00EF4243"/>
    <w:rsid w:val="00F0631D"/>
    <w:rsid w:val="00F06532"/>
    <w:rsid w:val="00F216FB"/>
    <w:rsid w:val="00F244AF"/>
    <w:rsid w:val="00F4022C"/>
    <w:rsid w:val="00F66525"/>
    <w:rsid w:val="00F70421"/>
    <w:rsid w:val="00FA693E"/>
    <w:rsid w:val="00FA7F07"/>
    <w:rsid w:val="00FD0617"/>
    <w:rsid w:val="00FD3AC5"/>
    <w:rsid w:val="00FE3DD1"/>
    <w:rsid w:val="00FE7066"/>
    <w:rsid w:val="00FF0A50"/>
    <w:rsid w:val="00FF33A3"/>
    <w:rsid w:val="00FF5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EC2"/>
  <w15:docId w15:val="{32272D9A-C385-4195-ABB5-11F237E8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DB4"/>
    <w:pPr>
      <w:spacing w:after="160" w:line="259" w:lineRule="auto"/>
    </w:pPr>
  </w:style>
  <w:style w:type="paragraph" w:styleId="Heading1">
    <w:name w:val="heading 1"/>
    <w:basedOn w:val="Normal"/>
    <w:link w:val="Heading1Char"/>
    <w:uiPriority w:val="9"/>
    <w:qFormat/>
    <w:rsid w:val="00710B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DB4"/>
  </w:style>
  <w:style w:type="paragraph" w:styleId="Footer">
    <w:name w:val="footer"/>
    <w:basedOn w:val="Normal"/>
    <w:link w:val="FooterChar"/>
    <w:uiPriority w:val="99"/>
    <w:unhideWhenUsed/>
    <w:rsid w:val="00130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DB4"/>
  </w:style>
  <w:style w:type="character" w:styleId="CommentReference">
    <w:name w:val="annotation reference"/>
    <w:basedOn w:val="DefaultParagraphFont"/>
    <w:uiPriority w:val="99"/>
    <w:semiHidden/>
    <w:unhideWhenUsed/>
    <w:rsid w:val="00130DB4"/>
    <w:rPr>
      <w:sz w:val="16"/>
      <w:szCs w:val="16"/>
    </w:rPr>
  </w:style>
  <w:style w:type="paragraph" w:styleId="CommentText">
    <w:name w:val="annotation text"/>
    <w:basedOn w:val="Normal"/>
    <w:link w:val="CommentTextChar"/>
    <w:uiPriority w:val="99"/>
    <w:semiHidden/>
    <w:unhideWhenUsed/>
    <w:rsid w:val="00130DB4"/>
    <w:pPr>
      <w:spacing w:line="240" w:lineRule="auto"/>
    </w:pPr>
    <w:rPr>
      <w:sz w:val="20"/>
      <w:szCs w:val="20"/>
    </w:rPr>
  </w:style>
  <w:style w:type="character" w:customStyle="1" w:styleId="CommentTextChar">
    <w:name w:val="Comment Text Char"/>
    <w:basedOn w:val="DefaultParagraphFont"/>
    <w:link w:val="CommentText"/>
    <w:uiPriority w:val="99"/>
    <w:semiHidden/>
    <w:rsid w:val="00130DB4"/>
    <w:rPr>
      <w:sz w:val="20"/>
      <w:szCs w:val="20"/>
    </w:rPr>
  </w:style>
  <w:style w:type="paragraph" w:styleId="CommentSubject">
    <w:name w:val="annotation subject"/>
    <w:basedOn w:val="CommentText"/>
    <w:next w:val="CommentText"/>
    <w:link w:val="CommentSubjectChar"/>
    <w:uiPriority w:val="99"/>
    <w:semiHidden/>
    <w:unhideWhenUsed/>
    <w:rsid w:val="00130DB4"/>
    <w:rPr>
      <w:b/>
      <w:bCs/>
    </w:rPr>
  </w:style>
  <w:style w:type="character" w:customStyle="1" w:styleId="CommentSubjectChar">
    <w:name w:val="Comment Subject Char"/>
    <w:basedOn w:val="CommentTextChar"/>
    <w:link w:val="CommentSubject"/>
    <w:uiPriority w:val="99"/>
    <w:semiHidden/>
    <w:rsid w:val="00130DB4"/>
    <w:rPr>
      <w:b/>
      <w:bCs/>
      <w:sz w:val="20"/>
      <w:szCs w:val="20"/>
    </w:rPr>
  </w:style>
  <w:style w:type="paragraph" w:styleId="BalloonText">
    <w:name w:val="Balloon Text"/>
    <w:basedOn w:val="Normal"/>
    <w:link w:val="BalloonTextChar"/>
    <w:uiPriority w:val="99"/>
    <w:semiHidden/>
    <w:unhideWhenUsed/>
    <w:rsid w:val="00130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DB4"/>
    <w:rPr>
      <w:rFonts w:ascii="Tahoma" w:hAnsi="Tahoma" w:cs="Tahoma"/>
      <w:sz w:val="16"/>
      <w:szCs w:val="16"/>
    </w:rPr>
  </w:style>
  <w:style w:type="paragraph" w:styleId="FootnoteText">
    <w:name w:val="footnote text"/>
    <w:basedOn w:val="Normal"/>
    <w:link w:val="FootnoteTextChar"/>
    <w:uiPriority w:val="99"/>
    <w:semiHidden/>
    <w:unhideWhenUsed/>
    <w:rsid w:val="00BA08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086F"/>
    <w:rPr>
      <w:sz w:val="20"/>
      <w:szCs w:val="20"/>
    </w:rPr>
  </w:style>
  <w:style w:type="character" w:styleId="FootnoteReference">
    <w:name w:val="footnote reference"/>
    <w:basedOn w:val="DefaultParagraphFont"/>
    <w:uiPriority w:val="99"/>
    <w:semiHidden/>
    <w:unhideWhenUsed/>
    <w:rsid w:val="00BA086F"/>
    <w:rPr>
      <w:vertAlign w:val="superscript"/>
    </w:rPr>
  </w:style>
  <w:style w:type="character" w:customStyle="1" w:styleId="Heading1Char">
    <w:name w:val="Heading 1 Char"/>
    <w:basedOn w:val="DefaultParagraphFont"/>
    <w:link w:val="Heading1"/>
    <w:uiPriority w:val="9"/>
    <w:rsid w:val="00710BF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C85A6-2F31-4F3A-AC67-39D72A8F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2948</Words>
  <Characters>16804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Goodman</cp:lastModifiedBy>
  <cp:revision>3</cp:revision>
  <dcterms:created xsi:type="dcterms:W3CDTF">2018-05-23T16:28:00Z</dcterms:created>
  <dcterms:modified xsi:type="dcterms:W3CDTF">2018-05-24T12:06:00Z</dcterms:modified>
</cp:coreProperties>
</file>