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42C04" w14:textId="77777777" w:rsidR="000673FE" w:rsidRPr="00A43CB2" w:rsidRDefault="000673FE" w:rsidP="00A43CB2">
      <w:pPr>
        <w:jc w:val="center"/>
        <w:rPr>
          <w:rFonts w:ascii="Arial" w:eastAsia="Arial" w:hAnsi="Arial" w:cs="Arial"/>
          <w:b/>
          <w:bCs/>
          <w:sz w:val="32"/>
          <w:szCs w:val="32"/>
        </w:rPr>
      </w:pPr>
      <w:bookmarkStart w:id="0" w:name="_fgy390evhxka" w:colFirst="0" w:colLast="0"/>
      <w:bookmarkEnd w:id="0"/>
      <w:r w:rsidRPr="00A43CB2">
        <w:rPr>
          <w:rFonts w:ascii="Arial" w:eastAsia="Arial" w:hAnsi="Arial" w:cs="Arial"/>
          <w:b/>
          <w:bCs/>
          <w:noProof/>
          <w:sz w:val="32"/>
          <w:szCs w:val="32"/>
        </w:rPr>
        <w:drawing>
          <wp:inline distT="114300" distB="114300" distL="114300" distR="114300" wp14:anchorId="2F7605F3" wp14:editId="5DCEF798">
            <wp:extent cx="3086100" cy="1190625"/>
            <wp:effectExtent l="0" t="0" r="0" b="9525"/>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087025" cy="1190982"/>
                    </a:xfrm>
                    <a:prstGeom prst="rect">
                      <a:avLst/>
                    </a:prstGeom>
                    <a:ln/>
                  </pic:spPr>
                </pic:pic>
              </a:graphicData>
            </a:graphic>
          </wp:inline>
        </w:drawing>
      </w:r>
    </w:p>
    <w:p w14:paraId="75795B82" w14:textId="77777777" w:rsidR="000673FE" w:rsidRPr="00A43CB2" w:rsidRDefault="000673FE" w:rsidP="00A43CB2">
      <w:pPr>
        <w:jc w:val="center"/>
        <w:rPr>
          <w:rFonts w:ascii="Arial" w:eastAsia="Arial" w:hAnsi="Arial" w:cs="Arial"/>
          <w:b/>
          <w:bCs/>
          <w:sz w:val="28"/>
          <w:szCs w:val="28"/>
        </w:rPr>
      </w:pPr>
    </w:p>
    <w:p w14:paraId="4BB8840F" w14:textId="77777777" w:rsidR="000673FE" w:rsidRPr="00A43CB2" w:rsidRDefault="000673FE" w:rsidP="00A43CB2">
      <w:pPr>
        <w:jc w:val="center"/>
        <w:rPr>
          <w:rFonts w:ascii="Arial" w:eastAsia="Arial" w:hAnsi="Arial" w:cs="Arial"/>
          <w:b/>
          <w:bCs/>
          <w:sz w:val="28"/>
          <w:szCs w:val="28"/>
        </w:rPr>
      </w:pPr>
      <w:r w:rsidRPr="00A43CB2">
        <w:rPr>
          <w:rFonts w:ascii="Arial" w:eastAsia="Arial" w:hAnsi="Arial" w:cs="Arial"/>
          <w:b/>
          <w:bCs/>
          <w:sz w:val="28"/>
          <w:szCs w:val="28"/>
        </w:rPr>
        <w:t>Student ID: 2542500</w:t>
      </w:r>
    </w:p>
    <w:p w14:paraId="00AF1AC8" w14:textId="77777777" w:rsidR="000673FE" w:rsidRPr="00A43CB2" w:rsidRDefault="000673FE" w:rsidP="00A43CB2">
      <w:pPr>
        <w:jc w:val="center"/>
        <w:rPr>
          <w:rFonts w:ascii="Arial" w:eastAsia="Arial" w:hAnsi="Arial" w:cs="Arial"/>
          <w:b/>
          <w:bCs/>
          <w:sz w:val="28"/>
          <w:szCs w:val="28"/>
        </w:rPr>
      </w:pPr>
      <w:r w:rsidRPr="00A43CB2">
        <w:rPr>
          <w:rFonts w:ascii="Arial" w:eastAsia="Arial" w:hAnsi="Arial" w:cs="Arial"/>
          <w:b/>
          <w:bCs/>
          <w:sz w:val="28"/>
          <w:szCs w:val="28"/>
        </w:rPr>
        <w:t>Student Name: PATEL PRINCEKUMAR HARSHADBHAI</w:t>
      </w:r>
    </w:p>
    <w:p w14:paraId="58A30A46" w14:textId="77777777" w:rsidR="000673FE" w:rsidRPr="00A43CB2" w:rsidRDefault="000673FE" w:rsidP="00A43CB2">
      <w:pPr>
        <w:jc w:val="center"/>
        <w:rPr>
          <w:rFonts w:ascii="Arial" w:eastAsia="Arial" w:hAnsi="Arial" w:cs="Arial"/>
          <w:b/>
          <w:bCs/>
          <w:sz w:val="28"/>
          <w:szCs w:val="28"/>
        </w:rPr>
      </w:pPr>
    </w:p>
    <w:p w14:paraId="01CE124D" w14:textId="549B5061" w:rsidR="000673FE" w:rsidRPr="00A43CB2" w:rsidRDefault="000673FE" w:rsidP="00A43CB2">
      <w:pPr>
        <w:jc w:val="center"/>
        <w:rPr>
          <w:rFonts w:ascii="Arial" w:eastAsia="Arial" w:hAnsi="Arial" w:cs="Arial"/>
          <w:b/>
          <w:bCs/>
          <w:sz w:val="28"/>
          <w:szCs w:val="28"/>
        </w:rPr>
      </w:pPr>
      <w:r w:rsidRPr="00A43CB2">
        <w:rPr>
          <w:rFonts w:ascii="Arial" w:eastAsia="Arial" w:hAnsi="Arial" w:cs="Arial"/>
          <w:b/>
          <w:bCs/>
          <w:sz w:val="28"/>
          <w:szCs w:val="28"/>
        </w:rPr>
        <w:t>Module name: Marketing Management</w:t>
      </w:r>
    </w:p>
    <w:p w14:paraId="59A0BE02" w14:textId="3E1346D3" w:rsidR="000673FE" w:rsidRPr="00A43CB2" w:rsidRDefault="000673FE" w:rsidP="00A43CB2">
      <w:pPr>
        <w:jc w:val="center"/>
        <w:rPr>
          <w:rFonts w:ascii="Arial" w:eastAsia="Arial" w:hAnsi="Arial" w:cs="Arial"/>
          <w:b/>
          <w:bCs/>
          <w:sz w:val="28"/>
          <w:szCs w:val="28"/>
        </w:rPr>
      </w:pPr>
      <w:r w:rsidRPr="00A43CB2">
        <w:rPr>
          <w:rFonts w:ascii="Arial" w:eastAsia="Arial" w:hAnsi="Arial" w:cs="Arial"/>
          <w:b/>
          <w:bCs/>
          <w:sz w:val="28"/>
          <w:szCs w:val="28"/>
        </w:rPr>
        <w:t>Module code: LCMB7024</w:t>
      </w:r>
    </w:p>
    <w:p w14:paraId="1FFBACF2" w14:textId="77777777" w:rsidR="00FE432C" w:rsidRPr="00A43CB2" w:rsidRDefault="00FE432C" w:rsidP="00A43CB2">
      <w:pPr>
        <w:pStyle w:val="Title"/>
        <w:jc w:val="both"/>
        <w:rPr>
          <w:rFonts w:ascii="Arial" w:hAnsi="Arial" w:cs="Arial"/>
          <w:sz w:val="28"/>
          <w:szCs w:val="28"/>
        </w:rPr>
      </w:pPr>
      <w:bookmarkStart w:id="1" w:name="_59n68uw7ir6o" w:colFirst="0" w:colLast="0"/>
      <w:bookmarkEnd w:id="1"/>
    </w:p>
    <w:p w14:paraId="15269496" w14:textId="77777777" w:rsidR="00FE432C" w:rsidRPr="00A43CB2" w:rsidRDefault="0027563E" w:rsidP="00A43CB2">
      <w:pPr>
        <w:pStyle w:val="Title"/>
        <w:rPr>
          <w:rFonts w:ascii="Arial" w:hAnsi="Arial" w:cs="Arial"/>
          <w:sz w:val="28"/>
          <w:szCs w:val="28"/>
        </w:rPr>
      </w:pPr>
      <w:bookmarkStart w:id="2" w:name="_kb5ofb3831gi" w:colFirst="0" w:colLast="0"/>
      <w:bookmarkEnd w:id="2"/>
      <w:r w:rsidRPr="00A43CB2">
        <w:rPr>
          <w:rFonts w:ascii="Arial" w:hAnsi="Arial" w:cs="Arial"/>
          <w:sz w:val="28"/>
          <w:szCs w:val="28"/>
        </w:rPr>
        <w:t>MARKETING ENVIRONMENT ANALYSIS AND STRATEGIC GROWTH RECOMMENDATIONS FOR RIO TINTO PLC: ACHIEVING COMPETITIVE ADVANTAGE THROUGH THE TRANSITION TO LOW-CARBON MINING</w:t>
      </w:r>
    </w:p>
    <w:p w14:paraId="041EFBB6" w14:textId="7D185DBB" w:rsidR="00FE432C" w:rsidRPr="00A43CB2" w:rsidRDefault="0027563E" w:rsidP="00A43CB2">
      <w:pPr>
        <w:jc w:val="center"/>
        <w:rPr>
          <w:rFonts w:ascii="Arial" w:hAnsi="Arial" w:cs="Arial"/>
          <w:sz w:val="28"/>
          <w:szCs w:val="28"/>
        </w:rPr>
      </w:pPr>
      <w:r w:rsidRPr="00A43CB2">
        <w:rPr>
          <w:rFonts w:ascii="Arial" w:hAnsi="Arial" w:cs="Arial"/>
          <w:sz w:val="28"/>
          <w:szCs w:val="28"/>
        </w:rPr>
        <w:br w:type="page"/>
      </w:r>
    </w:p>
    <w:p w14:paraId="33AB37F4" w14:textId="57785EA9" w:rsidR="00FE432C" w:rsidRDefault="0027563E" w:rsidP="00A43CB2">
      <w:pPr>
        <w:jc w:val="center"/>
        <w:rPr>
          <w:rFonts w:ascii="Arial" w:hAnsi="Arial" w:cs="Arial"/>
          <w:b/>
          <w:bCs/>
        </w:rPr>
      </w:pPr>
      <w:r w:rsidRPr="00A43CB2">
        <w:rPr>
          <w:rFonts w:ascii="Arial" w:hAnsi="Arial" w:cs="Arial"/>
          <w:b/>
          <w:bCs/>
        </w:rPr>
        <w:lastRenderedPageBreak/>
        <w:t>Executive Summary</w:t>
      </w:r>
    </w:p>
    <w:p w14:paraId="3FD46511" w14:textId="77777777" w:rsidR="001120FA" w:rsidRPr="00A43CB2" w:rsidRDefault="001120FA" w:rsidP="00A43CB2">
      <w:pPr>
        <w:jc w:val="center"/>
        <w:rPr>
          <w:rFonts w:ascii="Arial" w:hAnsi="Arial" w:cs="Arial"/>
          <w:b/>
          <w:bCs/>
        </w:rPr>
      </w:pPr>
    </w:p>
    <w:p w14:paraId="4A8E6661" w14:textId="2AD0DA01" w:rsidR="00FE432C" w:rsidRPr="00A43CB2" w:rsidRDefault="00FE432C" w:rsidP="00A43CB2">
      <w:pPr>
        <w:rPr>
          <w:rFonts w:ascii="Arial" w:hAnsi="Arial" w:cs="Arial"/>
        </w:rPr>
      </w:pPr>
    </w:p>
    <w:p w14:paraId="13D7FE27" w14:textId="603DE1D4" w:rsidR="00FC7C44" w:rsidRPr="00A43CB2" w:rsidRDefault="00FC7C44" w:rsidP="00A43CB2">
      <w:pPr>
        <w:rPr>
          <w:rFonts w:ascii="Arial" w:hAnsi="Arial" w:cs="Arial"/>
        </w:rPr>
      </w:pPr>
      <w:r w:rsidRPr="00A43CB2">
        <w:rPr>
          <w:rFonts w:ascii="Arial" w:hAnsi="Arial" w:cs="Arial"/>
        </w:rPr>
        <w:br w:type="page"/>
      </w:r>
    </w:p>
    <w:sdt>
      <w:sdtPr>
        <w:rPr>
          <w:rFonts w:ascii="Arial" w:eastAsia="Times New Roman" w:hAnsi="Arial" w:cs="Arial"/>
          <w:color w:val="auto"/>
          <w:sz w:val="24"/>
          <w:szCs w:val="24"/>
          <w:lang w:val="en-GB" w:eastAsia="en-IN"/>
        </w:rPr>
        <w:id w:val="-595869558"/>
        <w:docPartObj>
          <w:docPartGallery w:val="Table of Contents"/>
          <w:docPartUnique/>
        </w:docPartObj>
      </w:sdtPr>
      <w:sdtEndPr>
        <w:rPr>
          <w:b/>
          <w:bCs/>
          <w:noProof/>
        </w:rPr>
      </w:sdtEndPr>
      <w:sdtContent>
        <w:p w14:paraId="1B4A79B1" w14:textId="3744DF45" w:rsidR="00FC7C44" w:rsidRDefault="00FC7C44" w:rsidP="00A43CB2">
          <w:pPr>
            <w:pStyle w:val="TOCHeading"/>
            <w:spacing w:line="360" w:lineRule="auto"/>
            <w:jc w:val="center"/>
            <w:rPr>
              <w:rFonts w:ascii="Arial" w:hAnsi="Arial" w:cs="Arial"/>
              <w:b/>
              <w:bCs/>
              <w:color w:val="000000" w:themeColor="text1"/>
              <w:sz w:val="24"/>
              <w:szCs w:val="24"/>
            </w:rPr>
          </w:pPr>
          <w:r w:rsidRPr="00A43CB2">
            <w:rPr>
              <w:rFonts w:ascii="Arial" w:hAnsi="Arial" w:cs="Arial"/>
              <w:b/>
              <w:bCs/>
              <w:color w:val="000000" w:themeColor="text1"/>
              <w:sz w:val="24"/>
              <w:szCs w:val="24"/>
            </w:rPr>
            <w:t>Table of Contents</w:t>
          </w:r>
        </w:p>
        <w:p w14:paraId="68362F42" w14:textId="77777777" w:rsidR="004453B4" w:rsidRPr="004453B4" w:rsidRDefault="004453B4" w:rsidP="004453B4">
          <w:pPr>
            <w:rPr>
              <w:lang w:val="en-US" w:eastAsia="en-US"/>
            </w:rPr>
          </w:pPr>
        </w:p>
        <w:p w14:paraId="132B4901" w14:textId="294810A3" w:rsidR="00FC7C44" w:rsidRPr="00A43CB2" w:rsidRDefault="002F7E18" w:rsidP="00A43CB2">
          <w:pPr>
            <w:rPr>
              <w:rFonts w:ascii="Arial" w:hAnsi="Arial" w:cs="Arial"/>
            </w:rPr>
          </w:pPr>
        </w:p>
      </w:sdtContent>
    </w:sdt>
    <w:p w14:paraId="410D5CAE" w14:textId="77777777" w:rsidR="00FC7C44" w:rsidRPr="00A43CB2" w:rsidRDefault="00FC7C44" w:rsidP="00A43CB2">
      <w:pPr>
        <w:rPr>
          <w:rFonts w:ascii="Arial" w:hAnsi="Arial" w:cs="Arial"/>
        </w:rPr>
      </w:pPr>
    </w:p>
    <w:p w14:paraId="53FA6FCD" w14:textId="77777777" w:rsidR="00FE432C" w:rsidRPr="00A43CB2" w:rsidRDefault="0027563E" w:rsidP="00A43CB2">
      <w:pPr>
        <w:rPr>
          <w:rFonts w:ascii="Arial" w:hAnsi="Arial" w:cs="Arial"/>
        </w:rPr>
      </w:pPr>
      <w:r w:rsidRPr="00A43CB2">
        <w:rPr>
          <w:rFonts w:ascii="Arial" w:hAnsi="Arial" w:cs="Arial"/>
        </w:rPr>
        <w:br w:type="page"/>
      </w:r>
    </w:p>
    <w:p w14:paraId="49A00023" w14:textId="77777777" w:rsidR="00FE432C" w:rsidRPr="004453B4" w:rsidRDefault="0027563E" w:rsidP="004453B4">
      <w:pPr>
        <w:pStyle w:val="Heading1"/>
        <w:rPr>
          <w:rFonts w:ascii="Arial" w:hAnsi="Arial" w:cs="Arial"/>
        </w:rPr>
      </w:pPr>
      <w:bookmarkStart w:id="3" w:name="_uk1bg8cah2k" w:colFirst="0" w:colLast="0"/>
      <w:bookmarkStart w:id="4" w:name="_Toc234622502"/>
      <w:bookmarkEnd w:id="3"/>
      <w:r w:rsidRPr="004453B4">
        <w:rPr>
          <w:rFonts w:ascii="Arial" w:hAnsi="Arial" w:cs="Arial"/>
        </w:rPr>
        <w:lastRenderedPageBreak/>
        <w:t>1. Introduction</w:t>
      </w:r>
      <w:bookmarkEnd w:id="4"/>
    </w:p>
    <w:p w14:paraId="1A321170" w14:textId="77777777" w:rsidR="00FE432C" w:rsidRPr="004453B4" w:rsidRDefault="0027563E" w:rsidP="004453B4">
      <w:pPr>
        <w:pStyle w:val="Heading2"/>
        <w:rPr>
          <w:rFonts w:ascii="Arial" w:hAnsi="Arial" w:cs="Arial"/>
        </w:rPr>
      </w:pPr>
      <w:bookmarkStart w:id="5" w:name="_s0shgyz2phgb" w:colFirst="0" w:colLast="0"/>
      <w:bookmarkStart w:id="6" w:name="_Toc234622503"/>
      <w:bookmarkEnd w:id="5"/>
      <w:r w:rsidRPr="004453B4">
        <w:rPr>
          <w:rFonts w:ascii="Arial" w:hAnsi="Arial" w:cs="Arial"/>
        </w:rPr>
        <w:t>1.1 Company Overview</w:t>
      </w:r>
      <w:bookmarkEnd w:id="6"/>
    </w:p>
    <w:p w14:paraId="0DD3BD8C" w14:textId="77777777" w:rsidR="00FE432C" w:rsidRPr="004453B4" w:rsidRDefault="0027563E" w:rsidP="004453B4">
      <w:pPr>
        <w:rPr>
          <w:rFonts w:ascii="Arial" w:hAnsi="Arial" w:cs="Arial"/>
        </w:rPr>
      </w:pPr>
      <w:r w:rsidRPr="004453B4">
        <w:rPr>
          <w:rFonts w:ascii="Arial" w:hAnsi="Arial" w:cs="Arial"/>
        </w:rPr>
        <w:t xml:space="preserve">The company, Rio Tinto plc, is one of the world's leading mining and metals companies with a focus on mining and producing essential metals like iron ore, aluminium, copper, lithium and titanium. It has shifted its strategy to increasingly become part of the global energy transition with the minerals they deal: Copper and lithium for electric vehicles and renewable energy systems. Rio Tinto's technological innovation, operational efficiency and its position as a globally strong company actively contribute to economic development and the challenges associated with environmental and sustainability issues (Rio Tinto, 2026). </w:t>
      </w:r>
    </w:p>
    <w:p w14:paraId="0F1B5EC2" w14:textId="77777777" w:rsidR="00FE432C" w:rsidRPr="004453B4" w:rsidRDefault="0027563E" w:rsidP="004453B4">
      <w:pPr>
        <w:pStyle w:val="Heading2"/>
        <w:rPr>
          <w:rFonts w:ascii="Arial" w:hAnsi="Arial" w:cs="Arial"/>
        </w:rPr>
      </w:pPr>
      <w:bookmarkStart w:id="7" w:name="_q0jdos3dwrwx" w:colFirst="0" w:colLast="0"/>
      <w:bookmarkStart w:id="8" w:name="_Toc234622504"/>
      <w:bookmarkEnd w:id="7"/>
      <w:r w:rsidRPr="004453B4">
        <w:rPr>
          <w:rFonts w:ascii="Arial" w:hAnsi="Arial" w:cs="Arial"/>
        </w:rPr>
        <w:t>1.2 Sustainability Context</w:t>
      </w:r>
      <w:bookmarkEnd w:id="8"/>
    </w:p>
    <w:p w14:paraId="280EE31D" w14:textId="7DE069BC" w:rsidR="00FE432C" w:rsidRPr="004453B4" w:rsidRDefault="0027563E" w:rsidP="004453B4">
      <w:pPr>
        <w:rPr>
          <w:rFonts w:ascii="Arial" w:hAnsi="Arial" w:cs="Arial"/>
        </w:rPr>
      </w:pPr>
      <w:r w:rsidRPr="004453B4">
        <w:rPr>
          <w:rFonts w:ascii="Arial" w:hAnsi="Arial" w:cs="Arial"/>
        </w:rPr>
        <w:t>The growing demand for more carbon-friendly products and more responsive mining operations has placed sustainability as a strategic focus for the sector. Regulatory, investor and stakeholder expectations have all increased as a positive development that saw mining companies re-recognising the value of incorporating ESG principles into their long-term strategies. Firms in the energy sector are increasingly framing the extraction of resources as helping to contribute to the energy transition and the achievement of sustainable development objectives (Dunlap et al. 2025). As a result, Rio has been wagering on low-carbon aluminium manufacturing, renewable energy and vast supplies of minerals vital to electrification. The company's opportunity is represented by these developments, but these also need to be compatible with environmental responsibility, which also has to be balanced with commercial goals.</w:t>
      </w:r>
    </w:p>
    <w:p w14:paraId="254542BE" w14:textId="77777777" w:rsidR="00292C6D" w:rsidRPr="004453B4" w:rsidRDefault="00292C6D" w:rsidP="004453B4">
      <w:pPr>
        <w:rPr>
          <w:rFonts w:ascii="Arial" w:hAnsi="Arial" w:cs="Arial"/>
        </w:rPr>
      </w:pPr>
    </w:p>
    <w:p w14:paraId="5E2B9092" w14:textId="77777777" w:rsidR="00FE432C" w:rsidRPr="004453B4" w:rsidRDefault="0027563E" w:rsidP="004453B4">
      <w:pPr>
        <w:pStyle w:val="Heading1"/>
        <w:rPr>
          <w:rFonts w:ascii="Arial" w:hAnsi="Arial" w:cs="Arial"/>
        </w:rPr>
      </w:pPr>
      <w:bookmarkStart w:id="9" w:name="_upggoykygon6" w:colFirst="0" w:colLast="0"/>
      <w:bookmarkStart w:id="10" w:name="_Toc234622505"/>
      <w:bookmarkEnd w:id="9"/>
      <w:r w:rsidRPr="004453B4">
        <w:rPr>
          <w:rFonts w:ascii="Arial" w:hAnsi="Arial" w:cs="Arial"/>
        </w:rPr>
        <w:t>2. Task 1: Marketing Environment Analysis</w:t>
      </w:r>
      <w:bookmarkEnd w:id="10"/>
    </w:p>
    <w:p w14:paraId="4856245B" w14:textId="77777777" w:rsidR="00FE432C" w:rsidRPr="004453B4" w:rsidRDefault="0027563E" w:rsidP="004453B4">
      <w:pPr>
        <w:pStyle w:val="Heading2"/>
        <w:rPr>
          <w:rFonts w:ascii="Arial" w:hAnsi="Arial" w:cs="Arial"/>
        </w:rPr>
      </w:pPr>
      <w:bookmarkStart w:id="11" w:name="_jmt5qt39jq1" w:colFirst="0" w:colLast="0"/>
      <w:bookmarkStart w:id="12" w:name="_Toc234622506"/>
      <w:bookmarkEnd w:id="11"/>
      <w:r w:rsidRPr="004453B4">
        <w:rPr>
          <w:rFonts w:ascii="Arial" w:hAnsi="Arial" w:cs="Arial"/>
        </w:rPr>
        <w:t>2.1 External Marketing Environment Analysis</w:t>
      </w:r>
      <w:bookmarkEnd w:id="12"/>
    </w:p>
    <w:tbl>
      <w:tblPr>
        <w:tblStyle w:val="a"/>
        <w:tblW w:w="936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805"/>
        <w:gridCol w:w="2945"/>
        <w:gridCol w:w="4610"/>
      </w:tblGrid>
      <w:tr w:rsidR="00FE432C" w:rsidRPr="004453B4" w14:paraId="7F31C0D8" w14:textId="77777777" w:rsidTr="00C05C35">
        <w:trPr>
          <w:trHeight w:val="500"/>
          <w:jc w:val="center"/>
        </w:trPr>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BD7F71" w14:textId="77777777" w:rsidR="00FE432C" w:rsidRPr="004453B4" w:rsidRDefault="0027563E" w:rsidP="004453B4">
            <w:pPr>
              <w:jc w:val="center"/>
              <w:rPr>
                <w:rFonts w:ascii="Arial" w:hAnsi="Arial" w:cs="Arial"/>
              </w:rPr>
            </w:pPr>
            <w:r w:rsidRPr="004453B4">
              <w:rPr>
                <w:rFonts w:ascii="Arial" w:hAnsi="Arial" w:cs="Arial"/>
                <w:b/>
                <w:bCs/>
              </w:rPr>
              <w:t>Indicator</w:t>
            </w:r>
          </w:p>
        </w:tc>
        <w:tc>
          <w:tcPr>
            <w:tcW w:w="29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CED75D" w14:textId="77777777" w:rsidR="00FE432C" w:rsidRPr="004453B4" w:rsidRDefault="0027563E" w:rsidP="004453B4">
            <w:pPr>
              <w:jc w:val="center"/>
              <w:rPr>
                <w:rFonts w:ascii="Arial" w:hAnsi="Arial" w:cs="Arial"/>
              </w:rPr>
            </w:pPr>
            <w:r w:rsidRPr="004453B4">
              <w:rPr>
                <w:rFonts w:ascii="Arial" w:hAnsi="Arial" w:cs="Arial"/>
                <w:b/>
                <w:bCs/>
              </w:rPr>
              <w:t>Value</w:t>
            </w:r>
          </w:p>
        </w:tc>
        <w:tc>
          <w:tcPr>
            <w:tcW w:w="4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28BEEF" w14:textId="77777777" w:rsidR="00FE432C" w:rsidRPr="004453B4" w:rsidRDefault="0027563E" w:rsidP="004453B4">
            <w:pPr>
              <w:jc w:val="center"/>
              <w:rPr>
                <w:rFonts w:ascii="Arial" w:hAnsi="Arial" w:cs="Arial"/>
              </w:rPr>
            </w:pPr>
            <w:r w:rsidRPr="004453B4">
              <w:rPr>
                <w:rFonts w:ascii="Arial" w:hAnsi="Arial" w:cs="Arial"/>
                <w:b/>
                <w:bCs/>
              </w:rPr>
              <w:t>Strategic Relevance</w:t>
            </w:r>
          </w:p>
        </w:tc>
      </w:tr>
      <w:tr w:rsidR="00FE432C" w:rsidRPr="004453B4" w14:paraId="447C7AF9" w14:textId="77777777" w:rsidTr="00C05C35">
        <w:trPr>
          <w:trHeight w:val="1040"/>
          <w:jc w:val="center"/>
        </w:trPr>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C01F7F" w14:textId="77777777" w:rsidR="00FE432C" w:rsidRPr="004453B4" w:rsidRDefault="0027563E" w:rsidP="004453B4">
            <w:pPr>
              <w:rPr>
                <w:rFonts w:ascii="Arial" w:hAnsi="Arial" w:cs="Arial"/>
              </w:rPr>
            </w:pPr>
            <w:r w:rsidRPr="004453B4">
              <w:rPr>
                <w:rFonts w:ascii="Arial" w:hAnsi="Arial" w:cs="Arial"/>
              </w:rPr>
              <w:t>Market Capitalisation</w:t>
            </w:r>
          </w:p>
        </w:tc>
        <w:tc>
          <w:tcPr>
            <w:tcW w:w="29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851CE3" w14:textId="77777777" w:rsidR="00FE432C" w:rsidRPr="004453B4" w:rsidRDefault="0027563E" w:rsidP="004453B4">
            <w:pPr>
              <w:rPr>
                <w:rFonts w:ascii="Arial" w:hAnsi="Arial" w:cs="Arial"/>
              </w:rPr>
            </w:pPr>
            <w:r w:rsidRPr="004453B4">
              <w:rPr>
                <w:rFonts w:ascii="Arial" w:hAnsi="Arial" w:cs="Arial"/>
              </w:rPr>
              <w:t>US$101.5 Billion (YF, 2026)</w:t>
            </w:r>
          </w:p>
        </w:tc>
        <w:tc>
          <w:tcPr>
            <w:tcW w:w="4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B1EA77" w14:textId="77777777" w:rsidR="00FE432C" w:rsidRPr="004453B4" w:rsidRDefault="0027563E" w:rsidP="004453B4">
            <w:pPr>
              <w:rPr>
                <w:rFonts w:ascii="Arial" w:hAnsi="Arial" w:cs="Arial"/>
              </w:rPr>
            </w:pPr>
            <w:r w:rsidRPr="004453B4">
              <w:rPr>
                <w:rFonts w:ascii="Arial" w:hAnsi="Arial" w:cs="Arial"/>
              </w:rPr>
              <w:t>Demonstrates Rio Tinto's strong global market position and capacity to invest in low-carbon technologies.</w:t>
            </w:r>
          </w:p>
        </w:tc>
      </w:tr>
      <w:tr w:rsidR="00FE432C" w:rsidRPr="004453B4" w14:paraId="4714FD40" w14:textId="77777777" w:rsidTr="00C05C35">
        <w:trPr>
          <w:trHeight w:val="770"/>
          <w:jc w:val="center"/>
        </w:trPr>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866E95" w14:textId="77777777" w:rsidR="00FE432C" w:rsidRPr="004453B4" w:rsidRDefault="0027563E" w:rsidP="004453B4">
            <w:pPr>
              <w:rPr>
                <w:rFonts w:ascii="Arial" w:hAnsi="Arial" w:cs="Arial"/>
              </w:rPr>
            </w:pPr>
            <w:r w:rsidRPr="004453B4">
              <w:rPr>
                <w:rFonts w:ascii="Arial" w:hAnsi="Arial" w:cs="Arial"/>
              </w:rPr>
              <w:lastRenderedPageBreak/>
              <w:t>Annual Revenue</w:t>
            </w:r>
          </w:p>
        </w:tc>
        <w:tc>
          <w:tcPr>
            <w:tcW w:w="29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4D446A" w14:textId="77777777" w:rsidR="00FE432C" w:rsidRPr="004453B4" w:rsidRDefault="0027563E" w:rsidP="004453B4">
            <w:pPr>
              <w:rPr>
                <w:rFonts w:ascii="Arial" w:hAnsi="Arial" w:cs="Arial"/>
              </w:rPr>
            </w:pPr>
            <w:r w:rsidRPr="004453B4">
              <w:rPr>
                <w:rFonts w:ascii="Arial" w:hAnsi="Arial" w:cs="Arial"/>
              </w:rPr>
              <w:t>US$53.7 Billion (GD, 2025)</w:t>
            </w:r>
          </w:p>
        </w:tc>
        <w:tc>
          <w:tcPr>
            <w:tcW w:w="4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465AC5" w14:textId="77777777" w:rsidR="00FE432C" w:rsidRPr="004453B4" w:rsidRDefault="0027563E" w:rsidP="004453B4">
            <w:pPr>
              <w:rPr>
                <w:rFonts w:ascii="Arial" w:hAnsi="Arial" w:cs="Arial"/>
              </w:rPr>
            </w:pPr>
            <w:r w:rsidRPr="004453B4">
              <w:rPr>
                <w:rFonts w:ascii="Arial" w:hAnsi="Arial" w:cs="Arial"/>
              </w:rPr>
              <w:t>Provides financial resources for renewable energy and decarbonisation initiatives.</w:t>
            </w:r>
          </w:p>
        </w:tc>
      </w:tr>
      <w:tr w:rsidR="00FE432C" w:rsidRPr="004453B4" w14:paraId="4C860E58" w14:textId="77777777" w:rsidTr="00C05C35">
        <w:trPr>
          <w:trHeight w:val="770"/>
          <w:jc w:val="center"/>
        </w:trPr>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44573F" w14:textId="77777777" w:rsidR="00FE432C" w:rsidRPr="004453B4" w:rsidRDefault="0027563E" w:rsidP="004453B4">
            <w:pPr>
              <w:rPr>
                <w:rFonts w:ascii="Arial" w:hAnsi="Arial" w:cs="Arial"/>
              </w:rPr>
            </w:pPr>
            <w:r w:rsidRPr="004453B4">
              <w:rPr>
                <w:rFonts w:ascii="Arial" w:hAnsi="Arial" w:cs="Arial"/>
              </w:rPr>
              <w:t>Employees</w:t>
            </w:r>
          </w:p>
        </w:tc>
        <w:tc>
          <w:tcPr>
            <w:tcW w:w="29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D3BAF1" w14:textId="77777777" w:rsidR="00FE432C" w:rsidRPr="004453B4" w:rsidRDefault="0027563E" w:rsidP="004453B4">
            <w:pPr>
              <w:rPr>
                <w:rFonts w:ascii="Arial" w:hAnsi="Arial" w:cs="Arial"/>
              </w:rPr>
            </w:pPr>
            <w:r w:rsidRPr="004453B4">
              <w:rPr>
                <w:rFonts w:ascii="Arial" w:hAnsi="Arial" w:cs="Arial"/>
              </w:rPr>
              <w:t>Approximately 60,000 (Rio Tinto, 2026)</w:t>
            </w:r>
          </w:p>
        </w:tc>
        <w:tc>
          <w:tcPr>
            <w:tcW w:w="4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B78C16" w14:textId="77777777" w:rsidR="00FE432C" w:rsidRPr="004453B4" w:rsidRDefault="0027563E" w:rsidP="004453B4">
            <w:pPr>
              <w:rPr>
                <w:rFonts w:ascii="Arial" w:hAnsi="Arial" w:cs="Arial"/>
              </w:rPr>
            </w:pPr>
            <w:r w:rsidRPr="004453B4">
              <w:rPr>
                <w:rFonts w:ascii="Arial" w:hAnsi="Arial" w:cs="Arial"/>
              </w:rPr>
              <w:t>Large workforce influences sustainability implementation across global operations.</w:t>
            </w:r>
          </w:p>
        </w:tc>
      </w:tr>
      <w:tr w:rsidR="00FE432C" w:rsidRPr="004453B4" w14:paraId="7B1D9F9E" w14:textId="77777777" w:rsidTr="00C05C35">
        <w:trPr>
          <w:trHeight w:val="770"/>
          <w:jc w:val="center"/>
        </w:trPr>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E1249A" w14:textId="77777777" w:rsidR="00FE432C" w:rsidRPr="004453B4" w:rsidRDefault="0027563E" w:rsidP="004453B4">
            <w:pPr>
              <w:rPr>
                <w:rFonts w:ascii="Arial" w:hAnsi="Arial" w:cs="Arial"/>
              </w:rPr>
            </w:pPr>
            <w:r w:rsidRPr="004453B4">
              <w:rPr>
                <w:rFonts w:ascii="Arial" w:hAnsi="Arial" w:cs="Arial"/>
              </w:rPr>
              <w:t>Operating Countries</w:t>
            </w:r>
          </w:p>
        </w:tc>
        <w:tc>
          <w:tcPr>
            <w:tcW w:w="29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461198" w14:textId="77777777" w:rsidR="00FE432C" w:rsidRPr="004453B4" w:rsidRDefault="0027563E" w:rsidP="004453B4">
            <w:pPr>
              <w:rPr>
                <w:rFonts w:ascii="Arial" w:hAnsi="Arial" w:cs="Arial"/>
              </w:rPr>
            </w:pPr>
            <w:r w:rsidRPr="004453B4">
              <w:rPr>
                <w:rFonts w:ascii="Arial" w:hAnsi="Arial" w:cs="Arial"/>
              </w:rPr>
              <w:t>More than 35 countries (GD, 2025)</w:t>
            </w:r>
          </w:p>
        </w:tc>
        <w:tc>
          <w:tcPr>
            <w:tcW w:w="4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1DD268" w14:textId="77777777" w:rsidR="00FE432C" w:rsidRPr="004453B4" w:rsidRDefault="0027563E" w:rsidP="004453B4">
            <w:pPr>
              <w:rPr>
                <w:rFonts w:ascii="Arial" w:hAnsi="Arial" w:cs="Arial"/>
              </w:rPr>
            </w:pPr>
            <w:r w:rsidRPr="004453B4">
              <w:rPr>
                <w:rFonts w:ascii="Arial" w:hAnsi="Arial" w:cs="Arial"/>
              </w:rPr>
              <w:t>Exposure to diverse environmental regulations and stakeholder expectations.</w:t>
            </w:r>
          </w:p>
        </w:tc>
      </w:tr>
      <w:tr w:rsidR="00FE432C" w:rsidRPr="004453B4" w14:paraId="76EA4F5A" w14:textId="77777777" w:rsidTr="00C05C35">
        <w:trPr>
          <w:trHeight w:val="1040"/>
          <w:jc w:val="center"/>
        </w:trPr>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81674F" w14:textId="77777777" w:rsidR="00FE432C" w:rsidRPr="004453B4" w:rsidRDefault="0027563E" w:rsidP="004453B4">
            <w:pPr>
              <w:rPr>
                <w:rFonts w:ascii="Arial" w:hAnsi="Arial" w:cs="Arial"/>
              </w:rPr>
            </w:pPr>
            <w:r w:rsidRPr="004453B4">
              <w:rPr>
                <w:rFonts w:ascii="Arial" w:hAnsi="Arial" w:cs="Arial"/>
              </w:rPr>
              <w:t>Core Commodities</w:t>
            </w:r>
          </w:p>
        </w:tc>
        <w:tc>
          <w:tcPr>
            <w:tcW w:w="29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6525BB" w14:textId="77777777" w:rsidR="00FE432C" w:rsidRPr="004453B4" w:rsidRDefault="0027563E" w:rsidP="004453B4">
            <w:pPr>
              <w:rPr>
                <w:rFonts w:ascii="Arial" w:hAnsi="Arial" w:cs="Arial"/>
              </w:rPr>
            </w:pPr>
            <w:r w:rsidRPr="004453B4">
              <w:rPr>
                <w:rFonts w:ascii="Arial" w:hAnsi="Arial" w:cs="Arial"/>
              </w:rPr>
              <w:t>Iron Ore, Aluminium, Copper and Lithium.</w:t>
            </w:r>
          </w:p>
        </w:tc>
        <w:tc>
          <w:tcPr>
            <w:tcW w:w="4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653D37" w14:textId="77777777" w:rsidR="00FE432C" w:rsidRPr="004453B4" w:rsidRDefault="0027563E" w:rsidP="004453B4">
            <w:pPr>
              <w:rPr>
                <w:rFonts w:ascii="Arial" w:hAnsi="Arial" w:cs="Arial"/>
              </w:rPr>
            </w:pPr>
            <w:r w:rsidRPr="004453B4">
              <w:rPr>
                <w:rFonts w:ascii="Arial" w:hAnsi="Arial" w:cs="Arial"/>
              </w:rPr>
              <w:t>Critical minerals supporting global energy transition and electrification.</w:t>
            </w:r>
          </w:p>
        </w:tc>
      </w:tr>
    </w:tbl>
    <w:p w14:paraId="15F330F3" w14:textId="77777777" w:rsidR="00FE432C" w:rsidRPr="004453B4" w:rsidRDefault="0027563E" w:rsidP="004453B4">
      <w:pPr>
        <w:jc w:val="center"/>
        <w:rPr>
          <w:rFonts w:ascii="Arial" w:hAnsi="Arial" w:cs="Arial"/>
          <w:b/>
          <w:bCs/>
        </w:rPr>
      </w:pPr>
      <w:r w:rsidRPr="004453B4">
        <w:rPr>
          <w:rFonts w:ascii="Arial" w:hAnsi="Arial" w:cs="Arial"/>
          <w:b/>
          <w:bCs/>
        </w:rPr>
        <w:t>Table 1: Rio Tinto plc Corporate Profile and Sustainability Context</w:t>
      </w:r>
    </w:p>
    <w:p w14:paraId="2DA99A7E" w14:textId="5AA03715" w:rsidR="00FE432C" w:rsidRPr="004453B4" w:rsidRDefault="00545892" w:rsidP="004453B4">
      <w:pPr>
        <w:rPr>
          <w:rFonts w:ascii="Arial" w:hAnsi="Arial" w:cs="Arial"/>
        </w:rPr>
      </w:pPr>
      <w:r w:rsidRPr="004453B4">
        <w:rPr>
          <w:rFonts w:ascii="Arial" w:hAnsi="Arial" w:cs="Arial"/>
          <w:color w:val="000000" w:themeColor="text1"/>
        </w:rPr>
        <w:t xml:space="preserve">The external environment is highly dynamic, characterized by robust customers' demand for critical minerals and sustainability considerations. The organisation also has a high presence on the world </w:t>
      </w:r>
      <w:r w:rsidR="005D6C3D" w:rsidRPr="004453B4">
        <w:rPr>
          <w:rFonts w:ascii="Arial" w:hAnsi="Arial" w:cs="Arial"/>
          <w:color w:val="000000" w:themeColor="text1"/>
        </w:rPr>
        <w:t>market</w:t>
      </w:r>
      <w:r w:rsidRPr="004453B4">
        <w:rPr>
          <w:rFonts w:ascii="Arial" w:hAnsi="Arial" w:cs="Arial"/>
          <w:color w:val="000000" w:themeColor="text1"/>
        </w:rPr>
        <w:t xml:space="preserve"> which means the company is exposed to different laws and environmental </w:t>
      </w:r>
      <w:r w:rsidR="005D6C3D" w:rsidRPr="004453B4">
        <w:rPr>
          <w:rFonts w:ascii="Arial" w:hAnsi="Arial" w:cs="Arial"/>
          <w:color w:val="000000" w:themeColor="text1"/>
        </w:rPr>
        <w:t>requirements</w:t>
      </w:r>
      <w:r w:rsidRPr="004453B4">
        <w:rPr>
          <w:rFonts w:ascii="Arial" w:hAnsi="Arial" w:cs="Arial"/>
          <w:color w:val="000000" w:themeColor="text1"/>
        </w:rPr>
        <w:t xml:space="preserve"> and that external environmental analysis can be used as a tool in strategic decision-making. The old business models of mining companies, the inclusion of sustainability-related goals and diversification strategies, and the necessity for relevance in the context of a global energy transition (Kustra et al. 2025). Its large-scale operations and business model geared towards critical minerals put the Company in a favourable position for the development of low-carbon </w:t>
      </w:r>
      <w:r w:rsidRPr="004453B4">
        <w:rPr>
          <w:rFonts w:ascii="Arial" w:hAnsi="Arial" w:cs="Arial"/>
        </w:rPr>
        <w:t>value chains and make it more vulnerable to environmental and regulatory scrutiny.</w:t>
      </w:r>
    </w:p>
    <w:p w14:paraId="5E98A0CC" w14:textId="48427531" w:rsidR="00FE432C" w:rsidRPr="004453B4" w:rsidRDefault="005D6C3D" w:rsidP="004453B4">
      <w:pPr>
        <w:pStyle w:val="Heading3"/>
        <w:rPr>
          <w:rFonts w:ascii="Arial" w:hAnsi="Arial" w:cs="Arial"/>
        </w:rPr>
      </w:pPr>
      <w:bookmarkStart w:id="13" w:name="_y8y59gurwmx7" w:colFirst="0" w:colLast="0"/>
      <w:bookmarkStart w:id="14" w:name="_Toc234622507"/>
      <w:bookmarkEnd w:id="13"/>
      <w:r w:rsidRPr="004453B4">
        <w:rPr>
          <w:rFonts w:ascii="Arial" w:hAnsi="Arial" w:cs="Arial"/>
        </w:rPr>
        <w:t>2.1.1 Natural Environment Analysis</w:t>
      </w:r>
      <w:bookmarkEnd w:id="14"/>
    </w:p>
    <w:tbl>
      <w:tblPr>
        <w:tblStyle w:val="a0"/>
        <w:tblW w:w="9359"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833"/>
        <w:gridCol w:w="3260"/>
        <w:gridCol w:w="4266"/>
      </w:tblGrid>
      <w:tr w:rsidR="00FE432C" w:rsidRPr="004453B4" w14:paraId="15845AC7" w14:textId="77777777" w:rsidTr="00292C6D">
        <w:trPr>
          <w:trHeight w:val="770"/>
          <w:jc w:val="center"/>
        </w:trPr>
        <w:tc>
          <w:tcPr>
            <w:tcW w:w="18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5DA7D3" w14:textId="77777777" w:rsidR="00FE432C" w:rsidRPr="004453B4" w:rsidRDefault="0027563E" w:rsidP="004453B4">
            <w:pPr>
              <w:jc w:val="center"/>
              <w:rPr>
                <w:rFonts w:ascii="Arial" w:hAnsi="Arial" w:cs="Arial"/>
              </w:rPr>
            </w:pPr>
            <w:r w:rsidRPr="004453B4">
              <w:rPr>
                <w:rFonts w:ascii="Arial" w:hAnsi="Arial" w:cs="Arial"/>
                <w:b/>
                <w:bCs/>
              </w:rPr>
              <w:t>Environmental Indicator</w:t>
            </w: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FC0AD7" w14:textId="77777777" w:rsidR="00FE432C" w:rsidRPr="004453B4" w:rsidRDefault="0027563E" w:rsidP="004453B4">
            <w:pPr>
              <w:jc w:val="center"/>
              <w:rPr>
                <w:rFonts w:ascii="Arial" w:hAnsi="Arial" w:cs="Arial"/>
              </w:rPr>
            </w:pPr>
            <w:r w:rsidRPr="004453B4">
              <w:rPr>
                <w:rFonts w:ascii="Arial" w:hAnsi="Arial" w:cs="Arial"/>
                <w:b/>
                <w:bCs/>
              </w:rPr>
              <w:t>Numerical Data</w:t>
            </w:r>
          </w:p>
        </w:tc>
        <w:tc>
          <w:tcPr>
            <w:tcW w:w="42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38B4FF" w14:textId="77777777" w:rsidR="00FE432C" w:rsidRPr="004453B4" w:rsidRDefault="0027563E" w:rsidP="004453B4">
            <w:pPr>
              <w:jc w:val="center"/>
              <w:rPr>
                <w:rFonts w:ascii="Arial" w:hAnsi="Arial" w:cs="Arial"/>
              </w:rPr>
            </w:pPr>
            <w:r w:rsidRPr="004453B4">
              <w:rPr>
                <w:rFonts w:ascii="Arial" w:hAnsi="Arial" w:cs="Arial"/>
                <w:b/>
                <w:bCs/>
              </w:rPr>
              <w:t>Implications for Rio Tinto</w:t>
            </w:r>
          </w:p>
        </w:tc>
      </w:tr>
      <w:tr w:rsidR="00FE432C" w:rsidRPr="004453B4" w14:paraId="5713ECBC" w14:textId="77777777" w:rsidTr="00292C6D">
        <w:trPr>
          <w:trHeight w:val="1325"/>
          <w:jc w:val="center"/>
        </w:trPr>
        <w:tc>
          <w:tcPr>
            <w:tcW w:w="18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9B4A5B" w14:textId="77777777" w:rsidR="00FE432C" w:rsidRPr="004453B4" w:rsidRDefault="0027563E" w:rsidP="004453B4">
            <w:pPr>
              <w:rPr>
                <w:rFonts w:ascii="Arial" w:hAnsi="Arial" w:cs="Arial"/>
              </w:rPr>
            </w:pPr>
            <w:r w:rsidRPr="004453B4">
              <w:rPr>
                <w:rFonts w:ascii="Arial" w:hAnsi="Arial" w:cs="Arial"/>
              </w:rPr>
              <w:t>Net Income (2024)</w:t>
            </w: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80322B" w14:textId="77777777" w:rsidR="00FE432C" w:rsidRPr="004453B4" w:rsidRDefault="0027563E" w:rsidP="004453B4">
            <w:pPr>
              <w:rPr>
                <w:rFonts w:ascii="Arial" w:hAnsi="Arial" w:cs="Arial"/>
              </w:rPr>
            </w:pPr>
            <w:r w:rsidRPr="004453B4">
              <w:rPr>
                <w:rFonts w:ascii="Arial" w:hAnsi="Arial" w:cs="Arial"/>
              </w:rPr>
              <w:t>US$11.55 Billion (Statista, 2026)</w:t>
            </w:r>
          </w:p>
        </w:tc>
        <w:tc>
          <w:tcPr>
            <w:tcW w:w="42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115C70" w14:textId="1A7DA47C" w:rsidR="00FE432C" w:rsidRPr="004453B4" w:rsidRDefault="0027563E" w:rsidP="004453B4">
            <w:pPr>
              <w:rPr>
                <w:rFonts w:ascii="Arial" w:hAnsi="Arial" w:cs="Arial"/>
              </w:rPr>
            </w:pPr>
            <w:r w:rsidRPr="004453B4">
              <w:rPr>
                <w:rFonts w:ascii="Arial" w:hAnsi="Arial" w:cs="Arial"/>
              </w:rPr>
              <w:t>Strong profitability enables investment in renewable energy projects, decarbonisation technologies, and sustainable mining operations</w:t>
            </w:r>
          </w:p>
        </w:tc>
      </w:tr>
      <w:tr w:rsidR="00FE432C" w:rsidRPr="004453B4" w14:paraId="5891107F" w14:textId="77777777" w:rsidTr="00292C6D">
        <w:trPr>
          <w:trHeight w:val="1040"/>
          <w:jc w:val="center"/>
        </w:trPr>
        <w:tc>
          <w:tcPr>
            <w:tcW w:w="18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6DBD0B" w14:textId="77777777" w:rsidR="00FE432C" w:rsidRPr="004453B4" w:rsidRDefault="0027563E" w:rsidP="004453B4">
            <w:pPr>
              <w:rPr>
                <w:rFonts w:ascii="Arial" w:hAnsi="Arial" w:cs="Arial"/>
              </w:rPr>
            </w:pPr>
            <w:r w:rsidRPr="004453B4">
              <w:rPr>
                <w:rFonts w:ascii="Arial" w:hAnsi="Arial" w:cs="Arial"/>
              </w:rPr>
              <w:lastRenderedPageBreak/>
              <w:t>Market Capitalisation</w:t>
            </w: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FA132F" w14:textId="77777777" w:rsidR="00FE432C" w:rsidRPr="004453B4" w:rsidRDefault="0027563E" w:rsidP="004453B4">
            <w:pPr>
              <w:rPr>
                <w:rFonts w:ascii="Arial" w:hAnsi="Arial" w:cs="Arial"/>
              </w:rPr>
            </w:pPr>
            <w:r w:rsidRPr="004453B4">
              <w:rPr>
                <w:rFonts w:ascii="Arial" w:hAnsi="Arial" w:cs="Arial"/>
              </w:rPr>
              <w:t>US$96.73 Billion (Reuters, 2025)</w:t>
            </w:r>
          </w:p>
        </w:tc>
        <w:tc>
          <w:tcPr>
            <w:tcW w:w="42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BEB0CA" w14:textId="24639804" w:rsidR="00FE432C" w:rsidRPr="004453B4" w:rsidRDefault="0027563E" w:rsidP="004453B4">
            <w:pPr>
              <w:rPr>
                <w:rFonts w:ascii="Arial" w:hAnsi="Arial" w:cs="Arial"/>
              </w:rPr>
            </w:pPr>
            <w:r w:rsidRPr="004453B4">
              <w:rPr>
                <w:rFonts w:ascii="Arial" w:hAnsi="Arial" w:cs="Arial"/>
              </w:rPr>
              <w:t>Reflects investor confidence and increasing expectations regarding ESG and environmental performance</w:t>
            </w:r>
          </w:p>
        </w:tc>
      </w:tr>
      <w:tr w:rsidR="00FE432C" w:rsidRPr="004453B4" w14:paraId="182FF882" w14:textId="77777777" w:rsidTr="00292C6D">
        <w:trPr>
          <w:trHeight w:val="1040"/>
          <w:jc w:val="center"/>
        </w:trPr>
        <w:tc>
          <w:tcPr>
            <w:tcW w:w="18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32AD2E" w14:textId="77777777" w:rsidR="00FE432C" w:rsidRPr="004453B4" w:rsidRDefault="0027563E" w:rsidP="004453B4">
            <w:pPr>
              <w:rPr>
                <w:rFonts w:ascii="Arial" w:hAnsi="Arial" w:cs="Arial"/>
              </w:rPr>
            </w:pPr>
            <w:r w:rsidRPr="004453B4">
              <w:rPr>
                <w:rFonts w:ascii="Arial" w:hAnsi="Arial" w:cs="Arial"/>
              </w:rPr>
              <w:t>Total Assets</w:t>
            </w: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2A9DC5" w14:textId="77777777" w:rsidR="00FE432C" w:rsidRPr="004453B4" w:rsidRDefault="0027563E" w:rsidP="004453B4">
            <w:pPr>
              <w:rPr>
                <w:rFonts w:ascii="Arial" w:hAnsi="Arial" w:cs="Arial"/>
              </w:rPr>
            </w:pPr>
            <w:r w:rsidRPr="004453B4">
              <w:rPr>
                <w:rFonts w:ascii="Arial" w:hAnsi="Arial" w:cs="Arial"/>
              </w:rPr>
              <w:t>US$103.6 Billion (Reuters, 2025)</w:t>
            </w:r>
          </w:p>
        </w:tc>
        <w:tc>
          <w:tcPr>
            <w:tcW w:w="42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F36329" w14:textId="6E8FF980" w:rsidR="00FE432C" w:rsidRPr="004453B4" w:rsidRDefault="0027563E" w:rsidP="004453B4">
            <w:pPr>
              <w:rPr>
                <w:rFonts w:ascii="Arial" w:hAnsi="Arial" w:cs="Arial"/>
              </w:rPr>
            </w:pPr>
            <w:r w:rsidRPr="004453B4">
              <w:rPr>
                <w:rFonts w:ascii="Arial" w:hAnsi="Arial" w:cs="Arial"/>
              </w:rPr>
              <w:t>Provides substantial capacity for large-scale environmental and low-carbon infrastructure investments</w:t>
            </w:r>
          </w:p>
        </w:tc>
      </w:tr>
      <w:tr w:rsidR="00FE432C" w:rsidRPr="004453B4" w14:paraId="5619B1D6" w14:textId="77777777" w:rsidTr="00292C6D">
        <w:trPr>
          <w:trHeight w:val="1040"/>
          <w:jc w:val="center"/>
        </w:trPr>
        <w:tc>
          <w:tcPr>
            <w:tcW w:w="18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5D5A30" w14:textId="77777777" w:rsidR="00FE432C" w:rsidRPr="004453B4" w:rsidRDefault="0027563E" w:rsidP="004453B4">
            <w:pPr>
              <w:rPr>
                <w:rFonts w:ascii="Arial" w:hAnsi="Arial" w:cs="Arial"/>
              </w:rPr>
            </w:pPr>
            <w:r w:rsidRPr="004453B4">
              <w:rPr>
                <w:rFonts w:ascii="Arial" w:hAnsi="Arial" w:cs="Arial"/>
              </w:rPr>
              <w:t>Carbon Transition Exposure</w:t>
            </w: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599770" w14:textId="774DA92C" w:rsidR="00FE432C" w:rsidRPr="004453B4" w:rsidRDefault="0027563E" w:rsidP="004453B4">
            <w:pPr>
              <w:rPr>
                <w:rFonts w:ascii="Arial" w:hAnsi="Arial" w:cs="Arial"/>
              </w:rPr>
            </w:pPr>
            <w:r w:rsidRPr="004453B4">
              <w:rPr>
                <w:rFonts w:ascii="Arial" w:hAnsi="Arial" w:cs="Arial"/>
              </w:rPr>
              <w:t>Major producer of iron ore, aluminium, copper, and lithium</w:t>
            </w:r>
          </w:p>
        </w:tc>
        <w:tc>
          <w:tcPr>
            <w:tcW w:w="42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137FC7" w14:textId="795FE2E2" w:rsidR="00FE432C" w:rsidRPr="004453B4" w:rsidRDefault="0027563E" w:rsidP="004453B4">
            <w:pPr>
              <w:rPr>
                <w:rFonts w:ascii="Arial" w:hAnsi="Arial" w:cs="Arial"/>
              </w:rPr>
            </w:pPr>
            <w:r w:rsidRPr="004453B4">
              <w:rPr>
                <w:rFonts w:ascii="Arial" w:hAnsi="Arial" w:cs="Arial"/>
              </w:rPr>
              <w:t>These minerals are critical inputs for renewable energy systems, electric vehicles, and green infrastructure</w:t>
            </w:r>
          </w:p>
        </w:tc>
      </w:tr>
      <w:tr w:rsidR="00FE432C" w:rsidRPr="004453B4" w14:paraId="5354262D" w14:textId="77777777" w:rsidTr="00292C6D">
        <w:trPr>
          <w:trHeight w:val="1325"/>
          <w:jc w:val="center"/>
        </w:trPr>
        <w:tc>
          <w:tcPr>
            <w:tcW w:w="18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C82F97" w14:textId="77777777" w:rsidR="00FE432C" w:rsidRPr="004453B4" w:rsidRDefault="0027563E" w:rsidP="004453B4">
            <w:pPr>
              <w:rPr>
                <w:rFonts w:ascii="Arial" w:hAnsi="Arial" w:cs="Arial"/>
              </w:rPr>
            </w:pPr>
            <w:r w:rsidRPr="004453B4">
              <w:rPr>
                <w:rFonts w:ascii="Arial" w:hAnsi="Arial" w:cs="Arial"/>
              </w:rPr>
              <w:t>Sustainability Investment Capacity</w:t>
            </w: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D68D52" w14:textId="1BF3E966" w:rsidR="00FE432C" w:rsidRPr="004453B4" w:rsidRDefault="0027563E" w:rsidP="004453B4">
            <w:pPr>
              <w:rPr>
                <w:rFonts w:ascii="Arial" w:hAnsi="Arial" w:cs="Arial"/>
              </w:rPr>
            </w:pPr>
            <w:r w:rsidRPr="004453B4">
              <w:rPr>
                <w:rFonts w:ascii="Arial" w:hAnsi="Arial" w:cs="Arial"/>
              </w:rPr>
              <w:t>Annual Capital Expenditure: Approximately US$9.5 billion invested in operations, growth projects, and sustainability initiatives. (Statista, 2026)</w:t>
            </w:r>
          </w:p>
        </w:tc>
        <w:tc>
          <w:tcPr>
            <w:tcW w:w="42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F857FB" w14:textId="06EF0DDF" w:rsidR="00FE432C" w:rsidRPr="004453B4" w:rsidRDefault="0027563E" w:rsidP="004453B4">
            <w:pPr>
              <w:rPr>
                <w:rFonts w:ascii="Arial" w:hAnsi="Arial" w:cs="Arial"/>
              </w:rPr>
            </w:pPr>
            <w:r w:rsidRPr="004453B4">
              <w:rPr>
                <w:rFonts w:ascii="Arial" w:hAnsi="Arial" w:cs="Arial"/>
              </w:rPr>
              <w:t>Supports Rio Tinto's ability to accelerate emissions reduction initiatives and green product development</w:t>
            </w:r>
          </w:p>
        </w:tc>
      </w:tr>
    </w:tbl>
    <w:p w14:paraId="5E497F10" w14:textId="77777777" w:rsidR="00FE432C" w:rsidRPr="004453B4" w:rsidRDefault="0027563E" w:rsidP="004453B4">
      <w:pPr>
        <w:jc w:val="center"/>
        <w:rPr>
          <w:rFonts w:ascii="Arial" w:hAnsi="Arial" w:cs="Arial"/>
          <w:b/>
          <w:bCs/>
        </w:rPr>
      </w:pPr>
      <w:r w:rsidRPr="004453B4">
        <w:rPr>
          <w:rFonts w:ascii="Arial" w:hAnsi="Arial" w:cs="Arial"/>
          <w:b/>
          <w:bCs/>
        </w:rPr>
        <w:t>Table 2: Natural Environment Indicators Influencing Rio Tinto’s Low-Carbon Transition</w:t>
      </w:r>
    </w:p>
    <w:p w14:paraId="1B06F7E9" w14:textId="122BD3FA" w:rsidR="00C05C35" w:rsidRPr="004453B4" w:rsidRDefault="00C05C35" w:rsidP="004453B4">
      <w:pPr>
        <w:jc w:val="center"/>
        <w:rPr>
          <w:rFonts w:ascii="Arial" w:hAnsi="Arial" w:cs="Arial"/>
        </w:rPr>
      </w:pPr>
      <w:r w:rsidRPr="004453B4">
        <w:rPr>
          <w:rFonts w:ascii="Arial" w:hAnsi="Arial" w:cs="Arial"/>
          <w:noProof/>
        </w:rPr>
        <w:drawing>
          <wp:inline distT="0" distB="0" distL="0" distR="0" wp14:anchorId="0F4771AF" wp14:editId="49F62AA5">
            <wp:extent cx="5657850" cy="3404235"/>
            <wp:effectExtent l="19050" t="19050" r="19050" b="24765"/>
            <wp:docPr id="15837278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74419" cy="3414204"/>
                    </a:xfrm>
                    <a:prstGeom prst="rect">
                      <a:avLst/>
                    </a:prstGeom>
                    <a:noFill/>
                    <a:ln>
                      <a:solidFill>
                        <a:schemeClr val="tx1"/>
                      </a:solidFill>
                    </a:ln>
                  </pic:spPr>
                </pic:pic>
              </a:graphicData>
            </a:graphic>
          </wp:inline>
        </w:drawing>
      </w:r>
    </w:p>
    <w:p w14:paraId="284D7583" w14:textId="3C41A488" w:rsidR="00C05C35" w:rsidRPr="004453B4" w:rsidRDefault="00C05C35" w:rsidP="004453B4">
      <w:pPr>
        <w:jc w:val="center"/>
        <w:rPr>
          <w:rFonts w:ascii="Arial" w:hAnsi="Arial" w:cs="Arial"/>
          <w:b/>
          <w:bCs/>
        </w:rPr>
      </w:pPr>
      <w:r w:rsidRPr="004453B4">
        <w:rPr>
          <w:rFonts w:ascii="Arial" w:hAnsi="Arial" w:cs="Arial"/>
          <w:b/>
          <w:bCs/>
        </w:rPr>
        <w:t>Figure 1: Net Income Performance of Rio Tinto plc</w:t>
      </w:r>
    </w:p>
    <w:p w14:paraId="0709CFBE" w14:textId="1BE00B81" w:rsidR="00C05C35" w:rsidRPr="004453B4" w:rsidRDefault="00C05C35" w:rsidP="004453B4">
      <w:pPr>
        <w:jc w:val="center"/>
        <w:rPr>
          <w:rFonts w:ascii="Arial" w:hAnsi="Arial" w:cs="Arial"/>
        </w:rPr>
      </w:pPr>
      <w:r w:rsidRPr="004453B4">
        <w:rPr>
          <w:rFonts w:ascii="Arial" w:hAnsi="Arial" w:cs="Arial"/>
        </w:rPr>
        <w:lastRenderedPageBreak/>
        <w:t>(Source: Statista, 2026)</w:t>
      </w:r>
    </w:p>
    <w:p w14:paraId="449C662C" w14:textId="6613C4F4" w:rsidR="00FE432C" w:rsidRPr="004453B4" w:rsidRDefault="00326DFE" w:rsidP="004453B4">
      <w:pPr>
        <w:rPr>
          <w:rFonts w:ascii="Arial" w:hAnsi="Arial" w:cs="Arial"/>
        </w:rPr>
      </w:pPr>
      <w:r w:rsidRPr="004453B4">
        <w:rPr>
          <w:rFonts w:ascii="Arial" w:hAnsi="Arial" w:cs="Arial"/>
        </w:rPr>
        <w:t>The Rio Tinto's net income reflects financial sustainability, enabling ongoing investments in sustainability and low-carbon strategies (Statista, 2026). The natural environment is an important external factor impacting the transition to lower-carbon Rio Tinto products. The pressure for mining companies to adopt sustainable practices to meet rising stakeholder expectations, the changing climate and resource depletion is growing. Ekins et al. (2026) highlight the critical need for responsible provision of energy-</w:t>
      </w:r>
      <w:r w:rsidR="005D6C3D" w:rsidRPr="004453B4">
        <w:rPr>
          <w:rFonts w:ascii="Arial" w:hAnsi="Arial" w:cs="Arial"/>
        </w:rPr>
        <w:t>transition minerals</w:t>
      </w:r>
      <w:r w:rsidRPr="004453B4">
        <w:rPr>
          <w:rFonts w:ascii="Arial" w:hAnsi="Arial" w:cs="Arial"/>
        </w:rPr>
        <w:t xml:space="preserve"> to help develop solutions to achieve global decarbonisation objectives. I think that there is a huge opportunity for Rio Tinto because of the growing demand for copper, lithium and aluminium. Fathollahzadeh et al. (2026) further argue</w:t>
      </w:r>
      <w:r w:rsidR="00292C6D" w:rsidRPr="004453B4">
        <w:rPr>
          <w:rFonts w:ascii="Arial" w:hAnsi="Arial" w:cs="Arial"/>
        </w:rPr>
        <w:t>d</w:t>
      </w:r>
      <w:r w:rsidRPr="004453B4">
        <w:rPr>
          <w:rFonts w:ascii="Arial" w:hAnsi="Arial" w:cs="Arial"/>
        </w:rPr>
        <w:t xml:space="preserve"> that sustainable critical mineral supply chains are essential for a low-carbon future. Sustainability investments are needed to tackle environmental issues such as diversity and emissions pressures, which are essential for effective risk management.</w:t>
      </w:r>
    </w:p>
    <w:p w14:paraId="3F088C43" w14:textId="77777777" w:rsidR="00FE432C" w:rsidRPr="004453B4" w:rsidRDefault="0027563E" w:rsidP="004453B4">
      <w:pPr>
        <w:pStyle w:val="Heading3"/>
        <w:rPr>
          <w:rFonts w:ascii="Arial" w:hAnsi="Arial" w:cs="Arial"/>
        </w:rPr>
      </w:pPr>
      <w:bookmarkStart w:id="15" w:name="_dydkwldmyput" w:colFirst="0" w:colLast="0"/>
      <w:bookmarkStart w:id="16" w:name="_Toc234622508"/>
      <w:bookmarkEnd w:id="15"/>
      <w:r w:rsidRPr="004453B4">
        <w:rPr>
          <w:rFonts w:ascii="Arial" w:hAnsi="Arial" w:cs="Arial"/>
        </w:rPr>
        <w:t>2.1.2 Political-Legal Environment Analysis</w:t>
      </w:r>
      <w:bookmarkEnd w:id="16"/>
    </w:p>
    <w:tbl>
      <w:tblPr>
        <w:tblStyle w:val="a1"/>
        <w:tblW w:w="9488"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030"/>
        <w:gridCol w:w="2355"/>
        <w:gridCol w:w="5103"/>
      </w:tblGrid>
      <w:tr w:rsidR="00FE432C" w:rsidRPr="004453B4" w14:paraId="79DE3636" w14:textId="77777777" w:rsidTr="00292C6D">
        <w:trPr>
          <w:trHeight w:val="770"/>
          <w:jc w:val="center"/>
        </w:trPr>
        <w:tc>
          <w:tcPr>
            <w:tcW w:w="2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F9BDDB" w14:textId="77777777" w:rsidR="00FE432C" w:rsidRPr="004453B4" w:rsidRDefault="0027563E" w:rsidP="004453B4">
            <w:pPr>
              <w:jc w:val="center"/>
              <w:rPr>
                <w:rFonts w:ascii="Arial" w:hAnsi="Arial" w:cs="Arial"/>
              </w:rPr>
            </w:pPr>
            <w:r w:rsidRPr="004453B4">
              <w:rPr>
                <w:rFonts w:ascii="Arial" w:hAnsi="Arial" w:cs="Arial"/>
                <w:b/>
                <w:bCs/>
              </w:rPr>
              <w:t>Political-Legal Indicator</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F55A65" w14:textId="77777777" w:rsidR="00FE432C" w:rsidRPr="004453B4" w:rsidRDefault="0027563E" w:rsidP="004453B4">
            <w:pPr>
              <w:jc w:val="center"/>
              <w:rPr>
                <w:rFonts w:ascii="Arial" w:hAnsi="Arial" w:cs="Arial"/>
              </w:rPr>
            </w:pPr>
            <w:r w:rsidRPr="004453B4">
              <w:rPr>
                <w:rFonts w:ascii="Arial" w:hAnsi="Arial" w:cs="Arial"/>
                <w:b/>
                <w:bCs/>
              </w:rPr>
              <w:t>Numerical Data</w:t>
            </w:r>
          </w:p>
        </w:tc>
        <w:tc>
          <w:tcPr>
            <w:tcW w:w="5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999462" w14:textId="77777777" w:rsidR="00FE432C" w:rsidRPr="004453B4" w:rsidRDefault="0027563E" w:rsidP="004453B4">
            <w:pPr>
              <w:jc w:val="center"/>
              <w:rPr>
                <w:rFonts w:ascii="Arial" w:hAnsi="Arial" w:cs="Arial"/>
              </w:rPr>
            </w:pPr>
            <w:r w:rsidRPr="004453B4">
              <w:rPr>
                <w:rFonts w:ascii="Arial" w:hAnsi="Arial" w:cs="Arial"/>
                <w:b/>
                <w:bCs/>
              </w:rPr>
              <w:t>Strategic Implications</w:t>
            </w:r>
          </w:p>
        </w:tc>
      </w:tr>
      <w:tr w:rsidR="00FE432C" w:rsidRPr="004453B4" w14:paraId="07D53291" w14:textId="77777777" w:rsidTr="00292C6D">
        <w:trPr>
          <w:trHeight w:val="1040"/>
          <w:jc w:val="center"/>
        </w:trPr>
        <w:tc>
          <w:tcPr>
            <w:tcW w:w="2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D2A1D0" w14:textId="77777777" w:rsidR="00FE432C" w:rsidRPr="004453B4" w:rsidRDefault="0027563E" w:rsidP="004453B4">
            <w:pPr>
              <w:rPr>
                <w:rFonts w:ascii="Arial" w:hAnsi="Arial" w:cs="Arial"/>
              </w:rPr>
            </w:pPr>
            <w:r w:rsidRPr="004453B4">
              <w:rPr>
                <w:rFonts w:ascii="Arial" w:hAnsi="Arial" w:cs="Arial"/>
              </w:rPr>
              <w:t>Current Share Price</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968D7E" w14:textId="77777777" w:rsidR="00FE432C" w:rsidRPr="004453B4" w:rsidRDefault="0027563E" w:rsidP="004453B4">
            <w:pPr>
              <w:rPr>
                <w:rFonts w:ascii="Arial" w:hAnsi="Arial" w:cs="Arial"/>
              </w:rPr>
            </w:pPr>
            <w:r w:rsidRPr="004453B4">
              <w:rPr>
                <w:rFonts w:ascii="Arial" w:hAnsi="Arial" w:cs="Arial"/>
              </w:rPr>
              <w:t>US$58.36 per share (Macrotrends, 2026)</w:t>
            </w:r>
          </w:p>
        </w:tc>
        <w:tc>
          <w:tcPr>
            <w:tcW w:w="5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BEE7F4" w14:textId="694D3C50" w:rsidR="00FE432C" w:rsidRPr="004453B4" w:rsidRDefault="0027563E" w:rsidP="004453B4">
            <w:pPr>
              <w:rPr>
                <w:rFonts w:ascii="Arial" w:hAnsi="Arial" w:cs="Arial"/>
              </w:rPr>
            </w:pPr>
            <w:r w:rsidRPr="004453B4">
              <w:rPr>
                <w:rFonts w:ascii="Arial" w:hAnsi="Arial" w:cs="Arial"/>
              </w:rPr>
              <w:t>Reflects investor confidence in Rio Tinto's compliance with evolving environmental and governance regulations</w:t>
            </w:r>
          </w:p>
        </w:tc>
      </w:tr>
      <w:tr w:rsidR="00FE432C" w:rsidRPr="004453B4" w14:paraId="3EFB8B50" w14:textId="77777777" w:rsidTr="00292C6D">
        <w:trPr>
          <w:trHeight w:val="1040"/>
          <w:jc w:val="center"/>
        </w:trPr>
        <w:tc>
          <w:tcPr>
            <w:tcW w:w="2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019DA0" w14:textId="77777777" w:rsidR="00FE432C" w:rsidRPr="004453B4" w:rsidRDefault="0027563E" w:rsidP="004453B4">
            <w:pPr>
              <w:rPr>
                <w:rFonts w:ascii="Arial" w:hAnsi="Arial" w:cs="Arial"/>
              </w:rPr>
            </w:pPr>
            <w:r w:rsidRPr="004453B4">
              <w:rPr>
                <w:rFonts w:ascii="Arial" w:hAnsi="Arial" w:cs="Arial"/>
              </w:rPr>
              <w:t>Price-to-Earnings (P/E) Ratio</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08B866" w14:textId="77777777" w:rsidR="00FE432C" w:rsidRPr="004453B4" w:rsidRDefault="0027563E" w:rsidP="004453B4">
            <w:pPr>
              <w:rPr>
                <w:rFonts w:ascii="Arial" w:hAnsi="Arial" w:cs="Arial"/>
              </w:rPr>
            </w:pPr>
            <w:r w:rsidRPr="004453B4">
              <w:rPr>
                <w:rFonts w:ascii="Arial" w:hAnsi="Arial" w:cs="Arial"/>
              </w:rPr>
              <w:t>9.72 (SA, 2026)</w:t>
            </w:r>
          </w:p>
        </w:tc>
        <w:tc>
          <w:tcPr>
            <w:tcW w:w="5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970083" w14:textId="1C2C4484" w:rsidR="00FE432C" w:rsidRPr="004453B4" w:rsidRDefault="0027563E" w:rsidP="004453B4">
            <w:pPr>
              <w:rPr>
                <w:rFonts w:ascii="Arial" w:hAnsi="Arial" w:cs="Arial"/>
              </w:rPr>
            </w:pPr>
            <w:r w:rsidRPr="004453B4">
              <w:rPr>
                <w:rFonts w:ascii="Arial" w:hAnsi="Arial" w:cs="Arial"/>
              </w:rPr>
              <w:t>Indicates market expectations regarding future profitability amid increasing regulatory pressures</w:t>
            </w:r>
          </w:p>
        </w:tc>
      </w:tr>
      <w:tr w:rsidR="00FE432C" w:rsidRPr="004453B4" w14:paraId="2C3FAFBC" w14:textId="77777777" w:rsidTr="00292C6D">
        <w:trPr>
          <w:trHeight w:val="1040"/>
          <w:jc w:val="center"/>
        </w:trPr>
        <w:tc>
          <w:tcPr>
            <w:tcW w:w="2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1C6137" w14:textId="77777777" w:rsidR="00FE432C" w:rsidRPr="004453B4" w:rsidRDefault="0027563E" w:rsidP="004453B4">
            <w:pPr>
              <w:rPr>
                <w:rFonts w:ascii="Arial" w:hAnsi="Arial" w:cs="Arial"/>
              </w:rPr>
            </w:pPr>
            <w:r w:rsidRPr="004453B4">
              <w:rPr>
                <w:rFonts w:ascii="Arial" w:hAnsi="Arial" w:cs="Arial"/>
              </w:rPr>
              <w:t>Dividend Yield</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CA5D11" w14:textId="77777777" w:rsidR="00FE432C" w:rsidRPr="004453B4" w:rsidRDefault="0027563E" w:rsidP="004453B4">
            <w:pPr>
              <w:rPr>
                <w:rFonts w:ascii="Arial" w:hAnsi="Arial" w:cs="Arial"/>
              </w:rPr>
            </w:pPr>
            <w:r w:rsidRPr="004453B4">
              <w:rPr>
                <w:rFonts w:ascii="Arial" w:hAnsi="Arial" w:cs="Arial"/>
              </w:rPr>
              <w:t>6.92% (SA, 2026)</w:t>
            </w:r>
          </w:p>
        </w:tc>
        <w:tc>
          <w:tcPr>
            <w:tcW w:w="5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60FFBD" w14:textId="505D08ED" w:rsidR="00FE432C" w:rsidRPr="004453B4" w:rsidRDefault="0027563E" w:rsidP="004453B4">
            <w:pPr>
              <w:rPr>
                <w:rFonts w:ascii="Arial" w:hAnsi="Arial" w:cs="Arial"/>
              </w:rPr>
            </w:pPr>
            <w:r w:rsidRPr="004453B4">
              <w:rPr>
                <w:rFonts w:ascii="Arial" w:hAnsi="Arial" w:cs="Arial"/>
              </w:rPr>
              <w:t>Demonstrates the company's ability to maintain shareholder returns while funding sustainability compliance initiatives</w:t>
            </w:r>
          </w:p>
        </w:tc>
      </w:tr>
      <w:tr w:rsidR="00FE432C" w:rsidRPr="004453B4" w14:paraId="1708AFFF" w14:textId="77777777" w:rsidTr="00292C6D">
        <w:trPr>
          <w:trHeight w:val="1040"/>
          <w:jc w:val="center"/>
        </w:trPr>
        <w:tc>
          <w:tcPr>
            <w:tcW w:w="2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458103" w14:textId="77777777" w:rsidR="00FE432C" w:rsidRPr="004453B4" w:rsidRDefault="0027563E" w:rsidP="004453B4">
            <w:pPr>
              <w:rPr>
                <w:rFonts w:ascii="Arial" w:hAnsi="Arial" w:cs="Arial"/>
              </w:rPr>
            </w:pPr>
            <w:r w:rsidRPr="004453B4">
              <w:rPr>
                <w:rFonts w:ascii="Arial" w:hAnsi="Arial" w:cs="Arial"/>
              </w:rPr>
              <w:t>Market Capitalisation</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730F07" w14:textId="77777777" w:rsidR="00FE432C" w:rsidRPr="004453B4" w:rsidRDefault="0027563E" w:rsidP="004453B4">
            <w:pPr>
              <w:rPr>
                <w:rFonts w:ascii="Arial" w:hAnsi="Arial" w:cs="Arial"/>
              </w:rPr>
            </w:pPr>
            <w:r w:rsidRPr="004453B4">
              <w:rPr>
                <w:rFonts w:ascii="Arial" w:hAnsi="Arial" w:cs="Arial"/>
              </w:rPr>
              <w:t>US$94.9 Billion (SA, 2026)</w:t>
            </w:r>
          </w:p>
        </w:tc>
        <w:tc>
          <w:tcPr>
            <w:tcW w:w="5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146F8F" w14:textId="1F77C213" w:rsidR="00FE432C" w:rsidRPr="004453B4" w:rsidRDefault="0027563E" w:rsidP="004453B4">
            <w:pPr>
              <w:rPr>
                <w:rFonts w:ascii="Arial" w:hAnsi="Arial" w:cs="Arial"/>
              </w:rPr>
            </w:pPr>
            <w:r w:rsidRPr="004453B4">
              <w:rPr>
                <w:rFonts w:ascii="Arial" w:hAnsi="Arial" w:cs="Arial"/>
              </w:rPr>
              <w:t>Provides financial strength to meet environmental regulations and invest in low-carbon technologies</w:t>
            </w:r>
          </w:p>
        </w:tc>
      </w:tr>
      <w:tr w:rsidR="00FE432C" w:rsidRPr="004453B4" w14:paraId="66B00909" w14:textId="77777777" w:rsidTr="00292C6D">
        <w:trPr>
          <w:trHeight w:val="1040"/>
          <w:jc w:val="center"/>
        </w:trPr>
        <w:tc>
          <w:tcPr>
            <w:tcW w:w="2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548475" w14:textId="77777777" w:rsidR="00FE432C" w:rsidRPr="004453B4" w:rsidRDefault="0027563E" w:rsidP="004453B4">
            <w:pPr>
              <w:rPr>
                <w:rFonts w:ascii="Arial" w:hAnsi="Arial" w:cs="Arial"/>
              </w:rPr>
            </w:pPr>
            <w:r w:rsidRPr="004453B4">
              <w:rPr>
                <w:rFonts w:ascii="Arial" w:hAnsi="Arial" w:cs="Arial"/>
              </w:rPr>
              <w:lastRenderedPageBreak/>
              <w:t>52-Week Trading Range</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6A4689" w14:textId="77777777" w:rsidR="00FE432C" w:rsidRPr="004453B4" w:rsidRDefault="0027563E" w:rsidP="004453B4">
            <w:pPr>
              <w:rPr>
                <w:rFonts w:ascii="Arial" w:hAnsi="Arial" w:cs="Arial"/>
              </w:rPr>
            </w:pPr>
            <w:r w:rsidRPr="004453B4">
              <w:rPr>
                <w:rFonts w:ascii="Arial" w:hAnsi="Arial" w:cs="Arial"/>
              </w:rPr>
              <w:t>US$51.67–US$72.08 (Macrotrends, 2026)</w:t>
            </w:r>
          </w:p>
        </w:tc>
        <w:tc>
          <w:tcPr>
            <w:tcW w:w="5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20BAEE" w14:textId="530FCA63" w:rsidR="00FE432C" w:rsidRPr="004453B4" w:rsidRDefault="0027563E" w:rsidP="004453B4">
            <w:pPr>
              <w:rPr>
                <w:rFonts w:ascii="Arial" w:hAnsi="Arial" w:cs="Arial"/>
              </w:rPr>
            </w:pPr>
            <w:r w:rsidRPr="004453B4">
              <w:rPr>
                <w:rFonts w:ascii="Arial" w:hAnsi="Arial" w:cs="Arial"/>
              </w:rPr>
              <w:t>Highlights how policy uncertainty, commodity regulations, and ESG requirements influence investor sentiment</w:t>
            </w:r>
          </w:p>
        </w:tc>
      </w:tr>
    </w:tbl>
    <w:p w14:paraId="0A57908A" w14:textId="77777777" w:rsidR="00FE432C" w:rsidRPr="004453B4" w:rsidRDefault="0027563E" w:rsidP="004453B4">
      <w:pPr>
        <w:jc w:val="center"/>
        <w:rPr>
          <w:rFonts w:ascii="Arial" w:hAnsi="Arial" w:cs="Arial"/>
          <w:b/>
          <w:bCs/>
        </w:rPr>
      </w:pPr>
      <w:r w:rsidRPr="004453B4">
        <w:rPr>
          <w:rFonts w:ascii="Arial" w:hAnsi="Arial" w:cs="Arial"/>
          <w:b/>
          <w:bCs/>
        </w:rPr>
        <w:t>Table 3: Political-Legal Environment Indicators Affecting Rio Tinto plc</w:t>
      </w:r>
    </w:p>
    <w:p w14:paraId="5C50B1AF" w14:textId="0D4FCF71" w:rsidR="00FE432C" w:rsidRPr="004453B4" w:rsidRDefault="0027563E" w:rsidP="004453B4">
      <w:pPr>
        <w:rPr>
          <w:rFonts w:ascii="Arial" w:hAnsi="Arial" w:cs="Arial"/>
        </w:rPr>
      </w:pPr>
      <w:r w:rsidRPr="004453B4">
        <w:rPr>
          <w:rFonts w:ascii="Arial" w:hAnsi="Arial" w:cs="Arial"/>
        </w:rPr>
        <w:t>Environmental regulations, carbon reduction policies, as well as environmental, social and governance (ESG) disclosure are some of the political-legal frameworks that have an important impact on Rio Tinto. Governments are increasingly introducing even tougher legislation in support of climate aims, providing opportunities and compliance challenges for mining companies. Hulwani et al. (2025) point</w:t>
      </w:r>
      <w:r w:rsidR="00292C6D" w:rsidRPr="004453B4">
        <w:rPr>
          <w:rFonts w:ascii="Arial" w:hAnsi="Arial" w:cs="Arial"/>
        </w:rPr>
        <w:t>ed</w:t>
      </w:r>
      <w:r w:rsidRPr="004453B4">
        <w:rPr>
          <w:rFonts w:ascii="Arial" w:hAnsi="Arial" w:cs="Arial"/>
        </w:rPr>
        <w:t xml:space="preserve"> out that mining companies are shifting their strategies to fit the idea of a transition towards energy and sustainability. But regulations add to the expense of running the business and the information to be reported. Successful navigation of regulatory complexity is a key component of competitiveness in the 21st century (Kustra et al. 2025). Therefore, proactive compliance and sustainability integration are key to the long-term growth and confidence of Rio Tinto as a company.</w:t>
      </w:r>
    </w:p>
    <w:p w14:paraId="33141280" w14:textId="77777777" w:rsidR="00292C6D" w:rsidRPr="004453B4" w:rsidRDefault="00292C6D" w:rsidP="004453B4">
      <w:pPr>
        <w:rPr>
          <w:rFonts w:ascii="Arial" w:hAnsi="Arial" w:cs="Arial"/>
        </w:rPr>
      </w:pPr>
    </w:p>
    <w:p w14:paraId="1EBD5F37" w14:textId="77777777" w:rsidR="00FE432C" w:rsidRPr="004453B4" w:rsidRDefault="0027563E" w:rsidP="004453B4">
      <w:pPr>
        <w:pStyle w:val="Heading1"/>
        <w:rPr>
          <w:rFonts w:ascii="Arial" w:hAnsi="Arial" w:cs="Arial"/>
        </w:rPr>
      </w:pPr>
      <w:bookmarkStart w:id="17" w:name="_8nduw5fqk33q" w:colFirst="0" w:colLast="0"/>
      <w:bookmarkStart w:id="18" w:name="_Toc234622509"/>
      <w:bookmarkEnd w:id="17"/>
      <w:r w:rsidRPr="004453B4">
        <w:rPr>
          <w:rFonts w:ascii="Arial" w:hAnsi="Arial" w:cs="Arial"/>
        </w:rPr>
        <w:t>3. Task 2: Strategic Growth and Competitive Positioning</w:t>
      </w:r>
      <w:bookmarkEnd w:id="18"/>
    </w:p>
    <w:p w14:paraId="61FA963F" w14:textId="77777777" w:rsidR="00FE432C" w:rsidRPr="004453B4" w:rsidRDefault="0027563E" w:rsidP="004453B4">
      <w:pPr>
        <w:pStyle w:val="Heading2"/>
        <w:rPr>
          <w:rFonts w:ascii="Arial" w:hAnsi="Arial" w:cs="Arial"/>
        </w:rPr>
      </w:pPr>
      <w:bookmarkStart w:id="19" w:name="_veytu4xfas9d" w:colFirst="0" w:colLast="0"/>
      <w:bookmarkStart w:id="20" w:name="_Toc234622510"/>
      <w:bookmarkEnd w:id="19"/>
      <w:r w:rsidRPr="004453B4">
        <w:rPr>
          <w:rFonts w:ascii="Arial" w:hAnsi="Arial" w:cs="Arial"/>
        </w:rPr>
        <w:t>3.1 Strategic Growth Recommendation Using Ansoff Matrix</w:t>
      </w:r>
      <w:bookmarkEnd w:id="20"/>
    </w:p>
    <w:p w14:paraId="6562E3D9" w14:textId="6365FA82" w:rsidR="00FE432C" w:rsidRPr="004453B4" w:rsidRDefault="0027563E" w:rsidP="004453B4">
      <w:pPr>
        <w:rPr>
          <w:rFonts w:ascii="Arial" w:hAnsi="Arial" w:cs="Arial"/>
        </w:rPr>
      </w:pPr>
      <w:r w:rsidRPr="004453B4">
        <w:rPr>
          <w:rFonts w:ascii="Arial" w:hAnsi="Arial" w:cs="Arial"/>
        </w:rPr>
        <w:t xml:space="preserve">The Ansoff Matrix is a constructive tool to categorise areas of growth of the business that would support Rio Tinto's path towards a lower carbon business model. </w:t>
      </w:r>
      <w:r w:rsidR="004453B4" w:rsidRPr="004453B4">
        <w:rPr>
          <w:rFonts w:ascii="Arial" w:hAnsi="Arial" w:cs="Arial"/>
        </w:rPr>
        <w:t>As per Liu et al. (2024), p</w:t>
      </w:r>
      <w:r w:rsidRPr="004453B4">
        <w:rPr>
          <w:rFonts w:ascii="Arial" w:hAnsi="Arial" w:cs="Arial"/>
        </w:rPr>
        <w:t>roduct development is the most favourable strategic choice</w:t>
      </w:r>
      <w:r w:rsidR="00292C6D" w:rsidRPr="004453B4">
        <w:rPr>
          <w:rFonts w:ascii="Arial" w:hAnsi="Arial" w:cs="Arial"/>
        </w:rPr>
        <w:t>,</w:t>
      </w:r>
      <w:r w:rsidRPr="004453B4">
        <w:rPr>
          <w:rFonts w:ascii="Arial" w:hAnsi="Arial" w:cs="Arial"/>
        </w:rPr>
        <w:t xml:space="preserve"> as it allows the company to extend existing operational capabilities in a direction towards sustainable minerals for the production of low-carbon products and to meet the rising demand. The organisation's diversified portfolio of copper, lithium, aluminium and iron ore opens excellent opportunities to develop environmentally responsible products for renewable energy, battery production and for the green infrastructure markets. Rio Tinto has plenty of capital available to invest to grow the company. In addition, the company has an earnings per share (EPS) of around US$7.54 (Reuters, 2025). </w:t>
      </w:r>
      <w:r w:rsidR="00292C6D" w:rsidRPr="004453B4">
        <w:rPr>
          <w:rFonts w:ascii="Arial" w:hAnsi="Arial" w:cs="Arial"/>
        </w:rPr>
        <w:t xml:space="preserve">This indicates that Rio Tinto has long-term profitability to cover long-term growth programs. </w:t>
      </w:r>
      <w:r w:rsidRPr="004453B4">
        <w:rPr>
          <w:rFonts w:ascii="Arial" w:hAnsi="Arial" w:cs="Arial"/>
        </w:rPr>
        <w:t xml:space="preserve">This financial strength enables the organisation to take advantage of growth opportunities in the global energy transition. The adoption of green aluminium, sustainable copper, and low-carbon iron ore in product development can enhance </w:t>
      </w:r>
      <w:r w:rsidRPr="004453B4">
        <w:rPr>
          <w:rFonts w:ascii="Arial" w:hAnsi="Arial" w:cs="Arial"/>
        </w:rPr>
        <w:lastRenderedPageBreak/>
        <w:t xml:space="preserve">market differentiation and satisfy the growing demand for eco-friendly materials among consumers. </w:t>
      </w:r>
    </w:p>
    <w:p w14:paraId="4A10A0E1" w14:textId="04E90278" w:rsidR="00FE432C" w:rsidRPr="004453B4" w:rsidRDefault="0027563E" w:rsidP="007D7F1E">
      <w:pPr>
        <w:pStyle w:val="Heading3"/>
        <w:rPr>
          <w:rFonts w:ascii="Arial" w:hAnsi="Arial" w:cs="Arial"/>
        </w:rPr>
      </w:pPr>
      <w:bookmarkStart w:id="21" w:name="_c2gho85kwhey" w:colFirst="0" w:colLast="0"/>
      <w:bookmarkStart w:id="22" w:name="_Toc234622511"/>
      <w:bookmarkEnd w:id="21"/>
      <w:r w:rsidRPr="004453B4">
        <w:rPr>
          <w:rFonts w:ascii="Arial" w:hAnsi="Arial" w:cs="Arial"/>
        </w:rPr>
        <w:t xml:space="preserve">3.1.1 </w:t>
      </w:r>
      <w:proofErr w:type="spellStart"/>
      <w:r w:rsidRPr="004453B4">
        <w:rPr>
          <w:rFonts w:ascii="Arial" w:hAnsi="Arial" w:cs="Arial"/>
        </w:rPr>
        <w:t>Ansoff</w:t>
      </w:r>
      <w:proofErr w:type="spellEnd"/>
      <w:r w:rsidRPr="004453B4">
        <w:rPr>
          <w:rFonts w:ascii="Arial" w:hAnsi="Arial" w:cs="Arial"/>
        </w:rPr>
        <w:t xml:space="preserve"> Matrix Evaluation</w:t>
      </w:r>
      <w:bookmarkEnd w:id="22"/>
    </w:p>
    <w:p w14:paraId="51033C3A" w14:textId="77777777" w:rsidR="004453B4" w:rsidRPr="004453B4" w:rsidRDefault="004453B4" w:rsidP="004453B4">
      <w:pPr>
        <w:rPr>
          <w:rFonts w:ascii="Arial" w:hAnsi="Arial" w:cs="Arial"/>
        </w:rPr>
      </w:pPr>
    </w:p>
    <w:p w14:paraId="10FA8180" w14:textId="73932429" w:rsidR="00FE432C" w:rsidRPr="007D7F1E" w:rsidRDefault="0027563E" w:rsidP="007D7F1E">
      <w:pPr>
        <w:pStyle w:val="Heading1"/>
        <w:rPr>
          <w:rFonts w:ascii="Arial" w:hAnsi="Arial" w:cs="Arial"/>
        </w:rPr>
      </w:pPr>
      <w:bookmarkStart w:id="23" w:name="_gqqe0sqf3f4k" w:colFirst="0" w:colLast="0"/>
      <w:bookmarkStart w:id="24" w:name="_Toc234622514"/>
      <w:bookmarkEnd w:id="23"/>
      <w:r w:rsidRPr="004453B4">
        <w:rPr>
          <w:rFonts w:ascii="Arial" w:hAnsi="Arial" w:cs="Arial"/>
        </w:rPr>
        <w:t>4. Task 3: Critical Reflection on AI Usage</w:t>
      </w:r>
      <w:bookmarkStart w:id="25" w:name="_l6qitcrer7mw" w:colFirst="0" w:colLast="0"/>
      <w:bookmarkEnd w:id="24"/>
      <w:bookmarkEnd w:id="25"/>
    </w:p>
    <w:p w14:paraId="0CAFB3DB" w14:textId="77777777" w:rsidR="004453B4" w:rsidRPr="004453B4" w:rsidRDefault="004453B4" w:rsidP="004453B4">
      <w:pPr>
        <w:rPr>
          <w:rFonts w:ascii="Arial" w:hAnsi="Arial" w:cs="Arial"/>
          <w:color w:val="000000" w:themeColor="text1"/>
        </w:rPr>
      </w:pPr>
    </w:p>
    <w:p w14:paraId="7546B9CE" w14:textId="12FD71E5" w:rsidR="00FE432C" w:rsidRPr="004453B4" w:rsidRDefault="00810030" w:rsidP="004453B4">
      <w:pPr>
        <w:pStyle w:val="Heading1"/>
        <w:rPr>
          <w:rFonts w:ascii="Arial" w:hAnsi="Arial" w:cs="Arial"/>
          <w:color w:val="000000" w:themeColor="text1"/>
        </w:rPr>
      </w:pPr>
      <w:bookmarkStart w:id="26" w:name="_ilnsz9hqss9u" w:colFirst="0" w:colLast="0"/>
      <w:bookmarkStart w:id="27" w:name="_Toc234622520"/>
      <w:bookmarkEnd w:id="26"/>
      <w:r w:rsidRPr="004453B4">
        <w:rPr>
          <w:rFonts w:ascii="Arial" w:hAnsi="Arial" w:cs="Arial"/>
          <w:color w:val="000000" w:themeColor="text1"/>
        </w:rPr>
        <w:t>5. Conclusion</w:t>
      </w:r>
      <w:bookmarkEnd w:id="27"/>
    </w:p>
    <w:p w14:paraId="3552F76B" w14:textId="171E7BC7" w:rsidR="00FE432C" w:rsidRPr="004453B4" w:rsidRDefault="00892C39" w:rsidP="004453B4">
      <w:pPr>
        <w:rPr>
          <w:rFonts w:ascii="Arial" w:hAnsi="Arial" w:cs="Arial"/>
        </w:rPr>
      </w:pPr>
      <w:r w:rsidRPr="004453B4">
        <w:rPr>
          <w:rFonts w:ascii="Arial" w:hAnsi="Arial" w:cs="Arial"/>
        </w:rPr>
        <w:br w:type="page"/>
      </w:r>
    </w:p>
    <w:p w14:paraId="4AEA86C8" w14:textId="77777777" w:rsidR="00FE432C" w:rsidRPr="004453B4" w:rsidRDefault="0027563E" w:rsidP="004453B4">
      <w:pPr>
        <w:pStyle w:val="Heading1"/>
        <w:rPr>
          <w:rFonts w:ascii="Arial" w:hAnsi="Arial" w:cs="Arial"/>
        </w:rPr>
      </w:pPr>
      <w:bookmarkStart w:id="28" w:name="_ejjuqev6d610" w:colFirst="0" w:colLast="0"/>
      <w:bookmarkStart w:id="29" w:name="_Toc234622521"/>
      <w:bookmarkEnd w:id="28"/>
      <w:r w:rsidRPr="004453B4">
        <w:rPr>
          <w:rFonts w:ascii="Arial" w:hAnsi="Arial" w:cs="Arial"/>
        </w:rPr>
        <w:lastRenderedPageBreak/>
        <w:t>References</w:t>
      </w:r>
      <w:bookmarkEnd w:id="29"/>
    </w:p>
    <w:p w14:paraId="3E0C4903" w14:textId="77777777" w:rsidR="004453B4" w:rsidRPr="004453B4" w:rsidRDefault="004453B4" w:rsidP="004453B4">
      <w:pPr>
        <w:spacing w:after="240"/>
        <w:rPr>
          <w:rFonts w:ascii="Arial" w:hAnsi="Arial" w:cs="Arial"/>
        </w:rPr>
      </w:pPr>
      <w:r w:rsidRPr="004453B4">
        <w:rPr>
          <w:rFonts w:ascii="Arial" w:hAnsi="Arial" w:cs="Arial"/>
        </w:rPr>
        <w:t xml:space="preserve">Addo, A.F. (2026). Marketing and Communicating the Transition: Exploring the Sustainable Rebranding of Extractive Companies. </w:t>
      </w:r>
      <w:hyperlink r:id="rId10" w:history="1">
        <w:r w:rsidRPr="004453B4">
          <w:rPr>
            <w:rStyle w:val="Hyperlink"/>
            <w:rFonts w:ascii="Arial" w:hAnsi="Arial" w:cs="Arial"/>
          </w:rPr>
          <w:t>https://www.diva-portal.org/smash/record.jsf?pid=diva2:2031949</w:t>
        </w:r>
      </w:hyperlink>
    </w:p>
    <w:p w14:paraId="7859CF3B" w14:textId="77777777" w:rsidR="004453B4" w:rsidRPr="004453B4" w:rsidRDefault="004453B4" w:rsidP="004453B4">
      <w:pPr>
        <w:spacing w:after="240"/>
        <w:rPr>
          <w:rFonts w:ascii="Arial" w:hAnsi="Arial" w:cs="Arial"/>
        </w:rPr>
      </w:pPr>
      <w:r w:rsidRPr="004453B4">
        <w:rPr>
          <w:rFonts w:ascii="Arial" w:hAnsi="Arial" w:cs="Arial"/>
        </w:rPr>
        <w:t xml:space="preserve">Aska, B., </w:t>
      </w:r>
      <w:proofErr w:type="spellStart"/>
      <w:r w:rsidRPr="004453B4">
        <w:rPr>
          <w:rFonts w:ascii="Arial" w:hAnsi="Arial" w:cs="Arial"/>
        </w:rPr>
        <w:t>Sonter</w:t>
      </w:r>
      <w:proofErr w:type="spellEnd"/>
      <w:r w:rsidRPr="004453B4">
        <w:rPr>
          <w:rFonts w:ascii="Arial" w:hAnsi="Arial" w:cs="Arial"/>
        </w:rPr>
        <w:t xml:space="preserve">, L.J., </w:t>
      </w:r>
      <w:proofErr w:type="spellStart"/>
      <w:r w:rsidRPr="004453B4">
        <w:rPr>
          <w:rFonts w:ascii="Arial" w:hAnsi="Arial" w:cs="Arial"/>
        </w:rPr>
        <w:t>zu</w:t>
      </w:r>
      <w:proofErr w:type="spellEnd"/>
      <w:r w:rsidRPr="004453B4">
        <w:rPr>
          <w:rFonts w:ascii="Arial" w:hAnsi="Arial" w:cs="Arial"/>
        </w:rPr>
        <w:t xml:space="preserve"> </w:t>
      </w:r>
      <w:proofErr w:type="spellStart"/>
      <w:r w:rsidRPr="004453B4">
        <w:rPr>
          <w:rFonts w:ascii="Arial" w:hAnsi="Arial" w:cs="Arial"/>
        </w:rPr>
        <w:t>Ermgassen</w:t>
      </w:r>
      <w:proofErr w:type="spellEnd"/>
      <w:r w:rsidRPr="004453B4">
        <w:rPr>
          <w:rFonts w:ascii="Arial" w:hAnsi="Arial" w:cs="Arial"/>
        </w:rPr>
        <w:t xml:space="preserve">, S.O., Franks, D.M., </w:t>
      </w:r>
      <w:proofErr w:type="spellStart"/>
      <w:r w:rsidRPr="004453B4">
        <w:rPr>
          <w:rFonts w:ascii="Arial" w:hAnsi="Arial" w:cs="Arial"/>
        </w:rPr>
        <w:t>Mingorria</w:t>
      </w:r>
      <w:proofErr w:type="spellEnd"/>
      <w:r w:rsidRPr="004453B4">
        <w:rPr>
          <w:rFonts w:ascii="Arial" w:hAnsi="Arial" w:cs="Arial"/>
        </w:rPr>
        <w:t>, S., Iniesta-Arandia, I., Lloyd, T.J. and Torres, A. (2025). Mining, biodiversity and social conflict in the renewable energy transition. </w:t>
      </w:r>
      <w:r w:rsidRPr="004453B4">
        <w:rPr>
          <w:rFonts w:ascii="Arial" w:hAnsi="Arial" w:cs="Arial"/>
          <w:i/>
          <w:iCs/>
        </w:rPr>
        <w:t>Nature Reviews Biodiversity</w:t>
      </w:r>
      <w:r w:rsidRPr="004453B4">
        <w:rPr>
          <w:rFonts w:ascii="Arial" w:hAnsi="Arial" w:cs="Arial"/>
        </w:rPr>
        <w:t>, </w:t>
      </w:r>
      <w:r w:rsidRPr="004453B4">
        <w:rPr>
          <w:rFonts w:ascii="Arial" w:hAnsi="Arial" w:cs="Arial"/>
          <w:i/>
          <w:iCs/>
        </w:rPr>
        <w:t>1</w:t>
      </w:r>
      <w:r w:rsidRPr="004453B4">
        <w:rPr>
          <w:rFonts w:ascii="Arial" w:hAnsi="Arial" w:cs="Arial"/>
        </w:rPr>
        <w:t xml:space="preserve">(9), pp.597-614. </w:t>
      </w:r>
      <w:hyperlink r:id="rId11" w:history="1">
        <w:r w:rsidRPr="004453B4">
          <w:rPr>
            <w:rStyle w:val="Hyperlink"/>
            <w:rFonts w:ascii="Arial" w:hAnsi="Arial" w:cs="Arial"/>
          </w:rPr>
          <w:t>https://www.nature.com/articles/s44358-025-00076-3</w:t>
        </w:r>
      </w:hyperlink>
    </w:p>
    <w:p w14:paraId="287004CB" w14:textId="34504C2B" w:rsidR="004453B4" w:rsidRPr="007D65FE" w:rsidRDefault="004453B4" w:rsidP="004453B4">
      <w:pPr>
        <w:spacing w:after="240"/>
        <w:rPr>
          <w:rFonts w:ascii="Arial" w:hAnsi="Arial" w:cs="Arial"/>
        </w:rPr>
      </w:pPr>
      <w:r w:rsidRPr="004453B4">
        <w:rPr>
          <w:rFonts w:ascii="Arial" w:hAnsi="Arial" w:cs="Arial"/>
        </w:rPr>
        <w:t>Das, J. (2026). Strategic Metals in the Energy Transition: The Geopolitical Economics of Aluminium Ingots. </w:t>
      </w:r>
      <w:r w:rsidRPr="007D65FE">
        <w:rPr>
          <w:rFonts w:ascii="Arial" w:hAnsi="Arial" w:cs="Arial"/>
          <w:i/>
          <w:iCs/>
        </w:rPr>
        <w:t>Available at SSRN 6273878</w:t>
      </w:r>
      <w:r w:rsidRPr="007D65FE">
        <w:rPr>
          <w:rFonts w:ascii="Arial" w:hAnsi="Arial" w:cs="Arial"/>
        </w:rPr>
        <w:t xml:space="preserve">. </w:t>
      </w:r>
      <w:hyperlink r:id="rId12" w:history="1">
        <w:r w:rsidR="007D65FE" w:rsidRPr="007D65FE">
          <w:rPr>
            <w:rStyle w:val="Hyperlink"/>
            <w:rFonts w:ascii="Arial" w:hAnsi="Arial" w:cs="Arial"/>
          </w:rPr>
          <w:t>https://www.researchgate.net/publication/403715078_Strategic_Metals_in_the_Energy_Transition_The_Geopolitical_Economics_of_Aluminium_Ingots</w:t>
        </w:r>
      </w:hyperlink>
      <w:r w:rsidR="007D65FE" w:rsidRPr="007D65FE">
        <w:rPr>
          <w:rFonts w:ascii="Arial" w:hAnsi="Arial" w:cs="Arial"/>
        </w:rPr>
        <w:t xml:space="preserve"> </w:t>
      </w:r>
    </w:p>
    <w:p w14:paraId="6C74AB0C" w14:textId="77777777" w:rsidR="004453B4" w:rsidRPr="004453B4" w:rsidRDefault="004453B4" w:rsidP="004453B4">
      <w:pPr>
        <w:spacing w:after="240"/>
        <w:rPr>
          <w:rStyle w:val="Hyperlink"/>
          <w:rFonts w:ascii="Arial" w:hAnsi="Arial" w:cs="Arial"/>
        </w:rPr>
      </w:pPr>
      <w:r w:rsidRPr="004453B4">
        <w:rPr>
          <w:rFonts w:ascii="Arial" w:hAnsi="Arial" w:cs="Arial"/>
        </w:rPr>
        <w:t xml:space="preserve">Dunlap, A.A., Novaković, B. and </w:t>
      </w:r>
      <w:proofErr w:type="spellStart"/>
      <w:r w:rsidRPr="004453B4">
        <w:rPr>
          <w:rFonts w:ascii="Arial" w:hAnsi="Arial" w:cs="Arial"/>
        </w:rPr>
        <w:t>Sovacool</w:t>
      </w:r>
      <w:proofErr w:type="spellEnd"/>
      <w:r w:rsidRPr="004453B4">
        <w:rPr>
          <w:rFonts w:ascii="Arial" w:hAnsi="Arial" w:cs="Arial"/>
        </w:rPr>
        <w:t xml:space="preserve">, B.K. (2025). Mining as environmentalism: green/grey </w:t>
      </w:r>
      <w:proofErr w:type="spellStart"/>
      <w:r w:rsidRPr="004453B4">
        <w:rPr>
          <w:rFonts w:ascii="Arial" w:hAnsi="Arial" w:cs="Arial"/>
        </w:rPr>
        <w:t>extractivism</w:t>
      </w:r>
      <w:proofErr w:type="spellEnd"/>
      <w:r w:rsidRPr="004453B4">
        <w:rPr>
          <w:rFonts w:ascii="Arial" w:hAnsi="Arial" w:cs="Arial"/>
        </w:rPr>
        <w:t xml:space="preserve"> and the production of extractive subjectivities around the Rio Tinto Kennecott mine in the United States. </w:t>
      </w:r>
      <w:r w:rsidRPr="004453B4">
        <w:rPr>
          <w:rFonts w:ascii="Arial" w:hAnsi="Arial" w:cs="Arial"/>
          <w:i/>
          <w:iCs/>
        </w:rPr>
        <w:t>Globalizations</w:t>
      </w:r>
      <w:r w:rsidRPr="004453B4">
        <w:rPr>
          <w:rFonts w:ascii="Arial" w:hAnsi="Arial" w:cs="Arial"/>
        </w:rPr>
        <w:t xml:space="preserve">, pp.1-36. </w:t>
      </w:r>
      <w:hyperlink r:id="rId13" w:history="1">
        <w:r w:rsidRPr="004453B4">
          <w:rPr>
            <w:rStyle w:val="Hyperlink"/>
            <w:rFonts w:ascii="Arial" w:hAnsi="Arial" w:cs="Arial"/>
          </w:rPr>
          <w:t>https://www.tandfonline.com/doi/abs/10.1080/14747731.2025.2465069</w:t>
        </w:r>
      </w:hyperlink>
    </w:p>
    <w:p w14:paraId="52D2DA41" w14:textId="77777777" w:rsidR="004453B4" w:rsidRPr="004453B4" w:rsidRDefault="004453B4" w:rsidP="004453B4">
      <w:pPr>
        <w:spacing w:after="240"/>
        <w:rPr>
          <w:rFonts w:ascii="Arial" w:hAnsi="Arial" w:cs="Arial"/>
        </w:rPr>
      </w:pPr>
      <w:r w:rsidRPr="004453B4">
        <w:rPr>
          <w:rFonts w:ascii="Arial" w:hAnsi="Arial" w:cs="Arial"/>
        </w:rPr>
        <w:t>Ekins, P., Christmann, P., Ciftci, M.M., Larosa, F. and Verrier, B. (2026). Financing the responsible supply of energy transition minerals. </w:t>
      </w:r>
      <w:r w:rsidRPr="004453B4">
        <w:rPr>
          <w:rFonts w:ascii="Arial" w:hAnsi="Arial" w:cs="Arial"/>
          <w:i/>
          <w:iCs/>
        </w:rPr>
        <w:t>Mineral Economics</w:t>
      </w:r>
      <w:r w:rsidRPr="004453B4">
        <w:rPr>
          <w:rFonts w:ascii="Arial" w:hAnsi="Arial" w:cs="Arial"/>
        </w:rPr>
        <w:t xml:space="preserve">, pp.1-19. </w:t>
      </w:r>
      <w:hyperlink r:id="rId14" w:history="1">
        <w:r w:rsidRPr="004453B4">
          <w:rPr>
            <w:rStyle w:val="Hyperlink"/>
            <w:rFonts w:ascii="Arial" w:hAnsi="Arial" w:cs="Arial"/>
          </w:rPr>
          <w:t>https://link.springer.com/article/10.1007/s13563-026-00637-8</w:t>
        </w:r>
      </w:hyperlink>
    </w:p>
    <w:p w14:paraId="7E0BC2DB" w14:textId="77777777" w:rsidR="004453B4" w:rsidRPr="004453B4" w:rsidRDefault="004453B4" w:rsidP="004453B4">
      <w:pPr>
        <w:spacing w:after="240"/>
        <w:rPr>
          <w:rFonts w:ascii="Arial" w:hAnsi="Arial" w:cs="Arial"/>
        </w:rPr>
      </w:pPr>
      <w:proofErr w:type="spellStart"/>
      <w:r w:rsidRPr="004453B4">
        <w:rPr>
          <w:rFonts w:ascii="Arial" w:hAnsi="Arial" w:cs="Arial"/>
        </w:rPr>
        <w:t>Fathollahzadeh</w:t>
      </w:r>
      <w:proofErr w:type="spellEnd"/>
      <w:r w:rsidRPr="004453B4">
        <w:rPr>
          <w:rFonts w:ascii="Arial" w:hAnsi="Arial" w:cs="Arial"/>
        </w:rPr>
        <w:t>, H., Mudd, G.M. and Jowitt, S.M. (2026). Economic sustainability in the critical materials-supply chains-renewable energy nexus for a low carbon future. </w:t>
      </w:r>
      <w:r w:rsidRPr="004453B4">
        <w:rPr>
          <w:rFonts w:ascii="Arial" w:hAnsi="Arial" w:cs="Arial"/>
          <w:i/>
          <w:iCs/>
        </w:rPr>
        <w:t>Resources Policy</w:t>
      </w:r>
      <w:r w:rsidRPr="004453B4">
        <w:rPr>
          <w:rFonts w:ascii="Arial" w:hAnsi="Arial" w:cs="Arial"/>
        </w:rPr>
        <w:t>, </w:t>
      </w:r>
      <w:r w:rsidRPr="004453B4">
        <w:rPr>
          <w:rFonts w:ascii="Arial" w:hAnsi="Arial" w:cs="Arial"/>
          <w:i/>
          <w:iCs/>
        </w:rPr>
        <w:t>114</w:t>
      </w:r>
      <w:r w:rsidRPr="004453B4">
        <w:rPr>
          <w:rFonts w:ascii="Arial" w:hAnsi="Arial" w:cs="Arial"/>
        </w:rPr>
        <w:t xml:space="preserve">, p.105862. </w:t>
      </w:r>
      <w:hyperlink r:id="rId15" w:history="1">
        <w:r w:rsidRPr="004453B4">
          <w:rPr>
            <w:rStyle w:val="Hyperlink"/>
            <w:rFonts w:ascii="Arial" w:hAnsi="Arial" w:cs="Arial"/>
          </w:rPr>
          <w:t>https://www.sciencedirect.com/science/article/pii/S0301420726000346</w:t>
        </w:r>
      </w:hyperlink>
    </w:p>
    <w:p w14:paraId="243F4432" w14:textId="77777777" w:rsidR="004453B4" w:rsidRPr="004453B4" w:rsidRDefault="004453B4" w:rsidP="004453B4">
      <w:pPr>
        <w:spacing w:after="240"/>
        <w:rPr>
          <w:rFonts w:ascii="Arial" w:hAnsi="Arial" w:cs="Arial"/>
        </w:rPr>
      </w:pPr>
      <w:r w:rsidRPr="004453B4">
        <w:rPr>
          <w:rFonts w:ascii="Arial" w:hAnsi="Arial" w:cs="Arial"/>
        </w:rPr>
        <w:t xml:space="preserve">GD. (2025). </w:t>
      </w:r>
      <w:r w:rsidRPr="004453B4">
        <w:rPr>
          <w:rFonts w:ascii="Arial" w:hAnsi="Arial" w:cs="Arial"/>
          <w:i/>
          <w:iCs/>
        </w:rPr>
        <w:t>Rio Tinto: Overview.</w:t>
      </w:r>
      <w:r w:rsidRPr="004453B4">
        <w:rPr>
          <w:rFonts w:ascii="Arial" w:hAnsi="Arial" w:cs="Arial"/>
        </w:rPr>
        <w:t xml:space="preserve"> Available at: </w:t>
      </w:r>
      <w:hyperlink r:id="rId16" w:history="1">
        <w:r w:rsidRPr="004453B4">
          <w:rPr>
            <w:rStyle w:val="Hyperlink"/>
            <w:rFonts w:ascii="Arial" w:hAnsi="Arial" w:cs="Arial"/>
          </w:rPr>
          <w:t>https://www.globaldata.com/company-profile/rio-tinto/</w:t>
        </w:r>
      </w:hyperlink>
      <w:r w:rsidRPr="004453B4">
        <w:rPr>
          <w:rFonts w:ascii="Arial" w:hAnsi="Arial" w:cs="Arial"/>
        </w:rPr>
        <w:t xml:space="preserve"> [Accessed: 06 July 2026]</w:t>
      </w:r>
    </w:p>
    <w:p w14:paraId="2A27F6BA" w14:textId="77777777" w:rsidR="004453B4" w:rsidRPr="004453B4" w:rsidRDefault="004453B4" w:rsidP="004453B4">
      <w:pPr>
        <w:spacing w:after="240"/>
        <w:rPr>
          <w:rFonts w:ascii="Arial" w:hAnsi="Arial" w:cs="Arial"/>
        </w:rPr>
      </w:pPr>
      <w:proofErr w:type="spellStart"/>
      <w:r w:rsidRPr="004453B4">
        <w:rPr>
          <w:rFonts w:ascii="Arial" w:hAnsi="Arial" w:cs="Arial"/>
        </w:rPr>
        <w:t>Hulwani</w:t>
      </w:r>
      <w:proofErr w:type="spellEnd"/>
      <w:r w:rsidRPr="004453B4">
        <w:rPr>
          <w:rFonts w:ascii="Arial" w:hAnsi="Arial" w:cs="Arial"/>
        </w:rPr>
        <w:t xml:space="preserve">, Z., </w:t>
      </w:r>
      <w:proofErr w:type="spellStart"/>
      <w:r w:rsidRPr="004453B4">
        <w:rPr>
          <w:rFonts w:ascii="Arial" w:hAnsi="Arial" w:cs="Arial"/>
        </w:rPr>
        <w:t>Oziana</w:t>
      </w:r>
      <w:proofErr w:type="spellEnd"/>
      <w:r w:rsidRPr="004453B4">
        <w:rPr>
          <w:rFonts w:ascii="Arial" w:hAnsi="Arial" w:cs="Arial"/>
        </w:rPr>
        <w:t xml:space="preserve">, D.R.R., </w:t>
      </w:r>
      <w:proofErr w:type="spellStart"/>
      <w:r w:rsidRPr="004453B4">
        <w:rPr>
          <w:rFonts w:ascii="Arial" w:hAnsi="Arial" w:cs="Arial"/>
        </w:rPr>
        <w:t>Arsianda</w:t>
      </w:r>
      <w:proofErr w:type="spellEnd"/>
      <w:r w:rsidRPr="004453B4">
        <w:rPr>
          <w:rFonts w:ascii="Arial" w:hAnsi="Arial" w:cs="Arial"/>
        </w:rPr>
        <w:t xml:space="preserve">, M.N., Harisman, H., </w:t>
      </w:r>
      <w:proofErr w:type="spellStart"/>
      <w:r w:rsidRPr="004453B4">
        <w:rPr>
          <w:rFonts w:ascii="Arial" w:hAnsi="Arial" w:cs="Arial"/>
        </w:rPr>
        <w:t>Muchlis</w:t>
      </w:r>
      <w:proofErr w:type="spellEnd"/>
      <w:r w:rsidRPr="004453B4">
        <w:rPr>
          <w:rFonts w:ascii="Arial" w:hAnsi="Arial" w:cs="Arial"/>
        </w:rPr>
        <w:t>, M. and Mutia, F. (2025). Business Strategy Adaptation amid Industry Dynamics and Energy Transition: Evidence From PT Merdeka Copper Gold and Pt Indika Energy. </w:t>
      </w:r>
      <w:proofErr w:type="spellStart"/>
      <w:r w:rsidRPr="004453B4">
        <w:rPr>
          <w:rFonts w:ascii="Arial" w:hAnsi="Arial" w:cs="Arial"/>
          <w:i/>
          <w:iCs/>
        </w:rPr>
        <w:t>Jurnal</w:t>
      </w:r>
      <w:proofErr w:type="spellEnd"/>
      <w:r w:rsidRPr="004453B4">
        <w:rPr>
          <w:rFonts w:ascii="Arial" w:hAnsi="Arial" w:cs="Arial"/>
          <w:i/>
          <w:iCs/>
        </w:rPr>
        <w:t xml:space="preserve"> </w:t>
      </w:r>
      <w:proofErr w:type="spellStart"/>
      <w:r w:rsidRPr="004453B4">
        <w:rPr>
          <w:rFonts w:ascii="Arial" w:hAnsi="Arial" w:cs="Arial"/>
          <w:i/>
          <w:iCs/>
        </w:rPr>
        <w:t>Industri</w:t>
      </w:r>
      <w:proofErr w:type="spellEnd"/>
      <w:r w:rsidRPr="004453B4">
        <w:rPr>
          <w:rFonts w:ascii="Arial" w:hAnsi="Arial" w:cs="Arial"/>
          <w:i/>
          <w:iCs/>
        </w:rPr>
        <w:t xml:space="preserve"> </w:t>
      </w:r>
      <w:proofErr w:type="spellStart"/>
      <w:r w:rsidRPr="004453B4">
        <w:rPr>
          <w:rFonts w:ascii="Arial" w:hAnsi="Arial" w:cs="Arial"/>
          <w:i/>
          <w:iCs/>
        </w:rPr>
        <w:t>dan</w:t>
      </w:r>
      <w:proofErr w:type="spellEnd"/>
      <w:r w:rsidRPr="004453B4">
        <w:rPr>
          <w:rFonts w:ascii="Arial" w:hAnsi="Arial" w:cs="Arial"/>
          <w:i/>
          <w:iCs/>
        </w:rPr>
        <w:t xml:space="preserve"> </w:t>
      </w:r>
      <w:proofErr w:type="spellStart"/>
      <w:r w:rsidRPr="004453B4">
        <w:rPr>
          <w:rFonts w:ascii="Arial" w:hAnsi="Arial" w:cs="Arial"/>
          <w:i/>
          <w:iCs/>
        </w:rPr>
        <w:t>Inovasi</w:t>
      </w:r>
      <w:proofErr w:type="spellEnd"/>
      <w:r w:rsidRPr="004453B4">
        <w:rPr>
          <w:rFonts w:ascii="Arial" w:hAnsi="Arial" w:cs="Arial"/>
          <w:i/>
          <w:iCs/>
        </w:rPr>
        <w:t xml:space="preserve"> (INVASI)</w:t>
      </w:r>
      <w:r w:rsidRPr="004453B4">
        <w:rPr>
          <w:rFonts w:ascii="Arial" w:hAnsi="Arial" w:cs="Arial"/>
        </w:rPr>
        <w:t>, </w:t>
      </w:r>
      <w:r w:rsidRPr="004453B4">
        <w:rPr>
          <w:rFonts w:ascii="Arial" w:hAnsi="Arial" w:cs="Arial"/>
          <w:i/>
          <w:iCs/>
        </w:rPr>
        <w:t>3</w:t>
      </w:r>
      <w:r w:rsidRPr="004453B4">
        <w:rPr>
          <w:rFonts w:ascii="Arial" w:hAnsi="Arial" w:cs="Arial"/>
        </w:rPr>
        <w:t xml:space="preserve">(1), pp.41-52. </w:t>
      </w:r>
      <w:hyperlink r:id="rId17" w:history="1">
        <w:r w:rsidRPr="004453B4">
          <w:rPr>
            <w:rStyle w:val="Hyperlink"/>
            <w:rFonts w:ascii="Arial" w:hAnsi="Arial" w:cs="Arial"/>
          </w:rPr>
          <w:t>http://jurnal.utu.ac.id/invasi/article/view/14716</w:t>
        </w:r>
      </w:hyperlink>
    </w:p>
    <w:p w14:paraId="5A30F8C3" w14:textId="77777777" w:rsidR="004453B4" w:rsidRPr="004453B4" w:rsidRDefault="004453B4" w:rsidP="004453B4">
      <w:pPr>
        <w:spacing w:after="240"/>
        <w:rPr>
          <w:rFonts w:ascii="Arial" w:hAnsi="Arial" w:cs="Arial"/>
        </w:rPr>
      </w:pPr>
      <w:proofErr w:type="spellStart"/>
      <w:r w:rsidRPr="004453B4">
        <w:rPr>
          <w:rFonts w:ascii="Arial" w:hAnsi="Arial" w:cs="Arial"/>
        </w:rPr>
        <w:lastRenderedPageBreak/>
        <w:t>Kustra</w:t>
      </w:r>
      <w:proofErr w:type="spellEnd"/>
      <w:r w:rsidRPr="004453B4">
        <w:rPr>
          <w:rFonts w:ascii="Arial" w:hAnsi="Arial" w:cs="Arial"/>
        </w:rPr>
        <w:t>, A., Lorenc-Szot, S. and Yilmaz, D. (2025). Diversification and Transformation of Business Models in Raw Material Companies. </w:t>
      </w:r>
      <w:proofErr w:type="spellStart"/>
      <w:r w:rsidRPr="004453B4">
        <w:rPr>
          <w:rFonts w:ascii="Arial" w:hAnsi="Arial" w:cs="Arial"/>
          <w:i/>
          <w:iCs/>
        </w:rPr>
        <w:t>Inżynieria</w:t>
      </w:r>
      <w:proofErr w:type="spellEnd"/>
      <w:r w:rsidRPr="004453B4">
        <w:rPr>
          <w:rFonts w:ascii="Arial" w:hAnsi="Arial" w:cs="Arial"/>
          <w:i/>
          <w:iCs/>
        </w:rPr>
        <w:t xml:space="preserve"> </w:t>
      </w:r>
      <w:proofErr w:type="spellStart"/>
      <w:r w:rsidRPr="004453B4">
        <w:rPr>
          <w:rFonts w:ascii="Arial" w:hAnsi="Arial" w:cs="Arial"/>
          <w:i/>
          <w:iCs/>
        </w:rPr>
        <w:t>Mineralna</w:t>
      </w:r>
      <w:proofErr w:type="spellEnd"/>
      <w:r w:rsidRPr="004453B4">
        <w:rPr>
          <w:rFonts w:ascii="Arial" w:hAnsi="Arial" w:cs="Arial"/>
        </w:rPr>
        <w:t>, </w:t>
      </w:r>
      <w:r w:rsidRPr="004453B4">
        <w:rPr>
          <w:rFonts w:ascii="Arial" w:hAnsi="Arial" w:cs="Arial"/>
          <w:i/>
          <w:iCs/>
        </w:rPr>
        <w:t>4</w:t>
      </w:r>
      <w:r w:rsidRPr="004453B4">
        <w:rPr>
          <w:rFonts w:ascii="Arial" w:hAnsi="Arial" w:cs="Arial"/>
        </w:rPr>
        <w:t xml:space="preserve">(2), pp.135-143. </w:t>
      </w:r>
      <w:hyperlink r:id="rId18" w:history="1">
        <w:r w:rsidRPr="004453B4">
          <w:rPr>
            <w:rStyle w:val="Hyperlink"/>
            <w:rFonts w:ascii="Arial" w:hAnsi="Arial" w:cs="Arial"/>
          </w:rPr>
          <w:t>https://bibliotekanauki.pl/articles/64176657.pdf</w:t>
        </w:r>
      </w:hyperlink>
    </w:p>
    <w:p w14:paraId="23C43DB6" w14:textId="77777777" w:rsidR="004453B4" w:rsidRPr="004453B4" w:rsidRDefault="004453B4" w:rsidP="004453B4">
      <w:pPr>
        <w:spacing w:after="240"/>
        <w:rPr>
          <w:rFonts w:ascii="Arial" w:hAnsi="Arial" w:cs="Arial"/>
        </w:rPr>
      </w:pPr>
      <w:r w:rsidRPr="004453B4">
        <w:rPr>
          <w:rFonts w:ascii="Arial" w:hAnsi="Arial" w:cs="Arial"/>
          <w:color w:val="222222"/>
          <w:shd w:val="clear" w:color="auto" w:fill="FFFFFF"/>
        </w:rPr>
        <w:t>Liu, W., Xu, J., Cao, L. and Li, F., 2024. Towards iron ore mining sustainability and low-carbon transformation: Policies and implications. </w:t>
      </w:r>
      <w:r w:rsidRPr="004453B4">
        <w:rPr>
          <w:rFonts w:ascii="Arial" w:hAnsi="Arial" w:cs="Arial"/>
          <w:i/>
          <w:iCs/>
          <w:color w:val="222222"/>
          <w:shd w:val="clear" w:color="auto" w:fill="FFFFFF"/>
        </w:rPr>
        <w:t>Resources Policy</w:t>
      </w:r>
      <w:r w:rsidRPr="004453B4">
        <w:rPr>
          <w:rFonts w:ascii="Arial" w:hAnsi="Arial" w:cs="Arial"/>
          <w:color w:val="222222"/>
          <w:shd w:val="clear" w:color="auto" w:fill="FFFFFF"/>
        </w:rPr>
        <w:t>, </w:t>
      </w:r>
      <w:r w:rsidRPr="004453B4">
        <w:rPr>
          <w:rFonts w:ascii="Arial" w:hAnsi="Arial" w:cs="Arial"/>
          <w:i/>
          <w:iCs/>
          <w:color w:val="222222"/>
          <w:shd w:val="clear" w:color="auto" w:fill="FFFFFF"/>
        </w:rPr>
        <w:t>90</w:t>
      </w:r>
      <w:r w:rsidRPr="004453B4">
        <w:rPr>
          <w:rFonts w:ascii="Arial" w:hAnsi="Arial" w:cs="Arial"/>
          <w:color w:val="222222"/>
          <w:shd w:val="clear" w:color="auto" w:fill="FFFFFF"/>
        </w:rPr>
        <w:t xml:space="preserve">, p.104780. </w:t>
      </w:r>
      <w:hyperlink r:id="rId19" w:history="1">
        <w:r w:rsidRPr="004453B4">
          <w:rPr>
            <w:rStyle w:val="Hyperlink"/>
            <w:rFonts w:ascii="Arial" w:hAnsi="Arial" w:cs="Arial"/>
            <w:shd w:val="clear" w:color="auto" w:fill="FFFFFF"/>
          </w:rPr>
          <w:t>https://www.sciencedirect.com/science/article/pii/S0301420724001478</w:t>
        </w:r>
      </w:hyperlink>
      <w:r w:rsidRPr="004453B4">
        <w:rPr>
          <w:rFonts w:ascii="Arial" w:hAnsi="Arial" w:cs="Arial"/>
          <w:color w:val="222222"/>
          <w:shd w:val="clear" w:color="auto" w:fill="FFFFFF"/>
        </w:rPr>
        <w:t xml:space="preserve"> </w:t>
      </w:r>
    </w:p>
    <w:p w14:paraId="3A804609" w14:textId="77777777" w:rsidR="004453B4" w:rsidRPr="004453B4" w:rsidRDefault="004453B4" w:rsidP="004453B4">
      <w:pPr>
        <w:spacing w:after="240"/>
        <w:rPr>
          <w:rFonts w:ascii="Arial" w:hAnsi="Arial" w:cs="Arial"/>
        </w:rPr>
      </w:pPr>
      <w:r w:rsidRPr="004453B4">
        <w:rPr>
          <w:rFonts w:ascii="Arial" w:hAnsi="Arial" w:cs="Arial"/>
        </w:rPr>
        <w:t xml:space="preserve">Macrotrends. (2026). </w:t>
      </w:r>
      <w:r w:rsidRPr="004453B4">
        <w:rPr>
          <w:rFonts w:ascii="Arial" w:hAnsi="Arial" w:cs="Arial"/>
          <w:i/>
          <w:iCs/>
        </w:rPr>
        <w:t>Rio Tinto - 15 Year Stock Price History | RIO.</w:t>
      </w:r>
      <w:r w:rsidRPr="004453B4">
        <w:rPr>
          <w:rFonts w:ascii="Arial" w:hAnsi="Arial" w:cs="Arial"/>
        </w:rPr>
        <w:t xml:space="preserve"> Available at: </w:t>
      </w:r>
      <w:hyperlink r:id="rId20" w:history="1">
        <w:r w:rsidRPr="004453B4">
          <w:rPr>
            <w:rStyle w:val="Hyperlink"/>
            <w:rFonts w:ascii="Arial" w:hAnsi="Arial" w:cs="Arial"/>
          </w:rPr>
          <w:t>https://www.macrotrends.net/stocks/charts/RIO/rio-tinto/stock-price-history</w:t>
        </w:r>
      </w:hyperlink>
      <w:r w:rsidRPr="004453B4">
        <w:rPr>
          <w:rFonts w:ascii="Arial" w:hAnsi="Arial" w:cs="Arial"/>
        </w:rPr>
        <w:t xml:space="preserve"> [Accessed: 05 July 2026]</w:t>
      </w:r>
    </w:p>
    <w:p w14:paraId="660B95B8" w14:textId="77777777" w:rsidR="004453B4" w:rsidRPr="004453B4" w:rsidRDefault="004453B4" w:rsidP="004453B4">
      <w:pPr>
        <w:spacing w:after="240"/>
        <w:rPr>
          <w:rFonts w:ascii="Arial" w:hAnsi="Arial" w:cs="Arial"/>
        </w:rPr>
      </w:pPr>
      <w:r w:rsidRPr="004453B4">
        <w:rPr>
          <w:rFonts w:ascii="Arial" w:hAnsi="Arial" w:cs="Arial"/>
        </w:rPr>
        <w:t xml:space="preserve">MarketScreener. (2026). </w:t>
      </w:r>
      <w:r w:rsidRPr="004453B4">
        <w:rPr>
          <w:rFonts w:ascii="Arial" w:hAnsi="Arial" w:cs="Arial"/>
          <w:i/>
          <w:iCs/>
        </w:rPr>
        <w:t>RIO TINTO PLC.</w:t>
      </w:r>
      <w:r w:rsidRPr="004453B4">
        <w:rPr>
          <w:rFonts w:ascii="Arial" w:hAnsi="Arial" w:cs="Arial"/>
        </w:rPr>
        <w:t xml:space="preserve"> Available at: </w:t>
      </w:r>
      <w:hyperlink r:id="rId21" w:history="1">
        <w:r w:rsidRPr="004453B4">
          <w:rPr>
            <w:rStyle w:val="Hyperlink"/>
            <w:rFonts w:ascii="Arial" w:hAnsi="Arial" w:cs="Arial"/>
          </w:rPr>
          <w:t>https://in.marketscreener.com/quote/stock/RIO-TINTO-PLC-9590196/finances/</w:t>
        </w:r>
      </w:hyperlink>
      <w:r w:rsidRPr="004453B4">
        <w:rPr>
          <w:rFonts w:ascii="Arial" w:hAnsi="Arial" w:cs="Arial"/>
        </w:rPr>
        <w:t xml:space="preserve"> [Accessed: 09 July 2026]</w:t>
      </w:r>
    </w:p>
    <w:p w14:paraId="657B9480" w14:textId="77777777" w:rsidR="004453B4" w:rsidRPr="004453B4" w:rsidRDefault="004453B4" w:rsidP="004453B4">
      <w:pPr>
        <w:spacing w:after="240"/>
        <w:rPr>
          <w:rFonts w:ascii="Arial" w:hAnsi="Arial" w:cs="Arial"/>
        </w:rPr>
      </w:pPr>
      <w:r w:rsidRPr="004453B4">
        <w:rPr>
          <w:rFonts w:ascii="Arial" w:hAnsi="Arial" w:cs="Arial"/>
        </w:rPr>
        <w:t>Mendes, V. (2025), June. Powering Indonesia’s Green Revolution: Leading the Charge in Sustainable Energy Solutions. In </w:t>
      </w:r>
      <w:r w:rsidRPr="004453B4">
        <w:rPr>
          <w:rFonts w:ascii="Arial" w:hAnsi="Arial" w:cs="Arial"/>
          <w:i/>
          <w:iCs/>
        </w:rPr>
        <w:t>Proceeding Jakarta Geopolitical Forum</w:t>
      </w:r>
      <w:r w:rsidRPr="004453B4">
        <w:rPr>
          <w:rFonts w:ascii="Arial" w:hAnsi="Arial" w:cs="Arial"/>
        </w:rPr>
        <w:t xml:space="preserve"> (Vol. 9, pp. 97-102). </w:t>
      </w:r>
      <w:hyperlink r:id="rId22" w:history="1">
        <w:r w:rsidRPr="004453B4">
          <w:rPr>
            <w:rStyle w:val="Hyperlink"/>
            <w:rFonts w:ascii="Arial" w:hAnsi="Arial" w:cs="Arial"/>
          </w:rPr>
          <w:t>https://proceeding.lemhannas.com/index.php/jgf/article/view/298</w:t>
        </w:r>
      </w:hyperlink>
    </w:p>
    <w:p w14:paraId="50FCD87A" w14:textId="77777777" w:rsidR="004453B4" w:rsidRPr="004453B4" w:rsidRDefault="004453B4" w:rsidP="004453B4">
      <w:pPr>
        <w:spacing w:after="240"/>
        <w:rPr>
          <w:rFonts w:ascii="Arial" w:hAnsi="Arial" w:cs="Arial"/>
        </w:rPr>
      </w:pPr>
      <w:r w:rsidRPr="004453B4">
        <w:rPr>
          <w:rFonts w:ascii="Arial" w:hAnsi="Arial" w:cs="Arial"/>
        </w:rPr>
        <w:t xml:space="preserve">Reuters. (2025). </w:t>
      </w:r>
      <w:r w:rsidRPr="004453B4">
        <w:rPr>
          <w:rFonts w:ascii="Arial" w:hAnsi="Arial" w:cs="Arial"/>
          <w:i/>
          <w:iCs/>
        </w:rPr>
        <w:t>Rio Tinto PLC.</w:t>
      </w:r>
      <w:r w:rsidRPr="004453B4">
        <w:rPr>
          <w:rFonts w:ascii="Arial" w:hAnsi="Arial" w:cs="Arial"/>
        </w:rPr>
        <w:t xml:space="preserve"> Available at: </w:t>
      </w:r>
      <w:hyperlink r:id="rId23" w:history="1">
        <w:r w:rsidRPr="004453B4">
          <w:rPr>
            <w:rStyle w:val="Hyperlink"/>
            <w:rFonts w:ascii="Arial" w:hAnsi="Arial" w:cs="Arial"/>
          </w:rPr>
          <w:t>https://www.reuters.com/markets/companies/RIO/</w:t>
        </w:r>
      </w:hyperlink>
      <w:r w:rsidRPr="004453B4">
        <w:rPr>
          <w:rFonts w:ascii="Arial" w:hAnsi="Arial" w:cs="Arial"/>
        </w:rPr>
        <w:t xml:space="preserve"> [Accessed: 07 July 2026]</w:t>
      </w:r>
    </w:p>
    <w:p w14:paraId="0F09A254" w14:textId="77777777" w:rsidR="004453B4" w:rsidRPr="004453B4" w:rsidRDefault="004453B4" w:rsidP="004453B4">
      <w:pPr>
        <w:spacing w:after="240"/>
        <w:rPr>
          <w:rFonts w:ascii="Arial" w:hAnsi="Arial" w:cs="Arial"/>
        </w:rPr>
      </w:pPr>
      <w:r w:rsidRPr="004453B4">
        <w:rPr>
          <w:rFonts w:ascii="Arial" w:hAnsi="Arial" w:cs="Arial"/>
        </w:rPr>
        <w:t xml:space="preserve">Rio Tinto. (2026). </w:t>
      </w:r>
      <w:r w:rsidRPr="004453B4">
        <w:rPr>
          <w:rFonts w:ascii="Arial" w:hAnsi="Arial" w:cs="Arial"/>
          <w:i/>
          <w:iCs/>
        </w:rPr>
        <w:t>About us.</w:t>
      </w:r>
      <w:r w:rsidRPr="004453B4">
        <w:rPr>
          <w:rFonts w:ascii="Arial" w:hAnsi="Arial" w:cs="Arial"/>
        </w:rPr>
        <w:t xml:space="preserve"> Available at: </w:t>
      </w:r>
      <w:hyperlink r:id="rId24" w:history="1">
        <w:r w:rsidRPr="004453B4">
          <w:rPr>
            <w:rStyle w:val="Hyperlink"/>
            <w:rFonts w:ascii="Arial" w:hAnsi="Arial" w:cs="Arial"/>
          </w:rPr>
          <w:t>https://www.riotinto.com/en/about</w:t>
        </w:r>
      </w:hyperlink>
      <w:r w:rsidRPr="004453B4">
        <w:rPr>
          <w:rFonts w:ascii="Arial" w:hAnsi="Arial" w:cs="Arial"/>
        </w:rPr>
        <w:t xml:space="preserve"> [Accessed: 09 July 2026]</w:t>
      </w:r>
    </w:p>
    <w:p w14:paraId="7FA53A77" w14:textId="77777777" w:rsidR="004453B4" w:rsidRPr="004453B4" w:rsidRDefault="004453B4" w:rsidP="004453B4">
      <w:pPr>
        <w:spacing w:after="240"/>
        <w:rPr>
          <w:rFonts w:ascii="Arial" w:hAnsi="Arial" w:cs="Arial"/>
        </w:rPr>
      </w:pPr>
      <w:r w:rsidRPr="004453B4">
        <w:rPr>
          <w:rFonts w:ascii="Arial" w:hAnsi="Arial" w:cs="Arial"/>
        </w:rPr>
        <w:t xml:space="preserve">SA. (2026). </w:t>
      </w:r>
      <w:r w:rsidRPr="004453B4">
        <w:rPr>
          <w:rFonts w:ascii="Arial" w:hAnsi="Arial" w:cs="Arial"/>
          <w:i/>
          <w:iCs/>
        </w:rPr>
        <w:t>Rio Tinto Group (RIO).</w:t>
      </w:r>
      <w:r w:rsidRPr="004453B4">
        <w:rPr>
          <w:rFonts w:ascii="Arial" w:hAnsi="Arial" w:cs="Arial"/>
        </w:rPr>
        <w:t xml:space="preserve"> Available at: Available at: </w:t>
      </w:r>
      <w:hyperlink r:id="rId25" w:history="1">
        <w:r w:rsidRPr="004453B4">
          <w:rPr>
            <w:rStyle w:val="Hyperlink"/>
            <w:rFonts w:ascii="Arial" w:hAnsi="Arial" w:cs="Arial"/>
          </w:rPr>
          <w:t>https://stockanalysis.com/stocks/rio/statistics/</w:t>
        </w:r>
      </w:hyperlink>
      <w:r w:rsidRPr="004453B4">
        <w:rPr>
          <w:rFonts w:ascii="Arial" w:hAnsi="Arial" w:cs="Arial"/>
        </w:rPr>
        <w:t xml:space="preserve"> [Accessed: 05 July 2026]</w:t>
      </w:r>
    </w:p>
    <w:p w14:paraId="00C0F227" w14:textId="77777777" w:rsidR="004453B4" w:rsidRPr="004453B4" w:rsidRDefault="004453B4" w:rsidP="004453B4">
      <w:pPr>
        <w:spacing w:after="240"/>
        <w:rPr>
          <w:rFonts w:ascii="Arial" w:hAnsi="Arial" w:cs="Arial"/>
        </w:rPr>
      </w:pPr>
      <w:r w:rsidRPr="004453B4">
        <w:rPr>
          <w:rFonts w:ascii="Arial" w:hAnsi="Arial" w:cs="Arial"/>
        </w:rPr>
        <w:t>Shee Weng, L. (2025). The EU's carbon border adjustment mechanism (CBAM): balancing climate action and global trade. </w:t>
      </w:r>
      <w:r w:rsidRPr="004453B4">
        <w:rPr>
          <w:rFonts w:ascii="Arial" w:hAnsi="Arial" w:cs="Arial"/>
          <w:i/>
          <w:iCs/>
        </w:rPr>
        <w:t>The EU's Carbon Border Adjustment Mechanism (CBAM): Balancing Climate Action and Global Trade (March 01, 2025)</w:t>
      </w:r>
      <w:r w:rsidRPr="004453B4">
        <w:rPr>
          <w:rFonts w:ascii="Arial" w:hAnsi="Arial" w:cs="Arial"/>
        </w:rPr>
        <w:t xml:space="preserve">. </w:t>
      </w:r>
      <w:hyperlink r:id="rId26" w:history="1">
        <w:r w:rsidRPr="004453B4">
          <w:rPr>
            <w:rStyle w:val="Hyperlink"/>
            <w:rFonts w:ascii="Arial" w:hAnsi="Arial" w:cs="Arial"/>
          </w:rPr>
          <w:t>https://papers.ssrn.com/sol3/papers.cfm?abstract_id=5160814</w:t>
        </w:r>
      </w:hyperlink>
    </w:p>
    <w:p w14:paraId="05166CA8" w14:textId="77777777" w:rsidR="004453B4" w:rsidRPr="004453B4" w:rsidRDefault="004453B4" w:rsidP="004453B4">
      <w:pPr>
        <w:spacing w:after="240"/>
        <w:rPr>
          <w:rFonts w:ascii="Arial" w:hAnsi="Arial" w:cs="Arial"/>
        </w:rPr>
      </w:pPr>
      <w:r w:rsidRPr="004453B4">
        <w:rPr>
          <w:rFonts w:ascii="Arial" w:hAnsi="Arial" w:cs="Arial"/>
        </w:rPr>
        <w:t xml:space="preserve">Statista. (2026). </w:t>
      </w:r>
      <w:r w:rsidRPr="004453B4">
        <w:rPr>
          <w:rFonts w:ascii="Arial" w:hAnsi="Arial" w:cs="Arial"/>
          <w:i/>
          <w:iCs/>
        </w:rPr>
        <w:t>Rio Tinto's net income from 2005 to 2024.</w:t>
      </w:r>
      <w:r w:rsidRPr="004453B4">
        <w:rPr>
          <w:rFonts w:ascii="Arial" w:hAnsi="Arial" w:cs="Arial"/>
        </w:rPr>
        <w:t xml:space="preserve"> Available at: </w:t>
      </w:r>
      <w:hyperlink r:id="rId27" w:history="1">
        <w:r w:rsidRPr="004453B4">
          <w:rPr>
            <w:rStyle w:val="Hyperlink"/>
            <w:rFonts w:ascii="Arial" w:hAnsi="Arial" w:cs="Arial"/>
          </w:rPr>
          <w:t>https://www.statista.com/statistics/272598/net-income-of-rio-tinto-since-</w:t>
        </w:r>
        <w:r w:rsidRPr="004453B4">
          <w:rPr>
            <w:rStyle w:val="Hyperlink"/>
            <w:rFonts w:ascii="Arial" w:hAnsi="Arial" w:cs="Arial"/>
          </w:rPr>
          <w:lastRenderedPageBreak/>
          <w:t>2001/?srsltid=AfmBOoqC73gHb7sCs6b8Yd-GmQcwXdxekZbeWpo39pfms1iynhIdLpHn</w:t>
        </w:r>
      </w:hyperlink>
      <w:r w:rsidRPr="004453B4">
        <w:rPr>
          <w:rFonts w:ascii="Arial" w:hAnsi="Arial" w:cs="Arial"/>
        </w:rPr>
        <w:t xml:space="preserve"> [Accessed: 02 July 2026]</w:t>
      </w:r>
    </w:p>
    <w:p w14:paraId="48531C22" w14:textId="77777777" w:rsidR="004453B4" w:rsidRPr="004453B4" w:rsidRDefault="004453B4" w:rsidP="004453B4">
      <w:pPr>
        <w:spacing w:after="240"/>
        <w:rPr>
          <w:rFonts w:ascii="Arial" w:hAnsi="Arial" w:cs="Arial"/>
        </w:rPr>
      </w:pPr>
      <w:r w:rsidRPr="004453B4">
        <w:rPr>
          <w:rFonts w:ascii="Arial" w:hAnsi="Arial" w:cs="Arial"/>
        </w:rPr>
        <w:t xml:space="preserve">TV. (2026). </w:t>
      </w:r>
      <w:r w:rsidRPr="004453B4">
        <w:rPr>
          <w:rFonts w:ascii="Arial" w:hAnsi="Arial" w:cs="Arial"/>
          <w:i/>
          <w:iCs/>
        </w:rPr>
        <w:t>Rio Tinto plc.</w:t>
      </w:r>
      <w:r w:rsidRPr="004453B4">
        <w:rPr>
          <w:rFonts w:ascii="Arial" w:hAnsi="Arial" w:cs="Arial"/>
        </w:rPr>
        <w:t xml:space="preserve"> </w:t>
      </w:r>
      <w:hyperlink r:id="rId28" w:history="1">
        <w:r w:rsidRPr="004453B4">
          <w:rPr>
            <w:rStyle w:val="Hyperlink"/>
            <w:rFonts w:ascii="Arial" w:hAnsi="Arial" w:cs="Arial"/>
          </w:rPr>
          <w:t>https://www.tradingview.com/symbols/LSE-RIO/</w:t>
        </w:r>
      </w:hyperlink>
      <w:r w:rsidRPr="004453B4">
        <w:rPr>
          <w:rFonts w:ascii="Arial" w:hAnsi="Arial" w:cs="Arial"/>
        </w:rPr>
        <w:t xml:space="preserve"> [Accessed: 01 July 2026]</w:t>
      </w:r>
    </w:p>
    <w:p w14:paraId="376B250B" w14:textId="77777777" w:rsidR="004453B4" w:rsidRPr="004453B4" w:rsidRDefault="004453B4" w:rsidP="004453B4">
      <w:pPr>
        <w:spacing w:after="240"/>
        <w:rPr>
          <w:rFonts w:ascii="Arial" w:hAnsi="Arial" w:cs="Arial"/>
        </w:rPr>
      </w:pPr>
      <w:r w:rsidRPr="004453B4">
        <w:rPr>
          <w:rFonts w:ascii="Arial" w:hAnsi="Arial" w:cs="Arial"/>
        </w:rPr>
        <w:t>Vivoda, V. and Loginova, J. (2025). Lithium at the crossroads: geopolitical, economic, and socio-environmental complexities of the Jadar project in Serbia: Lithium at the crossroads: geopolitical, economic, and socio-environmental complexities of the Jadar project in Serbia. </w:t>
      </w:r>
      <w:r w:rsidRPr="004453B4">
        <w:rPr>
          <w:rFonts w:ascii="Arial" w:hAnsi="Arial" w:cs="Arial"/>
          <w:i/>
          <w:iCs/>
        </w:rPr>
        <w:t>Mineral Economics</w:t>
      </w:r>
      <w:r w:rsidRPr="004453B4">
        <w:rPr>
          <w:rFonts w:ascii="Arial" w:hAnsi="Arial" w:cs="Arial"/>
        </w:rPr>
        <w:t>, </w:t>
      </w:r>
      <w:r w:rsidRPr="004453B4">
        <w:rPr>
          <w:rFonts w:ascii="Arial" w:hAnsi="Arial" w:cs="Arial"/>
          <w:i/>
          <w:iCs/>
        </w:rPr>
        <w:t>38</w:t>
      </w:r>
      <w:r w:rsidRPr="004453B4">
        <w:rPr>
          <w:rFonts w:ascii="Arial" w:hAnsi="Arial" w:cs="Arial"/>
        </w:rPr>
        <w:t xml:space="preserve">(3), pp.665-681. </w:t>
      </w:r>
      <w:hyperlink r:id="rId29" w:history="1">
        <w:r w:rsidRPr="004453B4">
          <w:rPr>
            <w:rStyle w:val="Hyperlink"/>
            <w:rFonts w:ascii="Arial" w:hAnsi="Arial" w:cs="Arial"/>
          </w:rPr>
          <w:t>https://link.springer.com/article/10.1007/s13563-025-00517-7</w:t>
        </w:r>
      </w:hyperlink>
    </w:p>
    <w:p w14:paraId="2478E5AC" w14:textId="77777777" w:rsidR="004453B4" w:rsidRPr="004453B4" w:rsidRDefault="004453B4" w:rsidP="004453B4">
      <w:pPr>
        <w:spacing w:after="240"/>
        <w:rPr>
          <w:rFonts w:ascii="Arial" w:hAnsi="Arial" w:cs="Arial"/>
        </w:rPr>
      </w:pPr>
      <w:r w:rsidRPr="004453B4">
        <w:rPr>
          <w:rFonts w:ascii="Arial" w:hAnsi="Arial" w:cs="Arial"/>
        </w:rPr>
        <w:t xml:space="preserve">YF. (2026). </w:t>
      </w:r>
      <w:r w:rsidRPr="004453B4">
        <w:rPr>
          <w:rFonts w:ascii="Arial" w:hAnsi="Arial" w:cs="Arial"/>
          <w:i/>
          <w:iCs/>
        </w:rPr>
        <w:t>Rio Tinto Group (RIO).</w:t>
      </w:r>
      <w:r w:rsidRPr="004453B4">
        <w:rPr>
          <w:rFonts w:ascii="Arial" w:hAnsi="Arial" w:cs="Arial"/>
        </w:rPr>
        <w:t xml:space="preserve"> Available at: </w:t>
      </w:r>
      <w:hyperlink r:id="rId30" w:history="1">
        <w:r w:rsidRPr="004453B4">
          <w:rPr>
            <w:rStyle w:val="Hyperlink"/>
            <w:rFonts w:ascii="Arial" w:hAnsi="Arial" w:cs="Arial"/>
          </w:rPr>
          <w:t>https://finance.yahoo.com/quote/RIO/key-statistics/</w:t>
        </w:r>
      </w:hyperlink>
      <w:r w:rsidRPr="004453B4">
        <w:rPr>
          <w:rFonts w:ascii="Arial" w:hAnsi="Arial" w:cs="Arial"/>
        </w:rPr>
        <w:t xml:space="preserve"> [Accessed: 09 July 2026]</w:t>
      </w:r>
    </w:p>
    <w:p w14:paraId="4D0FC6AF" w14:textId="77777777" w:rsidR="004453B4" w:rsidRPr="004453B4" w:rsidRDefault="004453B4" w:rsidP="004453B4">
      <w:pPr>
        <w:rPr>
          <w:rFonts w:ascii="Arial" w:hAnsi="Arial" w:cs="Arial"/>
        </w:rPr>
      </w:pPr>
      <w:r w:rsidRPr="004453B4">
        <w:rPr>
          <w:rFonts w:ascii="Arial" w:hAnsi="Arial" w:cs="Arial"/>
        </w:rPr>
        <w:t>Zhao, H., Zhang, S., Lei, M., Zhang, S. and Cai, W. (2026). Inequalities in health-care carbon footprints and implications for demand-side interventions: a global assessment across population groups. </w:t>
      </w:r>
      <w:r w:rsidRPr="004453B4">
        <w:rPr>
          <w:rFonts w:ascii="Arial" w:hAnsi="Arial" w:cs="Arial"/>
          <w:i/>
          <w:iCs/>
        </w:rPr>
        <w:t>The Lancet Planetary Health</w:t>
      </w:r>
      <w:r w:rsidRPr="004453B4">
        <w:rPr>
          <w:rFonts w:ascii="Arial" w:hAnsi="Arial" w:cs="Arial"/>
        </w:rPr>
        <w:t>, </w:t>
      </w:r>
      <w:r w:rsidRPr="004453B4">
        <w:rPr>
          <w:rFonts w:ascii="Arial" w:hAnsi="Arial" w:cs="Arial"/>
          <w:i/>
          <w:iCs/>
        </w:rPr>
        <w:t>10</w:t>
      </w:r>
      <w:r w:rsidRPr="004453B4">
        <w:rPr>
          <w:rFonts w:ascii="Arial" w:hAnsi="Arial" w:cs="Arial"/>
        </w:rPr>
        <w:t xml:space="preserve">(4). </w:t>
      </w:r>
      <w:hyperlink r:id="rId31" w:history="1">
        <w:r w:rsidRPr="004453B4">
          <w:rPr>
            <w:rStyle w:val="Hyperlink"/>
            <w:rFonts w:ascii="Arial" w:hAnsi="Arial" w:cs="Arial"/>
          </w:rPr>
          <w:t>https://www.thelancet.com/journals/lanplh/article/PIIS2542-5196(26)00029-X/fulltext</w:t>
        </w:r>
      </w:hyperlink>
    </w:p>
    <w:sectPr w:rsidR="004453B4" w:rsidRPr="004453B4" w:rsidSect="000673FE">
      <w:footerReference w:type="default" r:id="rId32"/>
      <w:pgSz w:w="11906" w:h="16838"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DB778" w14:textId="77777777" w:rsidR="00FE51AC" w:rsidRDefault="00FE51AC" w:rsidP="00FC7C44">
      <w:pPr>
        <w:spacing w:line="240" w:lineRule="auto"/>
      </w:pPr>
      <w:r>
        <w:separator/>
      </w:r>
    </w:p>
  </w:endnote>
  <w:endnote w:type="continuationSeparator" w:id="0">
    <w:p w14:paraId="761C1C40" w14:textId="77777777" w:rsidR="00FE51AC" w:rsidRDefault="00FE51AC" w:rsidP="00FC7C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4546573A-DF65-F940-A363-1B7FAC6CE356}"/>
  </w:font>
  <w:font w:name="Calibri">
    <w:panose1 w:val="020F0502020204030204"/>
    <w:charset w:val="00"/>
    <w:family w:val="swiss"/>
    <w:pitch w:val="variable"/>
    <w:sig w:usb0="E4002EFF" w:usb1="C200ACFF" w:usb2="00000009" w:usb3="00000000" w:csb0="000001FF" w:csb1="00000000"/>
    <w:embedRegular r:id="rId2" w:fontKey="{45DC6202-0A79-4F37-94C6-4C4A427ADA4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3258823"/>
      <w:docPartObj>
        <w:docPartGallery w:val="Page Numbers (Bottom of Page)"/>
        <w:docPartUnique/>
      </w:docPartObj>
    </w:sdtPr>
    <w:sdtEndPr>
      <w:rPr>
        <w:noProof/>
      </w:rPr>
    </w:sdtEndPr>
    <w:sdtContent>
      <w:p w14:paraId="34604883" w14:textId="1E30EC6B" w:rsidR="00FC7C44" w:rsidRDefault="00FC7C4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A0DD2A" w14:textId="77777777" w:rsidR="00FC7C44" w:rsidRDefault="00FC7C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FE231" w14:textId="77777777" w:rsidR="00FE51AC" w:rsidRDefault="00FE51AC" w:rsidP="00FC7C44">
      <w:pPr>
        <w:spacing w:line="240" w:lineRule="auto"/>
      </w:pPr>
      <w:r>
        <w:separator/>
      </w:r>
    </w:p>
  </w:footnote>
  <w:footnote w:type="continuationSeparator" w:id="0">
    <w:p w14:paraId="0E068886" w14:textId="77777777" w:rsidR="00FE51AC" w:rsidRDefault="00FE51AC" w:rsidP="00FC7C4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33D0B"/>
    <w:multiLevelType w:val="hybridMultilevel"/>
    <w:tmpl w:val="3E88564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59474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32C"/>
    <w:rsid w:val="000673FE"/>
    <w:rsid w:val="001120FA"/>
    <w:rsid w:val="00182C7B"/>
    <w:rsid w:val="00251882"/>
    <w:rsid w:val="0027563E"/>
    <w:rsid w:val="00292C6D"/>
    <w:rsid w:val="002A1D79"/>
    <w:rsid w:val="002F7E18"/>
    <w:rsid w:val="00326DFE"/>
    <w:rsid w:val="003A25F1"/>
    <w:rsid w:val="004453B4"/>
    <w:rsid w:val="00545892"/>
    <w:rsid w:val="005572AA"/>
    <w:rsid w:val="005D6C3D"/>
    <w:rsid w:val="00732806"/>
    <w:rsid w:val="007D65FE"/>
    <w:rsid w:val="007D7F1E"/>
    <w:rsid w:val="00810030"/>
    <w:rsid w:val="00892C39"/>
    <w:rsid w:val="00950816"/>
    <w:rsid w:val="009954C3"/>
    <w:rsid w:val="009D121A"/>
    <w:rsid w:val="00A34560"/>
    <w:rsid w:val="00A43CB2"/>
    <w:rsid w:val="00C05C35"/>
    <w:rsid w:val="00FC7C44"/>
    <w:rsid w:val="00FE432C"/>
    <w:rsid w:val="00FE51A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1DB5F"/>
  <w15:docId w15:val="{724BFC00-C674-4F40-B174-F9F5ADACB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styleId="ListParagraph">
    <w:name w:val="List Paragraph"/>
    <w:basedOn w:val="Normal"/>
    <w:uiPriority w:val="34"/>
    <w:qFormat/>
    <w:rsid w:val="00326DFE"/>
    <w:pPr>
      <w:spacing w:after="160" w:line="278" w:lineRule="auto"/>
      <w:ind w:left="720"/>
      <w:contextualSpacing/>
      <w:jc w:val="left"/>
    </w:pPr>
    <w:rPr>
      <w:rFonts w:asciiTheme="minorHAnsi" w:eastAsiaTheme="minorHAnsi" w:hAnsiTheme="minorHAnsi" w:cstheme="minorBidi"/>
      <w:kern w:val="2"/>
      <w:lang w:eastAsia="en-US"/>
      <w14:ligatures w14:val="standardContextual"/>
    </w:rPr>
  </w:style>
  <w:style w:type="character" w:styleId="Hyperlink">
    <w:name w:val="Hyperlink"/>
    <w:basedOn w:val="DefaultParagraphFont"/>
    <w:uiPriority w:val="99"/>
    <w:unhideWhenUsed/>
    <w:rsid w:val="00326DFE"/>
    <w:rPr>
      <w:color w:val="0000FF" w:themeColor="hyperlink"/>
      <w:u w:val="single"/>
    </w:rPr>
  </w:style>
  <w:style w:type="character" w:styleId="FollowedHyperlink">
    <w:name w:val="FollowedHyperlink"/>
    <w:basedOn w:val="DefaultParagraphFont"/>
    <w:uiPriority w:val="99"/>
    <w:semiHidden/>
    <w:unhideWhenUsed/>
    <w:rsid w:val="00326DFE"/>
    <w:rPr>
      <w:color w:val="800080" w:themeColor="followedHyperlink"/>
      <w:u w:val="single"/>
    </w:rPr>
  </w:style>
  <w:style w:type="paragraph" w:styleId="Header">
    <w:name w:val="header"/>
    <w:basedOn w:val="Normal"/>
    <w:link w:val="HeaderChar"/>
    <w:uiPriority w:val="99"/>
    <w:unhideWhenUsed/>
    <w:rsid w:val="00FC7C44"/>
    <w:pPr>
      <w:tabs>
        <w:tab w:val="center" w:pos="4513"/>
        <w:tab w:val="right" w:pos="9026"/>
      </w:tabs>
      <w:spacing w:line="240" w:lineRule="auto"/>
    </w:pPr>
  </w:style>
  <w:style w:type="character" w:customStyle="1" w:styleId="HeaderChar">
    <w:name w:val="Header Char"/>
    <w:basedOn w:val="DefaultParagraphFont"/>
    <w:link w:val="Header"/>
    <w:uiPriority w:val="99"/>
    <w:rsid w:val="00FC7C44"/>
    <w:rPr>
      <w:lang w:val="en-GB"/>
    </w:rPr>
  </w:style>
  <w:style w:type="paragraph" w:styleId="Footer">
    <w:name w:val="footer"/>
    <w:basedOn w:val="Normal"/>
    <w:link w:val="FooterChar"/>
    <w:uiPriority w:val="99"/>
    <w:unhideWhenUsed/>
    <w:rsid w:val="00FC7C44"/>
    <w:pPr>
      <w:tabs>
        <w:tab w:val="center" w:pos="4513"/>
        <w:tab w:val="right" w:pos="9026"/>
      </w:tabs>
      <w:spacing w:line="240" w:lineRule="auto"/>
    </w:pPr>
  </w:style>
  <w:style w:type="character" w:customStyle="1" w:styleId="FooterChar">
    <w:name w:val="Footer Char"/>
    <w:basedOn w:val="DefaultParagraphFont"/>
    <w:link w:val="Footer"/>
    <w:uiPriority w:val="99"/>
    <w:rsid w:val="00FC7C44"/>
    <w:rPr>
      <w:lang w:val="en-GB"/>
    </w:rPr>
  </w:style>
  <w:style w:type="paragraph" w:styleId="TOCHeading">
    <w:name w:val="TOC Heading"/>
    <w:basedOn w:val="Heading1"/>
    <w:next w:val="Normal"/>
    <w:uiPriority w:val="39"/>
    <w:unhideWhenUsed/>
    <w:qFormat/>
    <w:rsid w:val="00FC7C44"/>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FC7C44"/>
    <w:pPr>
      <w:spacing w:after="100"/>
    </w:pPr>
  </w:style>
  <w:style w:type="paragraph" w:styleId="TOC2">
    <w:name w:val="toc 2"/>
    <w:basedOn w:val="Normal"/>
    <w:next w:val="Normal"/>
    <w:autoRedefine/>
    <w:uiPriority w:val="39"/>
    <w:unhideWhenUsed/>
    <w:rsid w:val="00FC7C44"/>
    <w:pPr>
      <w:spacing w:after="100"/>
      <w:ind w:left="240"/>
    </w:pPr>
  </w:style>
  <w:style w:type="paragraph" w:styleId="TOC3">
    <w:name w:val="toc 3"/>
    <w:basedOn w:val="Normal"/>
    <w:next w:val="Normal"/>
    <w:autoRedefine/>
    <w:uiPriority w:val="39"/>
    <w:unhideWhenUsed/>
    <w:rsid w:val="00FC7C44"/>
    <w:pPr>
      <w:spacing w:after="100"/>
      <w:ind w:left="480"/>
    </w:pPr>
  </w:style>
  <w:style w:type="character" w:styleId="UnresolvedMention">
    <w:name w:val="Unresolved Mention"/>
    <w:basedOn w:val="DefaultParagraphFont"/>
    <w:uiPriority w:val="99"/>
    <w:semiHidden/>
    <w:unhideWhenUsed/>
    <w:rsid w:val="004453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tandfonline.com/doi/abs/10.1080/14747731.2025.2465069" TargetMode="External" /><Relationship Id="rId18" Type="http://schemas.openxmlformats.org/officeDocument/2006/relationships/hyperlink" Target="https://bibliotekanauki.pl/articles/64176657.pdf" TargetMode="External" /><Relationship Id="rId26" Type="http://schemas.openxmlformats.org/officeDocument/2006/relationships/hyperlink" Target="https://papers.ssrn.com/sol3/papers.cfm?abstract_id=5160814" TargetMode="External" /><Relationship Id="rId3" Type="http://schemas.openxmlformats.org/officeDocument/2006/relationships/styles" Target="styles.xml" /><Relationship Id="rId21" Type="http://schemas.openxmlformats.org/officeDocument/2006/relationships/hyperlink" Target="https://in.marketscreener.com/quote/stock/RIO-TINTO-PLC-9590196/finances/" TargetMode="External" /><Relationship Id="rId34"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hyperlink" Target="https://www.researchgate.net/publication/403715078_Strategic_Metals_in_the_Energy_Transition_The_Geopolitical_Economics_of_Aluminium_Ingots" TargetMode="External" /><Relationship Id="rId17" Type="http://schemas.openxmlformats.org/officeDocument/2006/relationships/hyperlink" Target="http://jurnal.utu.ac.id/invasi/article/view/14716" TargetMode="External" /><Relationship Id="rId25" Type="http://schemas.openxmlformats.org/officeDocument/2006/relationships/hyperlink" Target="https://stockanalysis.com/stocks/rio/statistics/" TargetMode="External" /><Relationship Id="rId33"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www.globaldata.com/company-profile/rio-tinto/" TargetMode="External" /><Relationship Id="rId20" Type="http://schemas.openxmlformats.org/officeDocument/2006/relationships/hyperlink" Target="https://www.macrotrends.net/stocks/charts/RIO/rio-tinto/stock-price-history" TargetMode="External" /><Relationship Id="rId29" Type="http://schemas.openxmlformats.org/officeDocument/2006/relationships/hyperlink" Target="https://link.springer.com/article/10.1007/s13563-025-00517-7"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nature.com/articles/s44358-025-00076-3" TargetMode="External" /><Relationship Id="rId24" Type="http://schemas.openxmlformats.org/officeDocument/2006/relationships/hyperlink" Target="https://www.riotinto.com/en/about" TargetMode="External" /><Relationship Id="rId32"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hyperlink" Target="https://www.sciencedirect.com/science/article/pii/S0301420726000346" TargetMode="External" /><Relationship Id="rId23" Type="http://schemas.openxmlformats.org/officeDocument/2006/relationships/hyperlink" Target="https://www.reuters.com/markets/companies/RIO/" TargetMode="External" /><Relationship Id="rId28" Type="http://schemas.openxmlformats.org/officeDocument/2006/relationships/hyperlink" Target="https://www.tradingview.com/symbols/LSE-RIO/" TargetMode="External" /><Relationship Id="rId10" Type="http://schemas.openxmlformats.org/officeDocument/2006/relationships/hyperlink" Target="https://www.diva-portal.org/smash/record.jsf?pid=diva2:2031949" TargetMode="External" /><Relationship Id="rId19" Type="http://schemas.openxmlformats.org/officeDocument/2006/relationships/hyperlink" Target="https://www.sciencedirect.com/science/article/pii/S0301420724001478" TargetMode="External" /><Relationship Id="rId31" Type="http://schemas.openxmlformats.org/officeDocument/2006/relationships/hyperlink" Target="https://www.thelancet.com/journals/lanplh/article/PIIS2542-5196(26)00029-X/fulltext"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link.springer.com/article/10.1007/s13563-026-00637-8" TargetMode="External" /><Relationship Id="rId22" Type="http://schemas.openxmlformats.org/officeDocument/2006/relationships/hyperlink" Target="https://proceeding.lemhannas.com/index.php/jgf/article/view/298" TargetMode="External" /><Relationship Id="rId27" Type="http://schemas.openxmlformats.org/officeDocument/2006/relationships/hyperlink" Target="https://www.statista.com/statistics/272598/net-income-of-rio-tinto-since-2001/?srsltid=AfmBOoqC73gHb7sCs6b8Yd-GmQcwXdxekZbeWpo39pfms1iynhIdLpHn" TargetMode="External" /><Relationship Id="rId30" Type="http://schemas.openxmlformats.org/officeDocument/2006/relationships/hyperlink" Target="https://finance.yahoo.com/quote/RIO/key-statistics/" TargetMode="Externa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55609D8-42EC-4631-B900-883DBD05F55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2376</Words>
  <Characters>13547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Prince</dc:creator>
  <cp:lastModifiedBy>Penpaper Guide</cp:lastModifiedBy>
  <cp:revision>2</cp:revision>
  <dcterms:created xsi:type="dcterms:W3CDTF">2026-07-22T11:58:00Z</dcterms:created>
  <dcterms:modified xsi:type="dcterms:W3CDTF">2026-07-22T11:58:00Z</dcterms:modified>
</cp:coreProperties>
</file>