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859E0" w14:textId="77777777" w:rsidR="009B7BF5" w:rsidRPr="00074402" w:rsidRDefault="009B7BF5" w:rsidP="009B7BF5">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6B0C7504" wp14:editId="57F2193B">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A0CAF6E" w14:textId="77777777" w:rsidR="009B7BF5" w:rsidRPr="00074402" w:rsidRDefault="009B7BF5" w:rsidP="009B7BF5">
      <w:pPr>
        <w:spacing w:line="360" w:lineRule="auto"/>
        <w:rPr>
          <w:rFonts w:ascii="Arial" w:hAnsi="Arial" w:cs="Arial"/>
          <w:szCs w:val="24"/>
        </w:rPr>
      </w:pPr>
    </w:p>
    <w:p w14:paraId="13B2ECA0" w14:textId="77777777" w:rsidR="009B7BF5" w:rsidRPr="00074402" w:rsidRDefault="009B7BF5" w:rsidP="009B7BF5">
      <w:pPr>
        <w:spacing w:line="360" w:lineRule="auto"/>
        <w:rPr>
          <w:rFonts w:ascii="Arial" w:hAnsi="Arial" w:cs="Arial"/>
          <w:szCs w:val="24"/>
        </w:rPr>
      </w:pPr>
    </w:p>
    <w:p w14:paraId="522C6B8C" w14:textId="77777777" w:rsidR="009B7BF5" w:rsidRPr="00074402" w:rsidRDefault="009B7BF5" w:rsidP="009B7BF5">
      <w:pPr>
        <w:spacing w:line="360" w:lineRule="auto"/>
        <w:rPr>
          <w:rFonts w:ascii="Arial" w:hAnsi="Arial" w:cs="Arial"/>
          <w:szCs w:val="24"/>
        </w:rPr>
      </w:pPr>
    </w:p>
    <w:p w14:paraId="0D26C742" w14:textId="77777777" w:rsidR="009B7BF5" w:rsidRDefault="009B7BF5" w:rsidP="009B7BF5">
      <w:pPr>
        <w:tabs>
          <w:tab w:val="left" w:pos="6540"/>
        </w:tabs>
        <w:spacing w:line="360" w:lineRule="auto"/>
        <w:rPr>
          <w:rFonts w:ascii="Arial" w:hAnsi="Arial" w:cs="Arial"/>
          <w:sz w:val="28"/>
          <w:szCs w:val="28"/>
        </w:rPr>
      </w:pPr>
    </w:p>
    <w:p w14:paraId="23B6E9F2" w14:textId="0BDD209A" w:rsidR="009B7BF5" w:rsidRPr="00382F63" w:rsidRDefault="009B7BF5" w:rsidP="009B7BF5">
      <w:pPr>
        <w:tabs>
          <w:tab w:val="left" w:pos="6540"/>
        </w:tabs>
        <w:spacing w:line="360" w:lineRule="auto"/>
        <w:rPr>
          <w:rFonts w:ascii="Arial" w:hAnsi="Arial" w:cs="Arial"/>
          <w:sz w:val="28"/>
          <w:szCs w:val="28"/>
        </w:rPr>
      </w:pPr>
      <w:bookmarkStart w:id="0" w:name="_Hlk119323191"/>
      <w:r w:rsidRPr="00382F63">
        <w:rPr>
          <w:rFonts w:ascii="Arial" w:hAnsi="Arial" w:cs="Arial"/>
          <w:b/>
          <w:bCs/>
          <w:sz w:val="28"/>
          <w:szCs w:val="28"/>
        </w:rPr>
        <w:t>Student name</w:t>
      </w:r>
      <w:r w:rsidRPr="00382F63">
        <w:rPr>
          <w:rFonts w:ascii="Arial" w:hAnsi="Arial" w:cs="Arial"/>
          <w:sz w:val="28"/>
          <w:szCs w:val="28"/>
        </w:rPr>
        <w:t>: Shakil Ahmad</w:t>
      </w:r>
    </w:p>
    <w:p w14:paraId="3B39C0E1" w14:textId="0EEE08B1" w:rsidR="009B7BF5" w:rsidRPr="00382F63" w:rsidRDefault="009B7BF5" w:rsidP="009B7BF5">
      <w:pPr>
        <w:tabs>
          <w:tab w:val="left" w:pos="6540"/>
        </w:tabs>
        <w:spacing w:line="360" w:lineRule="auto"/>
        <w:rPr>
          <w:rFonts w:ascii="Arial" w:hAnsi="Arial" w:cs="Arial"/>
          <w:sz w:val="28"/>
          <w:szCs w:val="28"/>
          <w:lang w:val="nl-NL"/>
        </w:rPr>
      </w:pPr>
      <w:r w:rsidRPr="00382F63">
        <w:rPr>
          <w:rFonts w:ascii="Arial" w:hAnsi="Arial" w:cs="Arial"/>
          <w:b/>
          <w:bCs/>
          <w:sz w:val="28"/>
          <w:szCs w:val="28"/>
          <w:lang w:val="nl-NL"/>
        </w:rPr>
        <w:t>Student ID</w:t>
      </w:r>
      <w:r w:rsidRPr="00382F63">
        <w:rPr>
          <w:rFonts w:ascii="Arial" w:hAnsi="Arial" w:cs="Arial"/>
          <w:sz w:val="28"/>
          <w:szCs w:val="28"/>
          <w:lang w:val="nl-NL"/>
        </w:rPr>
        <w:t>: 2434777</w:t>
      </w:r>
    </w:p>
    <w:p w14:paraId="49159C24" w14:textId="02DE7E20" w:rsidR="009B7BF5" w:rsidRPr="00382F63" w:rsidRDefault="009B7BF5" w:rsidP="009B7BF5">
      <w:pPr>
        <w:tabs>
          <w:tab w:val="left" w:pos="6540"/>
        </w:tabs>
        <w:spacing w:line="360" w:lineRule="auto"/>
        <w:rPr>
          <w:rFonts w:ascii="Arial" w:hAnsi="Arial" w:cs="Arial"/>
          <w:sz w:val="28"/>
          <w:szCs w:val="28"/>
          <w:lang w:val="nl-NL"/>
        </w:rPr>
      </w:pPr>
      <w:r w:rsidRPr="00382F63">
        <w:rPr>
          <w:rFonts w:ascii="Arial" w:hAnsi="Arial" w:cs="Arial"/>
          <w:b/>
          <w:bCs/>
          <w:sz w:val="28"/>
          <w:szCs w:val="28"/>
          <w:lang w:val="nl-NL"/>
        </w:rPr>
        <w:t>Module name</w:t>
      </w:r>
      <w:r w:rsidRPr="00382F63">
        <w:rPr>
          <w:rFonts w:ascii="Arial" w:hAnsi="Arial" w:cs="Arial"/>
          <w:sz w:val="28"/>
          <w:szCs w:val="28"/>
          <w:lang w:val="nl-NL"/>
        </w:rPr>
        <w:t xml:space="preserve">: </w:t>
      </w:r>
      <w:r w:rsidR="000430C6" w:rsidRPr="00382F63">
        <w:rPr>
          <w:rFonts w:ascii="Arial" w:hAnsi="Arial" w:cs="Arial"/>
          <w:sz w:val="28"/>
          <w:szCs w:val="28"/>
        </w:rPr>
        <w:t>Psychology in Health and Social Care</w:t>
      </w:r>
    </w:p>
    <w:p w14:paraId="5D13FC4D" w14:textId="6FAC7B2D" w:rsidR="009B7BF5" w:rsidRPr="00382F63" w:rsidRDefault="009B7BF5" w:rsidP="009B7BF5">
      <w:pPr>
        <w:tabs>
          <w:tab w:val="left" w:pos="6540"/>
        </w:tabs>
        <w:spacing w:line="360" w:lineRule="auto"/>
        <w:rPr>
          <w:rFonts w:ascii="Arial" w:hAnsi="Arial" w:cs="Arial"/>
          <w:sz w:val="28"/>
          <w:szCs w:val="28"/>
        </w:rPr>
      </w:pPr>
      <w:r w:rsidRPr="00382F63">
        <w:rPr>
          <w:rFonts w:ascii="Arial" w:hAnsi="Arial" w:cs="Arial"/>
          <w:b/>
          <w:bCs/>
          <w:sz w:val="28"/>
          <w:szCs w:val="28"/>
        </w:rPr>
        <w:t>Module code</w:t>
      </w:r>
      <w:r w:rsidRPr="00382F63">
        <w:rPr>
          <w:rFonts w:ascii="Arial" w:hAnsi="Arial" w:cs="Arial"/>
          <w:sz w:val="28"/>
          <w:szCs w:val="28"/>
        </w:rPr>
        <w:t>:</w:t>
      </w:r>
      <w:r w:rsidR="00C5738D" w:rsidRPr="00382F63">
        <w:rPr>
          <w:rFonts w:ascii="Arial" w:hAnsi="Arial" w:cs="Arial"/>
          <w:sz w:val="28"/>
          <w:szCs w:val="28"/>
        </w:rPr>
        <w:t xml:space="preserve"> LCHS4010</w:t>
      </w:r>
    </w:p>
    <w:p w14:paraId="47D3A8B3" w14:textId="751CAE4E" w:rsidR="00D63E9A" w:rsidRPr="00382F63" w:rsidRDefault="00D63E9A" w:rsidP="009B7BF5">
      <w:pPr>
        <w:tabs>
          <w:tab w:val="left" w:pos="6540"/>
        </w:tabs>
        <w:spacing w:line="360" w:lineRule="auto"/>
        <w:rPr>
          <w:rFonts w:ascii="Arial" w:hAnsi="Arial" w:cs="Arial"/>
          <w:sz w:val="28"/>
          <w:szCs w:val="28"/>
        </w:rPr>
      </w:pPr>
      <w:r w:rsidRPr="00382F63">
        <w:rPr>
          <w:rFonts w:ascii="Arial" w:hAnsi="Arial" w:cs="Arial"/>
          <w:b/>
          <w:bCs/>
          <w:sz w:val="28"/>
          <w:szCs w:val="28"/>
        </w:rPr>
        <w:t>Assignment Title</w:t>
      </w:r>
      <w:r w:rsidRPr="00382F63">
        <w:rPr>
          <w:rFonts w:ascii="Arial" w:hAnsi="Arial" w:cs="Arial"/>
          <w:sz w:val="28"/>
          <w:szCs w:val="28"/>
        </w:rPr>
        <w:t xml:space="preserve">: </w:t>
      </w:r>
      <w:r w:rsidR="00ED5C39" w:rsidRPr="00382F63">
        <w:rPr>
          <w:rFonts w:ascii="Arial" w:hAnsi="Arial" w:cs="Arial"/>
          <w:sz w:val="28"/>
          <w:szCs w:val="28"/>
        </w:rPr>
        <w:t>Bibliography and Report</w:t>
      </w:r>
    </w:p>
    <w:p w14:paraId="62C2ED0A" w14:textId="6E016721" w:rsidR="009B7BF5" w:rsidRPr="00382F63" w:rsidRDefault="009B7BF5" w:rsidP="009B7BF5">
      <w:pPr>
        <w:rPr>
          <w:rFonts w:ascii="Arial" w:hAnsi="Arial" w:cs="Arial"/>
        </w:rPr>
      </w:pPr>
      <w:r w:rsidRPr="00382F63">
        <w:rPr>
          <w:rFonts w:ascii="Arial" w:hAnsi="Arial" w:cs="Arial"/>
          <w:b/>
          <w:bCs/>
          <w:sz w:val="28"/>
          <w:szCs w:val="28"/>
        </w:rPr>
        <w:t>Lecturer name</w:t>
      </w:r>
      <w:r w:rsidR="000430C6" w:rsidRPr="00382F63">
        <w:rPr>
          <w:rFonts w:ascii="Arial" w:hAnsi="Arial" w:cs="Arial"/>
          <w:sz w:val="28"/>
          <w:szCs w:val="28"/>
        </w:rPr>
        <w:t xml:space="preserve">: </w:t>
      </w:r>
      <w:r w:rsidR="00B828B1" w:rsidRPr="00382F63">
        <w:rPr>
          <w:rFonts w:ascii="Arial" w:hAnsi="Arial" w:cs="Arial"/>
          <w:sz w:val="28"/>
          <w:szCs w:val="28"/>
        </w:rPr>
        <w:t>Lou Wells</w:t>
      </w:r>
    </w:p>
    <w:bookmarkEnd w:id="0"/>
    <w:p w14:paraId="39B7EF86" w14:textId="5737DF18" w:rsidR="009B7BF5" w:rsidRDefault="009B7BF5">
      <w:pPr>
        <w:spacing w:line="278" w:lineRule="auto"/>
      </w:pPr>
      <w:r>
        <w:br w:type="page"/>
      </w:r>
    </w:p>
    <w:p w14:paraId="64874C5E" w14:textId="39C4DE07" w:rsidR="00564C88" w:rsidRPr="009F1259" w:rsidRDefault="00564C88" w:rsidP="000A333B">
      <w:pPr>
        <w:spacing w:before="100" w:beforeAutospacing="1" w:after="100" w:afterAutospacing="1" w:line="360" w:lineRule="auto"/>
        <w:rPr>
          <w:rFonts w:ascii="Arial" w:eastAsia="Times New Roman" w:hAnsi="Arial" w:cs="Arial"/>
          <w:b/>
          <w:bCs/>
          <w:sz w:val="32"/>
          <w:szCs w:val="32"/>
          <w:lang w:eastAsia="en-GB"/>
        </w:rPr>
      </w:pPr>
      <w:r w:rsidRPr="009F1259">
        <w:rPr>
          <w:rFonts w:ascii="Arial" w:eastAsia="Times New Roman" w:hAnsi="Arial" w:cs="Arial"/>
          <w:b/>
          <w:bCs/>
          <w:sz w:val="32"/>
          <w:szCs w:val="32"/>
          <w:lang w:eastAsia="en-GB"/>
        </w:rPr>
        <w:lastRenderedPageBreak/>
        <w:t xml:space="preserve">Bowlby’s </w:t>
      </w:r>
      <w:r w:rsidR="00860B53" w:rsidRPr="009F1259">
        <w:rPr>
          <w:rFonts w:ascii="Arial" w:eastAsia="Times New Roman" w:hAnsi="Arial" w:cs="Arial"/>
          <w:b/>
          <w:bCs/>
          <w:sz w:val="32"/>
          <w:szCs w:val="32"/>
          <w:lang w:eastAsia="en-GB"/>
        </w:rPr>
        <w:t>Attachment Theory:</w:t>
      </w:r>
    </w:p>
    <w:p w14:paraId="4CD1860C" w14:textId="369A9D0A" w:rsidR="009B7BF5" w:rsidRPr="009F1259" w:rsidRDefault="009B7BF5" w:rsidP="000A333B">
      <w:pPr>
        <w:spacing w:before="100" w:beforeAutospacing="1" w:after="100" w:afterAutospacing="1" w:line="360" w:lineRule="auto"/>
        <w:rPr>
          <w:rFonts w:ascii="Arial" w:eastAsia="Times New Roman" w:hAnsi="Arial" w:cs="Arial"/>
          <w:b/>
          <w:bCs/>
          <w:sz w:val="28"/>
          <w:szCs w:val="28"/>
          <w:lang w:eastAsia="en-GB"/>
        </w:rPr>
      </w:pPr>
      <w:r w:rsidRPr="009F1259">
        <w:rPr>
          <w:rFonts w:ascii="Arial" w:eastAsia="Times New Roman" w:hAnsi="Arial" w:cs="Arial"/>
          <w:b/>
          <w:bCs/>
          <w:sz w:val="28"/>
          <w:szCs w:val="28"/>
          <w:lang w:eastAsia="en-GB"/>
        </w:rPr>
        <w:t>1.Reference</w:t>
      </w:r>
    </w:p>
    <w:p w14:paraId="077B6701" w14:textId="44BAC983" w:rsidR="009B7BF5" w:rsidRPr="00493507" w:rsidRDefault="009B7BF5" w:rsidP="000A333B">
      <w:pPr>
        <w:spacing w:before="100" w:beforeAutospacing="1" w:after="100" w:afterAutospacing="1" w:line="360" w:lineRule="auto"/>
        <w:rPr>
          <w:rFonts w:ascii="Arial" w:eastAsia="Times New Roman" w:hAnsi="Arial" w:cs="Arial"/>
          <w:lang w:eastAsia="en-GB"/>
        </w:rPr>
      </w:pPr>
      <w:r w:rsidRPr="00493507">
        <w:rPr>
          <w:rFonts w:ascii="Arial" w:eastAsia="Times New Roman" w:hAnsi="Arial" w:cs="Arial"/>
          <w:lang w:eastAsia="en-GB"/>
        </w:rPr>
        <w:t xml:space="preserve">Bowlby, J. (2005) </w:t>
      </w:r>
      <w:r w:rsidRPr="00493507">
        <w:rPr>
          <w:rFonts w:ascii="Arial" w:eastAsia="Times New Roman" w:hAnsi="Arial" w:cs="Arial"/>
          <w:i/>
          <w:iCs/>
          <w:lang w:eastAsia="en-GB"/>
        </w:rPr>
        <w:t>A Secure Base Clinical application of attachment theory.</w:t>
      </w:r>
      <w:r w:rsidRPr="00493507">
        <w:rPr>
          <w:rFonts w:ascii="Arial" w:eastAsia="Times New Roman" w:hAnsi="Arial" w:cs="Arial"/>
          <w:lang w:eastAsia="en-GB"/>
        </w:rPr>
        <w:t xml:space="preserve"> London and New York, Routledge.</w:t>
      </w:r>
    </w:p>
    <w:p w14:paraId="4C9EF93C" w14:textId="77777777" w:rsidR="00E97CB0" w:rsidRDefault="006950E6" w:rsidP="000A333B">
      <w:pPr>
        <w:spacing w:before="100" w:beforeAutospacing="1" w:after="100" w:afterAutospacing="1" w:line="360" w:lineRule="auto"/>
        <w:rPr>
          <w:rFonts w:ascii="Arial" w:hAnsi="Arial" w:cs="Arial"/>
        </w:rPr>
      </w:pPr>
      <w:r w:rsidRPr="009F1259">
        <w:rPr>
          <w:rFonts w:ascii="Arial" w:eastAsia="Times New Roman" w:hAnsi="Arial" w:cs="Arial"/>
          <w:b/>
          <w:bCs/>
          <w:sz w:val="28"/>
          <w:szCs w:val="28"/>
          <w:lang w:eastAsia="en-GB"/>
        </w:rPr>
        <w:t>Summary and Analysis:</w:t>
      </w:r>
      <w:r w:rsidRPr="00493507">
        <w:rPr>
          <w:rFonts w:ascii="Arial" w:eastAsia="Times New Roman" w:hAnsi="Arial" w:cs="Arial"/>
          <w:lang w:eastAsia="en-GB"/>
        </w:rPr>
        <w:br/>
      </w:r>
      <w:r w:rsidRPr="00493507">
        <w:rPr>
          <w:rStyle w:val="whitespace-normal"/>
          <w:rFonts w:ascii="Arial" w:hAnsi="Arial" w:cs="Arial"/>
        </w:rPr>
        <w:t>John Bowlby</w:t>
      </w:r>
      <w:r w:rsidRPr="00493507">
        <w:rPr>
          <w:rFonts w:ascii="Arial" w:hAnsi="Arial" w:cs="Arial"/>
        </w:rPr>
        <w:t xml:space="preserve"> (2005) explains how attachment theory applies across the lifespan in clinical and health and social care settings. He states that early relationships with caregivers shape emotional regulation, interpersonal behaviour, and coping strategies. Secure attachment is linked to resilience, trust, and healthy relationships, while insecure attachment may lead to anxiety, withdrawal, and difficulty managing stress. Bowlby highlights the interaction between biological factors, such as innate attachment behaviours and stress responses, and social factors, including caregiving quality, supportive relationships, and environmental stability. This shows how both internal and external influences affect behaviour. The chapter emphasises the importance of providing stable and consistent relationships in health and social care practice </w:t>
      </w:r>
      <w:r w:rsidR="004A789D" w:rsidRPr="00493507">
        <w:rPr>
          <w:rFonts w:ascii="Arial" w:hAnsi="Arial" w:cs="Arial"/>
        </w:rPr>
        <w:t xml:space="preserve">to </w:t>
      </w:r>
      <w:r w:rsidR="00A50334">
        <w:rPr>
          <w:rFonts w:ascii="Arial" w:hAnsi="Arial" w:cs="Arial"/>
        </w:rPr>
        <w:t>support emotional wellbeing</w:t>
      </w:r>
      <w:r w:rsidR="00171286">
        <w:rPr>
          <w:rFonts w:ascii="Arial" w:hAnsi="Arial" w:cs="Arial"/>
        </w:rPr>
        <w:t>, particularly for children</w:t>
      </w:r>
      <w:r w:rsidR="00B16B7D">
        <w:rPr>
          <w:rFonts w:ascii="Arial" w:hAnsi="Arial" w:cs="Arial"/>
        </w:rPr>
        <w:t xml:space="preserve">, young people and older adults. </w:t>
      </w:r>
    </w:p>
    <w:p w14:paraId="313981AA" w14:textId="77777777" w:rsidR="003D1DF4" w:rsidRPr="003D1DF4" w:rsidRDefault="00644A4B" w:rsidP="000A333B">
      <w:pPr>
        <w:spacing w:before="100" w:beforeAutospacing="1" w:after="100" w:afterAutospacing="1" w:line="360" w:lineRule="auto"/>
        <w:rPr>
          <w:rFonts w:ascii="Arial" w:hAnsi="Arial" w:cs="Arial"/>
          <w:b/>
          <w:bCs/>
          <w:sz w:val="28"/>
          <w:szCs w:val="28"/>
        </w:rPr>
      </w:pPr>
      <w:r w:rsidRPr="003D1DF4">
        <w:rPr>
          <w:rFonts w:ascii="Arial" w:hAnsi="Arial" w:cs="Arial"/>
          <w:b/>
          <w:bCs/>
          <w:sz w:val="28"/>
          <w:szCs w:val="28"/>
        </w:rPr>
        <w:t xml:space="preserve">Critical </w:t>
      </w:r>
      <w:r w:rsidR="003D1DF4" w:rsidRPr="003D1DF4">
        <w:rPr>
          <w:rFonts w:ascii="Arial" w:hAnsi="Arial" w:cs="Arial"/>
          <w:b/>
          <w:bCs/>
          <w:sz w:val="28"/>
          <w:szCs w:val="28"/>
        </w:rPr>
        <w:t>Comment:</w:t>
      </w:r>
    </w:p>
    <w:p w14:paraId="2972EF7F" w14:textId="15B7F597" w:rsidR="009B7BF5" w:rsidRPr="00493507" w:rsidRDefault="003D1DF4" w:rsidP="000A333B">
      <w:pPr>
        <w:spacing w:before="100" w:beforeAutospacing="1" w:after="100" w:afterAutospacing="1" w:line="360" w:lineRule="auto"/>
        <w:rPr>
          <w:rFonts w:ascii="Arial" w:eastAsia="Times New Roman" w:hAnsi="Arial" w:cs="Arial"/>
          <w:lang w:eastAsia="en-GB"/>
        </w:rPr>
      </w:pPr>
      <w:r>
        <w:rPr>
          <w:rFonts w:ascii="Arial" w:hAnsi="Arial" w:cs="Arial"/>
        </w:rPr>
        <w:t xml:space="preserve">This chapter is highly relevant to </w:t>
      </w:r>
      <w:r w:rsidR="004A789D" w:rsidRPr="00493507">
        <w:rPr>
          <w:rFonts w:ascii="Arial" w:hAnsi="Arial" w:cs="Arial"/>
        </w:rPr>
        <w:t xml:space="preserve">health and social care practice. Attachment-informed approaches enable practitioners to build trust, reduce distress, and support emotional regulation, particularly among older adults experiencing dementia, bereavement, or social isolation. Although </w:t>
      </w:r>
      <w:r w:rsidR="004A789D" w:rsidRPr="00493507">
        <w:rPr>
          <w:rStyle w:val="whitespace-normal"/>
          <w:rFonts w:ascii="Arial" w:hAnsi="Arial" w:cs="Arial"/>
        </w:rPr>
        <w:t>John Bowlby</w:t>
      </w:r>
      <w:r w:rsidR="004A789D" w:rsidRPr="00493507">
        <w:rPr>
          <w:rFonts w:ascii="Arial" w:hAnsi="Arial" w:cs="Arial"/>
        </w:rPr>
        <w:t xml:space="preserve"> emphasises early life experiences, he acknowledges that attachment needs continue throughout the lifespan. A limitation is the need to adapt interventions to account for cultural, social, and individual differences. Overall, the chapter provides a robust framework for understanding the psychological, social, and biological factors that influence human behaviour.</w:t>
      </w:r>
    </w:p>
    <w:p w14:paraId="1BB81BFA" w14:textId="77777777" w:rsidR="009B7BF5" w:rsidRPr="00493507" w:rsidRDefault="009B7BF5" w:rsidP="000A333B">
      <w:pPr>
        <w:spacing w:before="100" w:beforeAutospacing="1" w:after="100" w:afterAutospacing="1" w:line="360" w:lineRule="auto"/>
        <w:rPr>
          <w:rFonts w:ascii="Arial" w:eastAsia="Times New Roman" w:hAnsi="Arial" w:cs="Arial"/>
          <w:b/>
          <w:bCs/>
          <w:lang w:eastAsia="en-GB"/>
        </w:rPr>
      </w:pPr>
    </w:p>
    <w:p w14:paraId="435466EB" w14:textId="3A8DCFB5" w:rsidR="009B7BF5" w:rsidRPr="009F1259" w:rsidRDefault="009B7BF5" w:rsidP="000A333B">
      <w:pPr>
        <w:spacing w:before="100" w:beforeAutospacing="1" w:after="100" w:afterAutospacing="1" w:line="360" w:lineRule="auto"/>
        <w:rPr>
          <w:rFonts w:ascii="Arial" w:eastAsia="Times New Roman" w:hAnsi="Arial" w:cs="Arial"/>
          <w:sz w:val="28"/>
          <w:szCs w:val="28"/>
          <w:lang w:eastAsia="en-GB"/>
        </w:rPr>
      </w:pPr>
      <w:r w:rsidRPr="009F1259">
        <w:rPr>
          <w:rFonts w:ascii="Arial" w:eastAsia="Times New Roman" w:hAnsi="Arial" w:cs="Arial"/>
          <w:b/>
          <w:bCs/>
          <w:sz w:val="28"/>
          <w:szCs w:val="28"/>
          <w:lang w:eastAsia="en-GB"/>
        </w:rPr>
        <w:t>2. Reference</w:t>
      </w:r>
      <w:r w:rsidRPr="009F1259">
        <w:rPr>
          <w:rFonts w:ascii="Arial" w:eastAsia="Times New Roman" w:hAnsi="Arial" w:cs="Arial"/>
          <w:sz w:val="28"/>
          <w:szCs w:val="28"/>
          <w:lang w:eastAsia="en-GB"/>
        </w:rPr>
        <w:t>:</w:t>
      </w:r>
    </w:p>
    <w:p w14:paraId="4B4E45BB" w14:textId="58737632" w:rsidR="009B7BF5" w:rsidRPr="00493507" w:rsidRDefault="009B7BF5" w:rsidP="000A333B">
      <w:pPr>
        <w:spacing w:before="100" w:beforeAutospacing="1" w:after="100" w:afterAutospacing="1" w:line="360" w:lineRule="auto"/>
        <w:rPr>
          <w:rFonts w:ascii="Arial" w:eastAsia="Times New Roman" w:hAnsi="Arial" w:cs="Arial"/>
          <w:lang w:eastAsia="en-GB"/>
        </w:rPr>
      </w:pPr>
      <w:r w:rsidRPr="00493507">
        <w:rPr>
          <w:rFonts w:ascii="Arial" w:eastAsia="Times New Roman" w:hAnsi="Arial" w:cs="Arial"/>
          <w:lang w:eastAsia="en-GB"/>
        </w:rPr>
        <w:t xml:space="preserve">Mikulincer, M. and Shaver, P.R. (2007) </w:t>
      </w:r>
      <w:r w:rsidRPr="00493507">
        <w:rPr>
          <w:rFonts w:ascii="Arial" w:eastAsia="Times New Roman" w:hAnsi="Arial" w:cs="Arial"/>
          <w:i/>
          <w:iCs/>
          <w:lang w:eastAsia="en-GB"/>
        </w:rPr>
        <w:t>Attachment in adulthood: Structure, dynamics, and change</w:t>
      </w:r>
      <w:r w:rsidRPr="00493507">
        <w:rPr>
          <w:rFonts w:ascii="Arial" w:eastAsia="Times New Roman" w:hAnsi="Arial" w:cs="Arial"/>
          <w:lang w:eastAsia="en-GB"/>
        </w:rPr>
        <w:t>. New York, Guilford Press.</w:t>
      </w:r>
    </w:p>
    <w:p w14:paraId="3112D85D" w14:textId="0846A4F6" w:rsidR="009B7BF5" w:rsidRPr="009F1259" w:rsidRDefault="009B7BF5" w:rsidP="000A333B">
      <w:pPr>
        <w:spacing w:before="100" w:beforeAutospacing="1" w:after="100" w:afterAutospacing="1" w:line="360" w:lineRule="auto"/>
        <w:rPr>
          <w:rFonts w:ascii="Arial" w:eastAsia="Times New Roman" w:hAnsi="Arial" w:cs="Arial"/>
          <w:b/>
          <w:bCs/>
          <w:sz w:val="28"/>
          <w:szCs w:val="28"/>
          <w:lang w:eastAsia="en-GB"/>
        </w:rPr>
      </w:pPr>
      <w:r w:rsidRPr="009F1259">
        <w:rPr>
          <w:rFonts w:ascii="Arial" w:eastAsia="Times New Roman" w:hAnsi="Arial" w:cs="Arial"/>
          <w:b/>
          <w:bCs/>
          <w:sz w:val="28"/>
          <w:szCs w:val="28"/>
          <w:lang w:eastAsia="en-GB"/>
        </w:rPr>
        <w:lastRenderedPageBreak/>
        <w:t>Summary and Analysis:</w:t>
      </w:r>
    </w:p>
    <w:p w14:paraId="09552D24" w14:textId="0921792A" w:rsidR="00620A9D" w:rsidRPr="00493507" w:rsidRDefault="00620A9D" w:rsidP="000A333B">
      <w:pPr>
        <w:spacing w:before="100" w:beforeAutospacing="1" w:after="100" w:afterAutospacing="1" w:line="360" w:lineRule="auto"/>
        <w:rPr>
          <w:rFonts w:ascii="Arial" w:eastAsia="Times New Roman" w:hAnsi="Arial" w:cs="Arial"/>
          <w:lang w:eastAsia="en-GB"/>
        </w:rPr>
      </w:pPr>
      <w:r w:rsidRPr="00493507">
        <w:rPr>
          <w:rFonts w:ascii="Arial" w:hAnsi="Arial" w:cs="Arial"/>
        </w:rPr>
        <w:t>Mikulincer and Shaver (2007) extend attachment theory into adulthood, demonstrating how attachment styles influence emotional regulation, relationships, and mental health. Secure attachment is associated with resilience and effective coping, whereas insecure attachment is linked to anxiety and depression. The authors highlight the role of biological factors, such as stress responses, alongside social influences, including relationship support. Their work shows that early attachment experiences continue to shape behaviour in later life and within health and social care settings.</w:t>
      </w:r>
    </w:p>
    <w:p w14:paraId="6FD8BE36" w14:textId="77777777" w:rsidR="009B7BF5" w:rsidRPr="009F1259" w:rsidRDefault="009B7BF5" w:rsidP="000A333B">
      <w:pPr>
        <w:spacing w:before="100" w:beforeAutospacing="1" w:after="100" w:afterAutospacing="1" w:line="360" w:lineRule="auto"/>
        <w:rPr>
          <w:rFonts w:ascii="Arial" w:eastAsia="Times New Roman" w:hAnsi="Arial" w:cs="Arial"/>
          <w:b/>
          <w:bCs/>
          <w:sz w:val="28"/>
          <w:szCs w:val="28"/>
          <w:lang w:eastAsia="en-GB"/>
        </w:rPr>
      </w:pPr>
      <w:r w:rsidRPr="009F1259">
        <w:rPr>
          <w:rFonts w:ascii="Arial" w:eastAsia="Times New Roman" w:hAnsi="Arial" w:cs="Arial"/>
          <w:b/>
          <w:bCs/>
          <w:sz w:val="28"/>
          <w:szCs w:val="28"/>
          <w:lang w:eastAsia="en-GB"/>
        </w:rPr>
        <w:t xml:space="preserve">Critical comment: </w:t>
      </w:r>
    </w:p>
    <w:p w14:paraId="1AE944D1" w14:textId="5AAB108A" w:rsidR="009B7BF5" w:rsidRPr="00493507" w:rsidRDefault="00CA292E" w:rsidP="000A333B">
      <w:pPr>
        <w:spacing w:before="100" w:beforeAutospacing="1" w:after="100" w:afterAutospacing="1" w:line="360" w:lineRule="auto"/>
        <w:rPr>
          <w:rFonts w:ascii="Arial" w:eastAsia="Times New Roman" w:hAnsi="Arial" w:cs="Arial"/>
          <w:b/>
          <w:bCs/>
          <w:lang w:eastAsia="en-GB"/>
        </w:rPr>
      </w:pPr>
      <w:r w:rsidRPr="00493507">
        <w:rPr>
          <w:rFonts w:ascii="Arial" w:hAnsi="Arial" w:cs="Arial"/>
        </w:rPr>
        <w:t>This source is valuable in health and social care as it emphasises the importance of understanding attachment styles when supporting individuals. For older adults, recognising attachment needs can enhance communication and reduce social isolation. A limitation is that attachment styles may change over time, making them difficult to categorise.</w:t>
      </w:r>
    </w:p>
    <w:p w14:paraId="174F34CD" w14:textId="4CB008B0" w:rsidR="009B7BF5" w:rsidRPr="009F1259" w:rsidRDefault="009B7BF5" w:rsidP="000A333B">
      <w:pPr>
        <w:spacing w:before="100" w:beforeAutospacing="1" w:after="100" w:afterAutospacing="1" w:line="360" w:lineRule="auto"/>
        <w:rPr>
          <w:rFonts w:ascii="Arial" w:eastAsia="Times New Roman" w:hAnsi="Arial" w:cs="Arial"/>
          <w:b/>
          <w:bCs/>
          <w:sz w:val="32"/>
          <w:szCs w:val="32"/>
          <w:lang w:eastAsia="en-GB"/>
        </w:rPr>
      </w:pPr>
      <w:r w:rsidRPr="009F1259">
        <w:rPr>
          <w:rFonts w:ascii="Arial" w:eastAsia="Times New Roman" w:hAnsi="Arial" w:cs="Arial"/>
          <w:b/>
          <w:bCs/>
          <w:sz w:val="32"/>
          <w:szCs w:val="32"/>
          <w:lang w:eastAsia="en-GB"/>
        </w:rPr>
        <w:t xml:space="preserve">Social Learning Theory: </w:t>
      </w:r>
    </w:p>
    <w:p w14:paraId="62F3FD38" w14:textId="386DE456" w:rsidR="009B7BF5" w:rsidRPr="009F1259" w:rsidRDefault="009B7BF5" w:rsidP="000A333B">
      <w:pPr>
        <w:spacing w:before="100" w:beforeAutospacing="1" w:after="100" w:afterAutospacing="1" w:line="360" w:lineRule="auto"/>
        <w:rPr>
          <w:rFonts w:ascii="Arial" w:eastAsia="Times New Roman" w:hAnsi="Arial" w:cs="Arial"/>
          <w:b/>
          <w:bCs/>
          <w:sz w:val="28"/>
          <w:szCs w:val="28"/>
          <w:lang w:eastAsia="en-GB"/>
        </w:rPr>
      </w:pPr>
      <w:r w:rsidRPr="009F1259">
        <w:rPr>
          <w:rFonts w:ascii="Arial" w:eastAsia="Times New Roman" w:hAnsi="Arial" w:cs="Arial"/>
          <w:b/>
          <w:bCs/>
          <w:sz w:val="28"/>
          <w:szCs w:val="28"/>
          <w:lang w:eastAsia="en-GB"/>
        </w:rPr>
        <w:t xml:space="preserve">1. Reference: </w:t>
      </w:r>
    </w:p>
    <w:p w14:paraId="1837EBD2" w14:textId="650EC732" w:rsidR="009B7BF5" w:rsidRPr="00493507" w:rsidRDefault="009B7BF5" w:rsidP="000A333B">
      <w:pPr>
        <w:spacing w:before="100" w:beforeAutospacing="1" w:after="100" w:afterAutospacing="1" w:line="360" w:lineRule="auto"/>
        <w:rPr>
          <w:rFonts w:ascii="Arial" w:eastAsia="Times New Roman" w:hAnsi="Arial" w:cs="Arial"/>
          <w:lang w:eastAsia="en-GB"/>
        </w:rPr>
      </w:pPr>
      <w:r w:rsidRPr="00493507">
        <w:rPr>
          <w:rFonts w:ascii="Arial" w:eastAsia="Times New Roman" w:hAnsi="Arial" w:cs="Arial"/>
          <w:lang w:eastAsia="en-GB"/>
        </w:rPr>
        <w:t>de la Fuente, J., Kauffman, D.F. and Boruchovitch, E. (2023</w:t>
      </w:r>
      <w:r w:rsidRPr="00493507">
        <w:rPr>
          <w:rFonts w:ascii="Arial" w:eastAsia="Times New Roman" w:hAnsi="Arial" w:cs="Arial"/>
          <w:i/>
          <w:iCs/>
          <w:lang w:eastAsia="en-GB"/>
        </w:rPr>
        <w:t>) Past, present and future contributions from the social cognitive theory (Albert Bandura</w:t>
      </w:r>
      <w:r w:rsidRPr="00493507">
        <w:rPr>
          <w:rFonts w:ascii="Arial" w:eastAsia="Times New Roman" w:hAnsi="Arial" w:cs="Arial"/>
          <w:lang w:eastAsia="en-GB"/>
        </w:rPr>
        <w:t>), Frontiers in Psychology.</w:t>
      </w:r>
    </w:p>
    <w:p w14:paraId="33257698" w14:textId="2BAB8D2D" w:rsidR="009B7BF5" w:rsidRPr="009F1259" w:rsidRDefault="009B7BF5" w:rsidP="000A333B">
      <w:pPr>
        <w:spacing w:before="100" w:beforeAutospacing="1" w:after="100" w:afterAutospacing="1" w:line="360" w:lineRule="auto"/>
        <w:rPr>
          <w:rFonts w:ascii="Arial" w:eastAsia="Times New Roman" w:hAnsi="Arial" w:cs="Arial"/>
          <w:b/>
          <w:bCs/>
          <w:sz w:val="28"/>
          <w:szCs w:val="28"/>
          <w:lang w:eastAsia="en-GB"/>
        </w:rPr>
      </w:pPr>
      <w:r w:rsidRPr="009F1259">
        <w:rPr>
          <w:rFonts w:ascii="Arial" w:eastAsia="Times New Roman" w:hAnsi="Arial" w:cs="Arial"/>
          <w:b/>
          <w:bCs/>
          <w:sz w:val="28"/>
          <w:szCs w:val="28"/>
          <w:lang w:eastAsia="en-GB"/>
        </w:rPr>
        <w:t>Summary and Analysis:</w:t>
      </w:r>
    </w:p>
    <w:p w14:paraId="17C17EA8" w14:textId="2E5FCFAE" w:rsidR="00D5352C" w:rsidRPr="00493507" w:rsidRDefault="00D5352C" w:rsidP="000A333B">
      <w:pPr>
        <w:spacing w:before="100" w:beforeAutospacing="1" w:after="100" w:afterAutospacing="1" w:line="360" w:lineRule="auto"/>
        <w:rPr>
          <w:rFonts w:ascii="Arial" w:eastAsia="Times New Roman" w:hAnsi="Arial" w:cs="Arial"/>
          <w:lang w:eastAsia="en-GB"/>
        </w:rPr>
      </w:pPr>
      <w:r w:rsidRPr="00493507">
        <w:rPr>
          <w:rFonts w:ascii="Arial" w:hAnsi="Arial" w:cs="Arial"/>
        </w:rPr>
        <w:t>de la Fuente et al. (2023) explain that social learning theory highlights how behaviour is shaped through observation, social interaction, and cognitive processes. Learning occurs within a social context and is influenced by both environmental factors and internal regulation. The study emphasises biological determinants, such as self-regulation and cognitive processing, alongside social influences, including peer interaction and modelling. This is particularly relevant for children and young people, whose behaviour is learned through observing caregivers and peers.</w:t>
      </w:r>
    </w:p>
    <w:p w14:paraId="24383EE7" w14:textId="6E49940C" w:rsidR="009B7BF5" w:rsidRPr="009F1259" w:rsidRDefault="009B7BF5" w:rsidP="000A333B">
      <w:pPr>
        <w:spacing w:before="100" w:beforeAutospacing="1" w:after="100" w:afterAutospacing="1" w:line="360" w:lineRule="auto"/>
        <w:rPr>
          <w:rFonts w:ascii="Arial" w:eastAsia="Times New Roman" w:hAnsi="Arial" w:cs="Arial"/>
          <w:b/>
          <w:bCs/>
          <w:sz w:val="28"/>
          <w:szCs w:val="28"/>
          <w:lang w:eastAsia="en-GB"/>
        </w:rPr>
      </w:pPr>
      <w:r w:rsidRPr="009F1259">
        <w:rPr>
          <w:rFonts w:ascii="Arial" w:eastAsia="Times New Roman" w:hAnsi="Arial" w:cs="Arial"/>
          <w:b/>
          <w:bCs/>
          <w:sz w:val="28"/>
          <w:szCs w:val="28"/>
          <w:lang w:eastAsia="en-GB"/>
        </w:rPr>
        <w:t>Critical Comment:</w:t>
      </w:r>
    </w:p>
    <w:p w14:paraId="252C5970" w14:textId="350EFB92" w:rsidR="009B7BF5" w:rsidRPr="00493507" w:rsidRDefault="00DB0F46" w:rsidP="000A333B">
      <w:pPr>
        <w:spacing w:before="100" w:beforeAutospacing="1" w:after="100" w:afterAutospacing="1" w:line="360" w:lineRule="auto"/>
        <w:rPr>
          <w:rFonts w:ascii="Arial" w:eastAsia="Times New Roman" w:hAnsi="Arial" w:cs="Arial"/>
          <w:lang w:eastAsia="en-GB"/>
        </w:rPr>
      </w:pPr>
      <w:r w:rsidRPr="00493507">
        <w:rPr>
          <w:rFonts w:ascii="Arial" w:hAnsi="Arial" w:cs="Arial"/>
        </w:rPr>
        <w:lastRenderedPageBreak/>
        <w:t xml:space="preserve">This theory is highly applicable in health and social care, particularly in behaviour management and role-modelling. However, it may underemphasise the importance of emotional attachment. In line with </w:t>
      </w:r>
      <w:r w:rsidRPr="00493507">
        <w:rPr>
          <w:rStyle w:val="whitespace-normal"/>
          <w:rFonts w:ascii="Arial" w:hAnsi="Arial" w:cs="Arial"/>
        </w:rPr>
        <w:t>John Bowlby</w:t>
      </w:r>
      <w:r w:rsidRPr="00493507">
        <w:rPr>
          <w:rFonts w:ascii="Arial" w:hAnsi="Arial" w:cs="Arial"/>
        </w:rPr>
        <w:t>, attachment-based care remains essential for older adults to promote emotional security and wellbeing.</w:t>
      </w:r>
    </w:p>
    <w:p w14:paraId="72981B87" w14:textId="0AB23068" w:rsidR="009B7BF5" w:rsidRPr="009F1259" w:rsidRDefault="009B7BF5" w:rsidP="000A333B">
      <w:pPr>
        <w:spacing w:before="100" w:beforeAutospacing="1" w:after="100" w:afterAutospacing="1" w:line="360" w:lineRule="auto"/>
        <w:rPr>
          <w:rFonts w:ascii="Arial" w:eastAsia="Times New Roman" w:hAnsi="Arial" w:cs="Arial"/>
          <w:b/>
          <w:bCs/>
          <w:sz w:val="28"/>
          <w:szCs w:val="28"/>
          <w:lang w:eastAsia="en-GB"/>
        </w:rPr>
      </w:pPr>
      <w:r w:rsidRPr="009F1259">
        <w:rPr>
          <w:rFonts w:ascii="Arial" w:eastAsia="Times New Roman" w:hAnsi="Arial" w:cs="Arial"/>
          <w:b/>
          <w:bCs/>
          <w:sz w:val="28"/>
          <w:szCs w:val="28"/>
          <w:lang w:eastAsia="en-GB"/>
        </w:rPr>
        <w:t>2. Reference:</w:t>
      </w:r>
    </w:p>
    <w:p w14:paraId="53768F30" w14:textId="608085E4" w:rsidR="009B7BF5" w:rsidRPr="00493507" w:rsidRDefault="009B7BF5" w:rsidP="000A333B">
      <w:pPr>
        <w:spacing w:before="100" w:beforeAutospacing="1" w:after="100" w:afterAutospacing="1" w:line="360" w:lineRule="auto"/>
        <w:rPr>
          <w:rFonts w:ascii="Arial" w:eastAsia="Times New Roman" w:hAnsi="Arial" w:cs="Arial"/>
          <w:lang w:eastAsia="en-GB"/>
        </w:rPr>
      </w:pPr>
      <w:r w:rsidRPr="00493507">
        <w:rPr>
          <w:rFonts w:ascii="Arial" w:eastAsia="Times New Roman" w:hAnsi="Arial" w:cs="Arial"/>
          <w:lang w:eastAsia="en-GB"/>
        </w:rPr>
        <w:t xml:space="preserve">Bandura, A. (1995) </w:t>
      </w:r>
      <w:r w:rsidRPr="00493507">
        <w:rPr>
          <w:rFonts w:ascii="Arial" w:eastAsia="Times New Roman" w:hAnsi="Arial" w:cs="Arial"/>
          <w:i/>
          <w:iCs/>
          <w:lang w:eastAsia="en-GB"/>
        </w:rPr>
        <w:t>Self-efficacy in changing societies</w:t>
      </w:r>
      <w:r w:rsidRPr="00493507">
        <w:rPr>
          <w:rFonts w:ascii="Arial" w:eastAsia="Times New Roman" w:hAnsi="Arial" w:cs="Arial"/>
          <w:lang w:eastAsia="en-GB"/>
        </w:rPr>
        <w:t>. Cambridge: Cambridge University Press.</w:t>
      </w:r>
    </w:p>
    <w:p w14:paraId="59B55E3B" w14:textId="0EFF050B" w:rsidR="009B7BF5" w:rsidRPr="009F1259" w:rsidRDefault="009B7BF5" w:rsidP="000A333B">
      <w:pPr>
        <w:spacing w:before="100" w:beforeAutospacing="1" w:after="100" w:afterAutospacing="1" w:line="360" w:lineRule="auto"/>
        <w:rPr>
          <w:rFonts w:ascii="Arial" w:eastAsia="Times New Roman" w:hAnsi="Arial" w:cs="Arial"/>
          <w:b/>
          <w:bCs/>
          <w:sz w:val="28"/>
          <w:szCs w:val="28"/>
          <w:lang w:eastAsia="en-GB"/>
        </w:rPr>
      </w:pPr>
      <w:r w:rsidRPr="009F1259">
        <w:rPr>
          <w:rFonts w:ascii="Arial" w:eastAsia="Times New Roman" w:hAnsi="Arial" w:cs="Arial"/>
          <w:b/>
          <w:bCs/>
          <w:sz w:val="28"/>
          <w:szCs w:val="28"/>
          <w:lang w:eastAsia="en-GB"/>
        </w:rPr>
        <w:t>Summary and Analysis:</w:t>
      </w:r>
    </w:p>
    <w:p w14:paraId="74B228BA" w14:textId="0F9A54B8" w:rsidR="00CF5F01" w:rsidRPr="00493507" w:rsidRDefault="00CF5F01" w:rsidP="000A333B">
      <w:pPr>
        <w:spacing w:before="100" w:beforeAutospacing="1" w:after="100" w:afterAutospacing="1" w:line="360" w:lineRule="auto"/>
        <w:rPr>
          <w:rFonts w:ascii="Arial" w:eastAsia="Times New Roman" w:hAnsi="Arial" w:cs="Arial"/>
          <w:lang w:eastAsia="en-GB"/>
        </w:rPr>
      </w:pPr>
      <w:r w:rsidRPr="00493507">
        <w:rPr>
          <w:rFonts w:ascii="Arial" w:hAnsi="Arial" w:cs="Arial"/>
        </w:rPr>
        <w:t>Albert Bandura (1995) examines how self-efficacy, a core concept of social learning theory, influences human behaviour across the lifespan. He argues that individuals’ beliefs in their ability to succeed significantly affect motivation, resilience, and decision-making. Behaviour is shaped through the interaction of cognitive processes, social environments, and observational learning. The book highlights social determinants, such as education, family influence, and cultural context, alongside psychological factors including confidence, perception, and self-regulation. Bandura also recognises biological influences, such as emotional responses to stress. In children and young people, self-efficacy is central to shaping learning behaviours, social interactions, and coping strategies. This illustrates how social learning theory informs understanding of development and behaviour within health and social care contexts, particularly in supporting behavioural change and personal development.</w:t>
      </w:r>
    </w:p>
    <w:p w14:paraId="3556881A" w14:textId="37669014" w:rsidR="009B7BF5" w:rsidRPr="009F1259" w:rsidRDefault="009B7BF5" w:rsidP="000A333B">
      <w:pPr>
        <w:spacing w:before="100" w:beforeAutospacing="1" w:after="100" w:afterAutospacing="1" w:line="360" w:lineRule="auto"/>
        <w:rPr>
          <w:rFonts w:ascii="Arial" w:eastAsia="Times New Roman" w:hAnsi="Arial" w:cs="Arial"/>
          <w:b/>
          <w:bCs/>
          <w:sz w:val="28"/>
          <w:szCs w:val="28"/>
          <w:lang w:eastAsia="en-GB"/>
        </w:rPr>
      </w:pPr>
      <w:r w:rsidRPr="009F1259">
        <w:rPr>
          <w:rFonts w:ascii="Arial" w:eastAsia="Times New Roman" w:hAnsi="Arial" w:cs="Arial"/>
          <w:b/>
          <w:bCs/>
          <w:sz w:val="28"/>
          <w:szCs w:val="28"/>
          <w:lang w:eastAsia="en-GB"/>
        </w:rPr>
        <w:t>Critical Comment:</w:t>
      </w:r>
    </w:p>
    <w:p w14:paraId="6BC15CAE" w14:textId="35200E85" w:rsidR="00FA6F11" w:rsidRDefault="00461DEA" w:rsidP="000A333B">
      <w:pPr>
        <w:spacing w:before="100" w:beforeAutospacing="1" w:after="100" w:afterAutospacing="1" w:line="360" w:lineRule="auto"/>
        <w:rPr>
          <w:rFonts w:ascii="Arial" w:hAnsi="Arial" w:cs="Arial"/>
        </w:rPr>
      </w:pPr>
      <w:r w:rsidRPr="00493507">
        <w:rPr>
          <w:rFonts w:ascii="Arial" w:hAnsi="Arial" w:cs="Arial"/>
        </w:rPr>
        <w:t xml:space="preserve">This source is highly relevant to health and social care, as it supports interventions that foster confidence, independence, and resilience. Practitioners can use strategies such as encouragement and positive role-modelling to enhance outcomes. However, it gives less attention to emotional attachment needs. In line with </w:t>
      </w:r>
      <w:r w:rsidRPr="00493507">
        <w:rPr>
          <w:rStyle w:val="whitespace-normal"/>
          <w:rFonts w:ascii="Arial" w:hAnsi="Arial" w:cs="Arial"/>
        </w:rPr>
        <w:t>John Bowlby</w:t>
      </w:r>
      <w:r w:rsidRPr="00493507">
        <w:rPr>
          <w:rFonts w:ascii="Arial" w:hAnsi="Arial" w:cs="Arial"/>
        </w:rPr>
        <w:t>, attachment-informed care remains essential for older adults, promoting emotional security and overall wellbeing alongside learned behaviours.</w:t>
      </w:r>
    </w:p>
    <w:p w14:paraId="353F4C76" w14:textId="57CB2131" w:rsidR="001D39E6" w:rsidRPr="00CB4C57" w:rsidRDefault="00FA6F11" w:rsidP="00CB4C57">
      <w:pPr>
        <w:spacing w:line="278" w:lineRule="auto"/>
        <w:jc w:val="center"/>
        <w:rPr>
          <w:rFonts w:ascii="Arial" w:hAnsi="Arial" w:cs="Arial"/>
          <w:sz w:val="32"/>
          <w:szCs w:val="32"/>
        </w:rPr>
      </w:pPr>
      <w:r>
        <w:rPr>
          <w:rFonts w:ascii="Arial" w:hAnsi="Arial" w:cs="Arial"/>
        </w:rPr>
        <w:br w:type="page"/>
      </w:r>
      <w:r w:rsidR="00CB4C57" w:rsidRPr="00CB4C57">
        <w:rPr>
          <w:rFonts w:ascii="Arial" w:hAnsi="Arial" w:cs="Arial"/>
          <w:sz w:val="32"/>
          <w:szCs w:val="32"/>
        </w:rPr>
        <w:lastRenderedPageBreak/>
        <w:t>REPORT</w:t>
      </w:r>
    </w:p>
    <w:p w14:paraId="5A7ACF42" w14:textId="77777777" w:rsidR="00CB4C57" w:rsidRDefault="00CB4C57" w:rsidP="001D39E6">
      <w:pPr>
        <w:spacing w:line="278" w:lineRule="auto"/>
        <w:rPr>
          <w:rFonts w:ascii="Arial" w:hAnsi="Arial" w:cs="Arial"/>
        </w:rPr>
      </w:pPr>
    </w:p>
    <w:p w14:paraId="78661779" w14:textId="77777777" w:rsidR="00CB4C57" w:rsidRDefault="00CB4C57" w:rsidP="001D39E6">
      <w:pPr>
        <w:spacing w:line="278" w:lineRule="auto"/>
        <w:rPr>
          <w:rFonts w:ascii="Arial" w:hAnsi="Arial" w:cs="Arial"/>
        </w:rPr>
      </w:pPr>
    </w:p>
    <w:p w14:paraId="15D84964" w14:textId="01A86BE1" w:rsidR="00A659F0" w:rsidRPr="00A659F0" w:rsidRDefault="00A659F0" w:rsidP="001D39E6">
      <w:pPr>
        <w:spacing w:line="278" w:lineRule="auto"/>
        <w:rPr>
          <w:rFonts w:ascii="Arial" w:hAnsi="Arial" w:cs="Arial"/>
        </w:rPr>
      </w:pPr>
      <w:r w:rsidRPr="00A659F0">
        <w:rPr>
          <w:rFonts w:ascii="Times New Roman" w:eastAsia="Times New Roman" w:hAnsi="Times New Roman" w:cs="Times New Roman"/>
          <w:b/>
          <w:bCs/>
          <w:sz w:val="36"/>
          <w:szCs w:val="36"/>
          <w:lang w:eastAsia="en-GB"/>
        </w:rPr>
        <w:t>Table of Contents</w:t>
      </w:r>
    </w:p>
    <w:p w14:paraId="2D7693C6" w14:textId="3A167D29" w:rsidR="00572831" w:rsidRPr="00A659F0" w:rsidRDefault="00A659F0" w:rsidP="00572831">
      <w:pPr>
        <w:numPr>
          <w:ilvl w:val="0"/>
          <w:numId w:val="5"/>
        </w:numPr>
        <w:spacing w:before="100" w:beforeAutospacing="1" w:after="100" w:afterAutospacing="1" w:line="600" w:lineRule="auto"/>
        <w:rPr>
          <w:rFonts w:ascii="Arial" w:eastAsia="Times New Roman" w:hAnsi="Arial" w:cs="Arial"/>
          <w:sz w:val="24"/>
          <w:szCs w:val="24"/>
          <w:lang w:eastAsia="en-GB"/>
        </w:rPr>
      </w:pPr>
      <w:r w:rsidRPr="00A659F0">
        <w:rPr>
          <w:rFonts w:ascii="Arial" w:eastAsia="Times New Roman" w:hAnsi="Arial" w:cs="Arial"/>
          <w:b/>
          <w:bCs/>
          <w:sz w:val="24"/>
          <w:szCs w:val="24"/>
          <w:lang w:eastAsia="en-GB"/>
        </w:rPr>
        <w:t>Introduction</w:t>
      </w:r>
      <w:r w:rsidRPr="00A659F0">
        <w:rPr>
          <w:rFonts w:ascii="Arial" w:eastAsia="Times New Roman" w:hAnsi="Arial" w:cs="Arial"/>
          <w:sz w:val="24"/>
          <w:szCs w:val="24"/>
          <w:lang w:eastAsia="en-GB"/>
        </w:rPr>
        <w:t xml:space="preserve"> ...................................................... </w:t>
      </w:r>
      <w:r w:rsidR="00325E09">
        <w:rPr>
          <w:rFonts w:ascii="Arial" w:eastAsia="Times New Roman" w:hAnsi="Arial" w:cs="Arial"/>
          <w:sz w:val="24"/>
          <w:szCs w:val="24"/>
          <w:lang w:eastAsia="en-GB"/>
        </w:rPr>
        <w:t>6</w:t>
      </w:r>
    </w:p>
    <w:p w14:paraId="5C99EC9E" w14:textId="05B58C9B" w:rsidR="00A659F0" w:rsidRPr="00A659F0" w:rsidRDefault="00A659F0" w:rsidP="00572831">
      <w:pPr>
        <w:numPr>
          <w:ilvl w:val="0"/>
          <w:numId w:val="5"/>
        </w:numPr>
        <w:spacing w:before="100" w:beforeAutospacing="1" w:after="100" w:afterAutospacing="1" w:line="600" w:lineRule="auto"/>
        <w:rPr>
          <w:rFonts w:ascii="Arial" w:eastAsia="Times New Roman" w:hAnsi="Arial" w:cs="Arial"/>
          <w:sz w:val="24"/>
          <w:szCs w:val="24"/>
          <w:lang w:eastAsia="en-GB"/>
        </w:rPr>
      </w:pPr>
      <w:r w:rsidRPr="00A659F0">
        <w:rPr>
          <w:rFonts w:ascii="Arial" w:eastAsia="Times New Roman" w:hAnsi="Arial" w:cs="Arial"/>
          <w:b/>
          <w:bCs/>
          <w:sz w:val="24"/>
          <w:szCs w:val="24"/>
          <w:lang w:eastAsia="en-GB"/>
        </w:rPr>
        <w:t>Attachment Theory and Older Adults</w:t>
      </w:r>
      <w:r w:rsidRPr="00A659F0">
        <w:rPr>
          <w:rFonts w:ascii="Arial" w:eastAsia="Times New Roman" w:hAnsi="Arial" w:cs="Arial"/>
          <w:sz w:val="24"/>
          <w:szCs w:val="24"/>
          <w:lang w:eastAsia="en-GB"/>
        </w:rPr>
        <w:t xml:space="preserve"> ............. </w:t>
      </w:r>
      <w:r w:rsidR="00325E09">
        <w:rPr>
          <w:rFonts w:ascii="Arial" w:eastAsia="Times New Roman" w:hAnsi="Arial" w:cs="Arial"/>
          <w:sz w:val="24"/>
          <w:szCs w:val="24"/>
          <w:lang w:eastAsia="en-GB"/>
        </w:rPr>
        <w:t>6,7</w:t>
      </w:r>
    </w:p>
    <w:p w14:paraId="181753F3" w14:textId="2029E758" w:rsidR="00A659F0" w:rsidRPr="00A659F0" w:rsidRDefault="00A659F0" w:rsidP="00572831">
      <w:pPr>
        <w:numPr>
          <w:ilvl w:val="0"/>
          <w:numId w:val="5"/>
        </w:numPr>
        <w:spacing w:before="100" w:beforeAutospacing="1" w:after="100" w:afterAutospacing="1" w:line="600" w:lineRule="auto"/>
        <w:rPr>
          <w:rFonts w:ascii="Arial" w:eastAsia="Times New Roman" w:hAnsi="Arial" w:cs="Arial"/>
          <w:sz w:val="24"/>
          <w:szCs w:val="24"/>
          <w:lang w:eastAsia="en-GB"/>
        </w:rPr>
      </w:pPr>
      <w:r w:rsidRPr="00A659F0">
        <w:rPr>
          <w:rFonts w:ascii="Arial" w:eastAsia="Times New Roman" w:hAnsi="Arial" w:cs="Arial"/>
          <w:b/>
          <w:bCs/>
          <w:sz w:val="24"/>
          <w:szCs w:val="24"/>
          <w:lang w:eastAsia="en-GB"/>
        </w:rPr>
        <w:t>Real-Life Application: Case Study</w:t>
      </w:r>
      <w:r w:rsidRPr="00A659F0">
        <w:rPr>
          <w:rFonts w:ascii="Arial" w:eastAsia="Times New Roman" w:hAnsi="Arial" w:cs="Arial"/>
          <w:sz w:val="24"/>
          <w:szCs w:val="24"/>
          <w:lang w:eastAsia="en-GB"/>
        </w:rPr>
        <w:t xml:space="preserve"> .................</w:t>
      </w:r>
      <w:r w:rsidR="00E301B2">
        <w:rPr>
          <w:rFonts w:ascii="Arial" w:eastAsia="Times New Roman" w:hAnsi="Arial" w:cs="Arial"/>
          <w:sz w:val="24"/>
          <w:szCs w:val="24"/>
          <w:lang w:eastAsia="en-GB"/>
        </w:rPr>
        <w:t>.</w:t>
      </w:r>
      <w:r w:rsidR="00692181">
        <w:rPr>
          <w:rFonts w:ascii="Arial" w:eastAsia="Times New Roman" w:hAnsi="Arial" w:cs="Arial"/>
          <w:sz w:val="24"/>
          <w:szCs w:val="24"/>
          <w:lang w:eastAsia="en-GB"/>
        </w:rPr>
        <w:t>.</w:t>
      </w:r>
      <w:r w:rsidR="00E301B2">
        <w:rPr>
          <w:rFonts w:ascii="Arial" w:eastAsia="Times New Roman" w:hAnsi="Arial" w:cs="Arial"/>
          <w:sz w:val="24"/>
          <w:szCs w:val="24"/>
          <w:lang w:eastAsia="en-GB"/>
        </w:rPr>
        <w:t xml:space="preserve"> </w:t>
      </w:r>
      <w:r w:rsidR="00B06F21">
        <w:rPr>
          <w:rFonts w:ascii="Arial" w:eastAsia="Times New Roman" w:hAnsi="Arial" w:cs="Arial"/>
          <w:sz w:val="24"/>
          <w:szCs w:val="24"/>
          <w:lang w:eastAsia="en-GB"/>
        </w:rPr>
        <w:t>7</w:t>
      </w:r>
    </w:p>
    <w:p w14:paraId="51FC4FFE" w14:textId="7E58638B" w:rsidR="00A659F0" w:rsidRPr="00A659F0" w:rsidRDefault="00A659F0" w:rsidP="00572831">
      <w:pPr>
        <w:numPr>
          <w:ilvl w:val="0"/>
          <w:numId w:val="5"/>
        </w:numPr>
        <w:spacing w:before="100" w:beforeAutospacing="1" w:after="100" w:afterAutospacing="1" w:line="600" w:lineRule="auto"/>
        <w:rPr>
          <w:rFonts w:ascii="Arial" w:eastAsia="Times New Roman" w:hAnsi="Arial" w:cs="Arial"/>
          <w:sz w:val="24"/>
          <w:szCs w:val="24"/>
          <w:lang w:eastAsia="en-GB"/>
        </w:rPr>
      </w:pPr>
      <w:r w:rsidRPr="00A659F0">
        <w:rPr>
          <w:rFonts w:ascii="Arial" w:eastAsia="Times New Roman" w:hAnsi="Arial" w:cs="Arial"/>
          <w:b/>
          <w:bCs/>
          <w:sz w:val="24"/>
          <w:szCs w:val="24"/>
          <w:lang w:eastAsia="en-GB"/>
        </w:rPr>
        <w:t>Challenge in Applying Attachment Theory</w:t>
      </w:r>
      <w:r w:rsidRPr="00A659F0">
        <w:rPr>
          <w:rFonts w:ascii="Arial" w:eastAsia="Times New Roman" w:hAnsi="Arial" w:cs="Arial"/>
          <w:sz w:val="24"/>
          <w:szCs w:val="24"/>
          <w:lang w:eastAsia="en-GB"/>
        </w:rPr>
        <w:t xml:space="preserve"> </w:t>
      </w:r>
      <w:proofErr w:type="gramStart"/>
      <w:r w:rsidRPr="00A659F0">
        <w:rPr>
          <w:rFonts w:ascii="Arial" w:eastAsia="Times New Roman" w:hAnsi="Arial" w:cs="Arial"/>
          <w:sz w:val="24"/>
          <w:szCs w:val="24"/>
          <w:lang w:eastAsia="en-GB"/>
        </w:rPr>
        <w:t>.....</w:t>
      </w:r>
      <w:proofErr w:type="gramEnd"/>
      <w:r w:rsidR="00E301B2">
        <w:rPr>
          <w:rFonts w:ascii="Arial" w:eastAsia="Times New Roman" w:hAnsi="Arial" w:cs="Arial"/>
          <w:sz w:val="24"/>
          <w:szCs w:val="24"/>
          <w:lang w:eastAsia="en-GB"/>
        </w:rPr>
        <w:t xml:space="preserve"> </w:t>
      </w:r>
      <w:r w:rsidR="000D264E">
        <w:rPr>
          <w:rFonts w:ascii="Arial" w:eastAsia="Times New Roman" w:hAnsi="Arial" w:cs="Arial"/>
          <w:sz w:val="24"/>
          <w:szCs w:val="24"/>
          <w:lang w:eastAsia="en-GB"/>
        </w:rPr>
        <w:t>7</w:t>
      </w:r>
    </w:p>
    <w:p w14:paraId="57959E63" w14:textId="2823BEB8" w:rsidR="00A659F0" w:rsidRPr="00A659F0" w:rsidRDefault="00A659F0" w:rsidP="00572831">
      <w:pPr>
        <w:numPr>
          <w:ilvl w:val="0"/>
          <w:numId w:val="5"/>
        </w:numPr>
        <w:spacing w:before="100" w:beforeAutospacing="1" w:after="100" w:afterAutospacing="1" w:line="600" w:lineRule="auto"/>
        <w:rPr>
          <w:rFonts w:ascii="Arial" w:eastAsia="Times New Roman" w:hAnsi="Arial" w:cs="Arial"/>
          <w:sz w:val="24"/>
          <w:szCs w:val="24"/>
          <w:lang w:eastAsia="en-GB"/>
        </w:rPr>
      </w:pPr>
      <w:r w:rsidRPr="00A659F0">
        <w:rPr>
          <w:rFonts w:ascii="Arial" w:eastAsia="Times New Roman" w:hAnsi="Arial" w:cs="Arial"/>
          <w:b/>
          <w:bCs/>
          <w:sz w:val="24"/>
          <w:szCs w:val="24"/>
          <w:lang w:eastAsia="en-GB"/>
        </w:rPr>
        <w:t>Strategy to Overcome the Challenge</w:t>
      </w:r>
      <w:r w:rsidRPr="00A659F0">
        <w:rPr>
          <w:rFonts w:ascii="Arial" w:eastAsia="Times New Roman" w:hAnsi="Arial" w:cs="Arial"/>
          <w:sz w:val="24"/>
          <w:szCs w:val="24"/>
          <w:lang w:eastAsia="en-GB"/>
        </w:rPr>
        <w:t xml:space="preserve"> .............</w:t>
      </w:r>
      <w:r w:rsidR="00692181">
        <w:rPr>
          <w:rFonts w:ascii="Arial" w:eastAsia="Times New Roman" w:hAnsi="Arial" w:cs="Arial"/>
          <w:sz w:val="24"/>
          <w:szCs w:val="24"/>
          <w:lang w:eastAsia="en-GB"/>
        </w:rPr>
        <w:t xml:space="preserve">.. </w:t>
      </w:r>
      <w:r w:rsidR="000D264E">
        <w:rPr>
          <w:rFonts w:ascii="Arial" w:eastAsia="Times New Roman" w:hAnsi="Arial" w:cs="Arial"/>
          <w:sz w:val="24"/>
          <w:szCs w:val="24"/>
          <w:lang w:eastAsia="en-GB"/>
        </w:rPr>
        <w:t>8</w:t>
      </w:r>
    </w:p>
    <w:p w14:paraId="21EA1103" w14:textId="5ACF2CC1" w:rsidR="00A659F0" w:rsidRPr="00A659F0" w:rsidRDefault="00A659F0" w:rsidP="00572831">
      <w:pPr>
        <w:numPr>
          <w:ilvl w:val="0"/>
          <w:numId w:val="5"/>
        </w:numPr>
        <w:spacing w:before="100" w:beforeAutospacing="1" w:after="100" w:afterAutospacing="1" w:line="600" w:lineRule="auto"/>
        <w:rPr>
          <w:rFonts w:ascii="Arial" w:eastAsia="Times New Roman" w:hAnsi="Arial" w:cs="Arial"/>
          <w:sz w:val="24"/>
          <w:szCs w:val="24"/>
          <w:lang w:eastAsia="en-GB"/>
        </w:rPr>
      </w:pPr>
      <w:r w:rsidRPr="00A659F0">
        <w:rPr>
          <w:rFonts w:ascii="Arial" w:eastAsia="Times New Roman" w:hAnsi="Arial" w:cs="Arial"/>
          <w:b/>
          <w:bCs/>
          <w:sz w:val="24"/>
          <w:szCs w:val="24"/>
          <w:lang w:eastAsia="en-GB"/>
        </w:rPr>
        <w:t>Conclusion</w:t>
      </w:r>
      <w:r w:rsidRPr="00A659F0">
        <w:rPr>
          <w:rFonts w:ascii="Arial" w:eastAsia="Times New Roman" w:hAnsi="Arial" w:cs="Arial"/>
          <w:sz w:val="24"/>
          <w:szCs w:val="24"/>
          <w:lang w:eastAsia="en-GB"/>
        </w:rPr>
        <w:t xml:space="preserve"> ......................................................</w:t>
      </w:r>
      <w:r w:rsidR="00692181">
        <w:rPr>
          <w:rFonts w:ascii="Arial" w:eastAsia="Times New Roman" w:hAnsi="Arial" w:cs="Arial"/>
          <w:sz w:val="24"/>
          <w:szCs w:val="24"/>
          <w:lang w:eastAsia="en-GB"/>
        </w:rPr>
        <w:t>...</w:t>
      </w:r>
      <w:r w:rsidRPr="00A659F0">
        <w:rPr>
          <w:rFonts w:ascii="Arial" w:eastAsia="Times New Roman" w:hAnsi="Arial" w:cs="Arial"/>
          <w:sz w:val="24"/>
          <w:szCs w:val="24"/>
          <w:lang w:eastAsia="en-GB"/>
        </w:rPr>
        <w:t xml:space="preserve"> </w:t>
      </w:r>
      <w:r w:rsidR="000D264E">
        <w:rPr>
          <w:rFonts w:ascii="Arial" w:eastAsia="Times New Roman" w:hAnsi="Arial" w:cs="Arial"/>
          <w:sz w:val="24"/>
          <w:szCs w:val="24"/>
          <w:lang w:eastAsia="en-GB"/>
        </w:rPr>
        <w:t>8</w:t>
      </w:r>
    </w:p>
    <w:p w14:paraId="2B9B59C9" w14:textId="7CD55BA6" w:rsidR="00A659F0" w:rsidRPr="00A659F0" w:rsidRDefault="00A659F0" w:rsidP="00572831">
      <w:pPr>
        <w:numPr>
          <w:ilvl w:val="0"/>
          <w:numId w:val="5"/>
        </w:numPr>
        <w:spacing w:before="100" w:beforeAutospacing="1" w:after="100" w:afterAutospacing="1" w:line="600" w:lineRule="auto"/>
        <w:rPr>
          <w:rFonts w:ascii="Arial" w:eastAsia="Times New Roman" w:hAnsi="Arial" w:cs="Arial"/>
          <w:sz w:val="24"/>
          <w:szCs w:val="24"/>
          <w:lang w:eastAsia="en-GB"/>
        </w:rPr>
      </w:pPr>
      <w:r w:rsidRPr="00A659F0">
        <w:rPr>
          <w:rFonts w:ascii="Arial" w:eastAsia="Times New Roman" w:hAnsi="Arial" w:cs="Arial"/>
          <w:b/>
          <w:bCs/>
          <w:sz w:val="24"/>
          <w:szCs w:val="24"/>
          <w:lang w:eastAsia="en-GB"/>
        </w:rPr>
        <w:t>References</w:t>
      </w:r>
      <w:r w:rsidRPr="00A659F0">
        <w:rPr>
          <w:rFonts w:ascii="Arial" w:eastAsia="Times New Roman" w:hAnsi="Arial" w:cs="Arial"/>
          <w:sz w:val="24"/>
          <w:szCs w:val="24"/>
          <w:lang w:eastAsia="en-GB"/>
        </w:rPr>
        <w:t xml:space="preserve"> .....................................................</w:t>
      </w:r>
      <w:r w:rsidR="00692181">
        <w:rPr>
          <w:rFonts w:ascii="Arial" w:eastAsia="Times New Roman" w:hAnsi="Arial" w:cs="Arial"/>
          <w:sz w:val="24"/>
          <w:szCs w:val="24"/>
          <w:lang w:eastAsia="en-GB"/>
        </w:rPr>
        <w:t>....</w:t>
      </w:r>
      <w:r w:rsidRPr="00A659F0">
        <w:rPr>
          <w:rFonts w:ascii="Arial" w:eastAsia="Times New Roman" w:hAnsi="Arial" w:cs="Arial"/>
          <w:sz w:val="24"/>
          <w:szCs w:val="24"/>
          <w:lang w:eastAsia="en-GB"/>
        </w:rPr>
        <w:t xml:space="preserve"> </w:t>
      </w:r>
      <w:r w:rsidR="000D264E">
        <w:rPr>
          <w:rFonts w:ascii="Arial" w:eastAsia="Times New Roman" w:hAnsi="Arial" w:cs="Arial"/>
          <w:sz w:val="24"/>
          <w:szCs w:val="24"/>
          <w:lang w:eastAsia="en-GB"/>
        </w:rPr>
        <w:t>8</w:t>
      </w:r>
    </w:p>
    <w:p w14:paraId="591927FE" w14:textId="77777777" w:rsidR="00726F49" w:rsidRDefault="00726F49" w:rsidP="000A333B">
      <w:pPr>
        <w:spacing w:before="100" w:beforeAutospacing="1" w:after="100" w:afterAutospacing="1" w:line="360" w:lineRule="auto"/>
        <w:rPr>
          <w:rFonts w:ascii="Arial" w:hAnsi="Arial" w:cs="Arial"/>
        </w:rPr>
      </w:pPr>
    </w:p>
    <w:p w14:paraId="1D10CEF1" w14:textId="034FC7BD" w:rsidR="006B6D70" w:rsidRPr="006B6D70" w:rsidRDefault="00726F49" w:rsidP="00535F00">
      <w:pPr>
        <w:spacing w:line="278" w:lineRule="auto"/>
        <w:rPr>
          <w:rFonts w:ascii="Arial" w:hAnsi="Arial" w:cs="Arial"/>
        </w:rPr>
      </w:pPr>
      <w:r>
        <w:rPr>
          <w:rFonts w:ascii="Arial" w:hAnsi="Arial" w:cs="Arial"/>
        </w:rPr>
        <w:br w:type="page"/>
      </w:r>
    </w:p>
    <w:p w14:paraId="072F4B9E" w14:textId="014E8A35" w:rsidR="00535F00" w:rsidRPr="00CA5F42" w:rsidRDefault="007B7A5E" w:rsidP="007B7A5E">
      <w:pPr>
        <w:spacing w:before="100" w:beforeAutospacing="1" w:after="100" w:afterAutospacing="1" w:line="240" w:lineRule="auto"/>
        <w:jc w:val="center"/>
        <w:rPr>
          <w:rFonts w:ascii="Arial" w:eastAsia="Times New Roman" w:hAnsi="Arial" w:cs="Arial"/>
          <w:b/>
          <w:bCs/>
          <w:sz w:val="36"/>
          <w:szCs w:val="36"/>
          <w:lang w:eastAsia="en-GB"/>
        </w:rPr>
      </w:pPr>
      <w:r w:rsidRPr="00CA5F42">
        <w:rPr>
          <w:rFonts w:ascii="Arial" w:eastAsia="Times New Roman" w:hAnsi="Arial" w:cs="Arial"/>
          <w:b/>
          <w:bCs/>
          <w:sz w:val="36"/>
          <w:szCs w:val="36"/>
          <w:lang w:eastAsia="en-GB"/>
        </w:rPr>
        <w:lastRenderedPageBreak/>
        <w:t>REPORT</w:t>
      </w:r>
    </w:p>
    <w:p w14:paraId="2AE660A2" w14:textId="77777777" w:rsidR="006F74F3" w:rsidRPr="00CA5F42" w:rsidRDefault="006F74F3" w:rsidP="00CA5F42">
      <w:pPr>
        <w:spacing w:before="100" w:beforeAutospacing="1" w:after="100" w:afterAutospacing="1" w:line="360" w:lineRule="auto"/>
        <w:jc w:val="center"/>
        <w:rPr>
          <w:rFonts w:ascii="Arial" w:eastAsia="Times New Roman" w:hAnsi="Arial" w:cs="Arial"/>
          <w:b/>
          <w:bCs/>
          <w:sz w:val="28"/>
          <w:szCs w:val="28"/>
          <w:lang w:eastAsia="en-GB"/>
        </w:rPr>
      </w:pPr>
    </w:p>
    <w:p w14:paraId="2FE1A444" w14:textId="769048C5" w:rsidR="009B1FFA" w:rsidRPr="00CA5F42" w:rsidRDefault="00E0061F" w:rsidP="00E0061F">
      <w:pPr>
        <w:pStyle w:val="NormalWeb"/>
        <w:spacing w:line="360" w:lineRule="auto"/>
        <w:rPr>
          <w:rFonts w:ascii="Arial" w:hAnsi="Arial" w:cs="Arial"/>
          <w:b/>
          <w:bCs/>
          <w:sz w:val="28"/>
          <w:szCs w:val="28"/>
        </w:rPr>
      </w:pPr>
      <w:r>
        <w:rPr>
          <w:rFonts w:ascii="Arial" w:hAnsi="Arial" w:cs="Arial"/>
          <w:b/>
          <w:bCs/>
          <w:sz w:val="28"/>
          <w:szCs w:val="28"/>
        </w:rPr>
        <w:t>1.</w:t>
      </w:r>
      <w:r w:rsidR="00EA084E">
        <w:rPr>
          <w:rFonts w:ascii="Arial" w:hAnsi="Arial" w:cs="Arial"/>
          <w:b/>
          <w:bCs/>
          <w:sz w:val="28"/>
          <w:szCs w:val="28"/>
        </w:rPr>
        <w:t xml:space="preserve"> </w:t>
      </w:r>
      <w:r w:rsidR="006F74F3" w:rsidRPr="00CA5F42">
        <w:rPr>
          <w:rFonts w:ascii="Arial" w:hAnsi="Arial" w:cs="Arial"/>
          <w:b/>
          <w:bCs/>
          <w:sz w:val="28"/>
          <w:szCs w:val="28"/>
        </w:rPr>
        <w:t>I</w:t>
      </w:r>
      <w:r w:rsidR="009B1FFA" w:rsidRPr="00CA5F42">
        <w:rPr>
          <w:rFonts w:ascii="Arial" w:hAnsi="Arial" w:cs="Arial"/>
          <w:b/>
          <w:bCs/>
          <w:sz w:val="28"/>
          <w:szCs w:val="28"/>
        </w:rPr>
        <w:t>ntroduction:</w:t>
      </w:r>
    </w:p>
    <w:p w14:paraId="2AD80E74" w14:textId="77777777" w:rsidR="00C4591F" w:rsidRPr="00CA5F42" w:rsidRDefault="00C4591F" w:rsidP="00CA5F42">
      <w:pPr>
        <w:pStyle w:val="NormalWeb"/>
        <w:spacing w:line="360" w:lineRule="auto"/>
        <w:rPr>
          <w:rFonts w:ascii="Arial" w:hAnsi="Arial" w:cs="Arial"/>
          <w:sz w:val="22"/>
          <w:szCs w:val="22"/>
        </w:rPr>
      </w:pPr>
      <w:r w:rsidRPr="00CA5F42">
        <w:rPr>
          <w:rFonts w:ascii="Arial" w:hAnsi="Arial" w:cs="Arial"/>
          <w:sz w:val="22"/>
          <w:szCs w:val="22"/>
        </w:rPr>
        <w:t>Psychological wellbeing is a key aspect of quality of life for older adults in residential care. Many residents experience social isolation, cognitive decline, and emotional distress due to bereavement, loss of independence, chronic illness, and changing social roles. These factors can negatively affect mental and physical health, increasing the risk of depression and anxiety (Bowlby, 2005). Understanding psychological influences on behaviour across the lifespan enables health and social care professionals to develop interventions that promote emotional security, resilience, and social engagement.</w:t>
      </w:r>
    </w:p>
    <w:p w14:paraId="3DAF4DC9" w14:textId="77777777" w:rsidR="00C4591F" w:rsidRPr="00CA5F42" w:rsidRDefault="00C4591F" w:rsidP="00CA5F42">
      <w:pPr>
        <w:pStyle w:val="NormalWeb"/>
        <w:spacing w:line="360" w:lineRule="auto"/>
        <w:rPr>
          <w:rFonts w:ascii="Arial" w:hAnsi="Arial" w:cs="Arial"/>
          <w:sz w:val="22"/>
          <w:szCs w:val="22"/>
        </w:rPr>
      </w:pPr>
      <w:r w:rsidRPr="00CA5F42">
        <w:rPr>
          <w:rFonts w:ascii="Arial" w:hAnsi="Arial" w:cs="Arial"/>
          <w:sz w:val="22"/>
          <w:szCs w:val="22"/>
        </w:rPr>
        <w:t>This report examines John Bowlby’s attachment theory and its relevance to older adults in residential care. It explores how attachment-informed approaches can be applied in practice, supported by a case example, while also considering key challenges. Such approaches can enhance emotional wellbeing and support a more person-centred care environment.</w:t>
      </w:r>
    </w:p>
    <w:p w14:paraId="2F59CA6D" w14:textId="41FC154E" w:rsidR="007B7A5E" w:rsidRPr="00CA5F42" w:rsidRDefault="007B7A5E" w:rsidP="00CA5F42">
      <w:pPr>
        <w:spacing w:before="100" w:beforeAutospacing="1" w:after="100" w:afterAutospacing="1" w:line="360" w:lineRule="auto"/>
        <w:rPr>
          <w:rFonts w:ascii="Arial" w:eastAsia="Times New Roman" w:hAnsi="Arial" w:cs="Arial"/>
          <w:b/>
          <w:bCs/>
          <w:lang w:eastAsia="en-GB"/>
        </w:rPr>
      </w:pPr>
    </w:p>
    <w:p w14:paraId="7810197F" w14:textId="77777777" w:rsidR="00E13311" w:rsidRPr="00CA5F42" w:rsidRDefault="00E13311" w:rsidP="00CA5F42">
      <w:pPr>
        <w:spacing w:after="0" w:line="360" w:lineRule="auto"/>
        <w:rPr>
          <w:rFonts w:ascii="Arial" w:eastAsia="Times New Roman" w:hAnsi="Arial" w:cs="Arial"/>
          <w:lang w:eastAsia="en-GB"/>
        </w:rPr>
      </w:pPr>
    </w:p>
    <w:p w14:paraId="3D287BAE" w14:textId="73786EF5" w:rsidR="006B6D70" w:rsidRPr="006B6D70" w:rsidRDefault="00EA084E" w:rsidP="00CA5F42">
      <w:pPr>
        <w:spacing w:after="0" w:line="360" w:lineRule="auto"/>
        <w:rPr>
          <w:rFonts w:ascii="Arial" w:eastAsia="Times New Roman" w:hAnsi="Arial" w:cs="Arial"/>
          <w:sz w:val="28"/>
          <w:szCs w:val="28"/>
          <w:lang w:eastAsia="en-GB"/>
        </w:rPr>
      </w:pPr>
      <w:r>
        <w:rPr>
          <w:rFonts w:ascii="Arial" w:eastAsia="Times New Roman" w:hAnsi="Arial" w:cs="Arial"/>
          <w:b/>
          <w:bCs/>
          <w:sz w:val="28"/>
          <w:szCs w:val="28"/>
          <w:lang w:eastAsia="en-GB"/>
        </w:rPr>
        <w:t xml:space="preserve">2. </w:t>
      </w:r>
      <w:r w:rsidR="006B6D70" w:rsidRPr="006B6D70">
        <w:rPr>
          <w:rFonts w:ascii="Arial" w:eastAsia="Times New Roman" w:hAnsi="Arial" w:cs="Arial"/>
          <w:b/>
          <w:bCs/>
          <w:sz w:val="28"/>
          <w:szCs w:val="28"/>
          <w:lang w:eastAsia="en-GB"/>
        </w:rPr>
        <w:t>Attachment Theory and Older Adults</w:t>
      </w:r>
    </w:p>
    <w:p w14:paraId="551D85DF" w14:textId="77777777" w:rsidR="006B6D70" w:rsidRPr="006B6D70" w:rsidRDefault="006B6D70" w:rsidP="00CA5F42">
      <w:pPr>
        <w:spacing w:before="100" w:beforeAutospacing="1" w:after="100" w:afterAutospacing="1" w:line="360" w:lineRule="auto"/>
        <w:rPr>
          <w:rFonts w:ascii="Arial" w:eastAsia="Times New Roman" w:hAnsi="Arial" w:cs="Arial"/>
          <w:lang w:eastAsia="en-GB"/>
        </w:rPr>
      </w:pPr>
      <w:r w:rsidRPr="006B6D70">
        <w:rPr>
          <w:rFonts w:ascii="Arial" w:eastAsia="Times New Roman" w:hAnsi="Arial" w:cs="Arial"/>
          <w:lang w:eastAsia="en-GB"/>
        </w:rPr>
        <w:t>Attachment theory, first proposed by Bowlby, posits that early interactions with primary caregivers form internal “attachment models” that shape interpersonal relationships, emotional regulation, and coping mechanisms throughout life (Bowlby, 2005). Although commonly associated with childhood development, attachment needs continue into adulthood and older age. Individuals with secure attachment patterns are generally characterised by trust in others, confidence in the availability of support, and effective management of emotions. In contrast, insecure attachment may manifest as anxiety, avoidance, withdrawal, or difficulty seeking help, all of which can exacerbate stress and social isolation in residential care settings (Mikulincer and Shaver, 2007).</w:t>
      </w:r>
    </w:p>
    <w:p w14:paraId="68A596AC" w14:textId="77777777" w:rsidR="006B6D70" w:rsidRPr="006B6D70" w:rsidRDefault="006B6D70" w:rsidP="00CA5F42">
      <w:pPr>
        <w:spacing w:before="100" w:beforeAutospacing="1" w:after="100" w:afterAutospacing="1" w:line="360" w:lineRule="auto"/>
        <w:rPr>
          <w:rFonts w:ascii="Arial" w:eastAsia="Times New Roman" w:hAnsi="Arial" w:cs="Arial"/>
          <w:lang w:eastAsia="en-GB"/>
        </w:rPr>
      </w:pPr>
      <w:r w:rsidRPr="006B6D70">
        <w:rPr>
          <w:rFonts w:ascii="Arial" w:eastAsia="Times New Roman" w:hAnsi="Arial" w:cs="Arial"/>
          <w:lang w:eastAsia="en-GB"/>
        </w:rPr>
        <w:t xml:space="preserve">In older adults, attachment behaviours influence how residents interact with peers, staff, and family members, as well as how they respond to loss or illness. For example, residents with secure attachments are more likely to seek help when needed, participate in social activities, and maintain a sense of autonomy. Recognising these attachment patterns allows </w:t>
      </w:r>
      <w:r w:rsidRPr="006B6D70">
        <w:rPr>
          <w:rFonts w:ascii="Arial" w:eastAsia="Times New Roman" w:hAnsi="Arial" w:cs="Arial"/>
          <w:lang w:eastAsia="en-GB"/>
        </w:rPr>
        <w:lastRenderedPageBreak/>
        <w:t>professionals to tailor interventions that reduce distress, enhance engagement, and foster emotional wellbeing. Key strategies include consistent caregiving, sensitive communication, and structured opportunities for meaningful social interaction (Feeney and Noller, 1996). Such approaches not only support emotional stability but also contribute to a sense of safety, trust, and belonging within the care home environment.</w:t>
      </w:r>
    </w:p>
    <w:p w14:paraId="4B94B8EC" w14:textId="77777777" w:rsidR="00E13311" w:rsidRPr="00CA5F42" w:rsidRDefault="00E13311" w:rsidP="00CA5F42">
      <w:pPr>
        <w:spacing w:after="0" w:line="360" w:lineRule="auto"/>
        <w:rPr>
          <w:rFonts w:ascii="Arial" w:eastAsia="Times New Roman" w:hAnsi="Arial" w:cs="Arial"/>
          <w:lang w:eastAsia="en-GB"/>
        </w:rPr>
      </w:pPr>
    </w:p>
    <w:p w14:paraId="3B0A3176" w14:textId="4E2BB641" w:rsidR="00E13311" w:rsidRPr="00CA659C" w:rsidRDefault="00EA084E" w:rsidP="00CA5F42">
      <w:pPr>
        <w:spacing w:after="0" w:line="360" w:lineRule="auto"/>
        <w:rPr>
          <w:rFonts w:ascii="Arial" w:eastAsia="Times New Roman" w:hAnsi="Arial" w:cs="Arial"/>
          <w:b/>
          <w:bCs/>
          <w:sz w:val="28"/>
          <w:szCs w:val="28"/>
          <w:lang w:eastAsia="en-GB"/>
        </w:rPr>
      </w:pPr>
      <w:r>
        <w:rPr>
          <w:rFonts w:ascii="Arial" w:hAnsi="Arial" w:cs="Arial"/>
          <w:b/>
          <w:bCs/>
          <w:sz w:val="28"/>
          <w:szCs w:val="28"/>
        </w:rPr>
        <w:t>3.</w:t>
      </w:r>
      <w:r w:rsidR="00C66310">
        <w:rPr>
          <w:rFonts w:ascii="Arial" w:hAnsi="Arial" w:cs="Arial"/>
          <w:b/>
          <w:bCs/>
          <w:sz w:val="28"/>
          <w:szCs w:val="28"/>
        </w:rPr>
        <w:t xml:space="preserve"> </w:t>
      </w:r>
      <w:r w:rsidR="00373FA4" w:rsidRPr="00CA659C">
        <w:rPr>
          <w:rFonts w:ascii="Arial" w:hAnsi="Arial" w:cs="Arial"/>
          <w:b/>
          <w:bCs/>
          <w:sz w:val="28"/>
          <w:szCs w:val="28"/>
        </w:rPr>
        <w:t>Real-Life Application</w:t>
      </w:r>
      <w:r w:rsidR="00CA659C" w:rsidRPr="00CA659C">
        <w:rPr>
          <w:rFonts w:ascii="Arial" w:hAnsi="Arial" w:cs="Arial"/>
          <w:b/>
          <w:bCs/>
          <w:sz w:val="28"/>
          <w:szCs w:val="28"/>
        </w:rPr>
        <w:t>: Case Study</w:t>
      </w:r>
    </w:p>
    <w:p w14:paraId="3289A6AB" w14:textId="3241FB22" w:rsidR="00AA42E2" w:rsidRPr="00CA5F42" w:rsidRDefault="00AA42E2" w:rsidP="00CA5F42">
      <w:pPr>
        <w:pStyle w:val="NormalWeb"/>
        <w:spacing w:line="360" w:lineRule="auto"/>
        <w:rPr>
          <w:rFonts w:ascii="Arial" w:hAnsi="Arial" w:cs="Arial"/>
          <w:sz w:val="22"/>
          <w:szCs w:val="22"/>
        </w:rPr>
      </w:pPr>
      <w:r w:rsidRPr="00CA5F42">
        <w:rPr>
          <w:rFonts w:ascii="Arial" w:hAnsi="Arial" w:cs="Arial"/>
          <w:sz w:val="22"/>
          <w:szCs w:val="22"/>
        </w:rPr>
        <w:t>Mr.</w:t>
      </w:r>
      <w:r w:rsidR="00ED64F1">
        <w:rPr>
          <w:rFonts w:ascii="Arial" w:hAnsi="Arial" w:cs="Arial"/>
          <w:sz w:val="22"/>
          <w:szCs w:val="22"/>
        </w:rPr>
        <w:t xml:space="preserve"> Jonathan</w:t>
      </w:r>
      <w:r w:rsidRPr="00CA5F42">
        <w:rPr>
          <w:rFonts w:ascii="Arial" w:hAnsi="Arial" w:cs="Arial"/>
          <w:sz w:val="22"/>
          <w:szCs w:val="22"/>
        </w:rPr>
        <w:t>, a 78-year-old resident in a care home, has recently been diagnosed with early-stage dementia. He often becomes anxious during daily routines, frequently refuses meals, and shows reluctance to participate in social activities. Staff noticed he struggles to trust new caregivers and becomes agitated when routines change.</w:t>
      </w:r>
    </w:p>
    <w:p w14:paraId="65CBCC01" w14:textId="77777777" w:rsidR="00AA42E2" w:rsidRPr="00CA5F42" w:rsidRDefault="00AA42E2" w:rsidP="00CA5F42">
      <w:pPr>
        <w:pStyle w:val="NormalWeb"/>
        <w:spacing w:line="360" w:lineRule="auto"/>
        <w:rPr>
          <w:rFonts w:ascii="Arial" w:hAnsi="Arial" w:cs="Arial"/>
          <w:sz w:val="22"/>
          <w:szCs w:val="22"/>
        </w:rPr>
      </w:pPr>
      <w:r w:rsidRPr="00CA5F42">
        <w:rPr>
          <w:rFonts w:ascii="Arial" w:hAnsi="Arial" w:cs="Arial"/>
          <w:sz w:val="22"/>
          <w:szCs w:val="22"/>
        </w:rPr>
        <w:t>Applying attachment-informed care, staff assign a key worker to Mr. J to provide consistency and build a trusting relationship. They establish a predictable daily routine, use calm and reassuring communication, and encourage participation in small-group activities that involve familiar residents. Over several weeks, Mr. J begins to engage more in meals and social sessions, expresses his needs clearly, and demonstrates reduced anxiety.</w:t>
      </w:r>
    </w:p>
    <w:p w14:paraId="565E330E" w14:textId="77777777" w:rsidR="00AA42E2" w:rsidRPr="00CA5F42" w:rsidRDefault="00AA42E2" w:rsidP="00CA5F42">
      <w:pPr>
        <w:pStyle w:val="NormalWeb"/>
        <w:spacing w:line="360" w:lineRule="auto"/>
        <w:rPr>
          <w:rFonts w:ascii="Arial" w:hAnsi="Arial" w:cs="Arial"/>
          <w:sz w:val="22"/>
          <w:szCs w:val="22"/>
        </w:rPr>
      </w:pPr>
      <w:r w:rsidRPr="00CA5F42">
        <w:rPr>
          <w:rFonts w:ascii="Arial" w:hAnsi="Arial" w:cs="Arial"/>
          <w:sz w:val="22"/>
          <w:szCs w:val="22"/>
        </w:rPr>
        <w:t>This example illustrates how recognising and responding to attachment needs can improve psychological wellbeing, reduce distress, and foster a sense of security. It also demonstrates the practical importance of continuity, personalised care, and emotional attunement in promoting wellbeing among older adults, particularly those experiencing cognitive decline (Bowlby, 2005; Mikulincer and Shaver, 2007)</w:t>
      </w:r>
    </w:p>
    <w:p w14:paraId="707341B7" w14:textId="77777777" w:rsidR="00AA42E2" w:rsidRPr="00D63F3C" w:rsidRDefault="00AA42E2" w:rsidP="00CA5F42">
      <w:pPr>
        <w:spacing w:after="0" w:line="360" w:lineRule="auto"/>
        <w:rPr>
          <w:rFonts w:ascii="Arial" w:eastAsia="Times New Roman" w:hAnsi="Arial" w:cs="Arial"/>
          <w:sz w:val="28"/>
          <w:szCs w:val="28"/>
          <w:lang w:eastAsia="en-GB"/>
        </w:rPr>
      </w:pPr>
    </w:p>
    <w:p w14:paraId="49E60C3C" w14:textId="2CD7D1EE" w:rsidR="006B6D70" w:rsidRPr="006B6D70" w:rsidRDefault="00C66310" w:rsidP="00CA5F42">
      <w:pPr>
        <w:spacing w:after="0" w:line="360" w:lineRule="auto"/>
        <w:rPr>
          <w:rFonts w:ascii="Arial" w:eastAsia="Times New Roman" w:hAnsi="Arial" w:cs="Arial"/>
          <w:sz w:val="28"/>
          <w:szCs w:val="28"/>
          <w:lang w:eastAsia="en-GB"/>
        </w:rPr>
      </w:pPr>
      <w:r>
        <w:rPr>
          <w:rFonts w:ascii="Arial" w:eastAsia="Times New Roman" w:hAnsi="Arial" w:cs="Arial"/>
          <w:b/>
          <w:bCs/>
          <w:sz w:val="28"/>
          <w:szCs w:val="28"/>
          <w:lang w:eastAsia="en-GB"/>
        </w:rPr>
        <w:t xml:space="preserve">4. </w:t>
      </w:r>
      <w:r w:rsidR="006B6D70" w:rsidRPr="006B6D70">
        <w:rPr>
          <w:rFonts w:ascii="Arial" w:eastAsia="Times New Roman" w:hAnsi="Arial" w:cs="Arial"/>
          <w:b/>
          <w:bCs/>
          <w:sz w:val="28"/>
          <w:szCs w:val="28"/>
          <w:lang w:eastAsia="en-GB"/>
        </w:rPr>
        <w:t>Challenge in Applying Attachment Theory</w:t>
      </w:r>
    </w:p>
    <w:p w14:paraId="19702C72" w14:textId="77777777" w:rsidR="006B6D70" w:rsidRPr="006B6D70" w:rsidRDefault="006B6D70" w:rsidP="00CA5F42">
      <w:pPr>
        <w:spacing w:before="100" w:beforeAutospacing="1" w:after="100" w:afterAutospacing="1" w:line="360" w:lineRule="auto"/>
        <w:rPr>
          <w:rFonts w:ascii="Arial" w:eastAsia="Times New Roman" w:hAnsi="Arial" w:cs="Arial"/>
          <w:lang w:eastAsia="en-GB"/>
        </w:rPr>
      </w:pPr>
      <w:r w:rsidRPr="006B6D70">
        <w:rPr>
          <w:rFonts w:ascii="Arial" w:eastAsia="Times New Roman" w:hAnsi="Arial" w:cs="Arial"/>
          <w:lang w:eastAsia="en-GB"/>
        </w:rPr>
        <w:t>A significant challenge in residential care is balancing residents’ emotional needs with organisational constraints, including staff shortages, high turnover, and competing demands. These factors can limit the provision of consistent and personalised care, which is essential for fostering secure attachments and maintaining trust (Feeney and Noller, 1996). Without stability in caregiving relationships, residents may experience increased anxiety, withdrawal, and difficulty forming positive connections, undermining the potential benefits of attachment-informed interventions.</w:t>
      </w:r>
    </w:p>
    <w:p w14:paraId="7F65D24C" w14:textId="50C08CDE" w:rsidR="006B6D70" w:rsidRPr="006B6D70" w:rsidRDefault="00C66310" w:rsidP="00CA5F42">
      <w:pPr>
        <w:spacing w:before="100" w:beforeAutospacing="1" w:after="100" w:afterAutospacing="1" w:line="360" w:lineRule="auto"/>
        <w:rPr>
          <w:rFonts w:ascii="Arial" w:eastAsia="Times New Roman" w:hAnsi="Arial" w:cs="Arial"/>
          <w:lang w:eastAsia="en-GB"/>
        </w:rPr>
      </w:pPr>
      <w:r>
        <w:rPr>
          <w:rFonts w:ascii="Arial" w:eastAsia="Times New Roman" w:hAnsi="Arial" w:cs="Arial"/>
          <w:b/>
          <w:bCs/>
          <w:sz w:val="28"/>
          <w:szCs w:val="28"/>
          <w:lang w:eastAsia="en-GB"/>
        </w:rPr>
        <w:lastRenderedPageBreak/>
        <w:t xml:space="preserve">5. </w:t>
      </w:r>
      <w:r w:rsidR="006B6D70" w:rsidRPr="006B6D70">
        <w:rPr>
          <w:rFonts w:ascii="Arial" w:eastAsia="Times New Roman" w:hAnsi="Arial" w:cs="Arial"/>
          <w:b/>
          <w:bCs/>
          <w:sz w:val="28"/>
          <w:szCs w:val="28"/>
          <w:lang w:eastAsia="en-GB"/>
        </w:rPr>
        <w:t>Strategy to Overcome the Challenge:</w:t>
      </w:r>
      <w:r w:rsidR="006B6D70" w:rsidRPr="006B6D70">
        <w:rPr>
          <w:rFonts w:ascii="Arial" w:eastAsia="Times New Roman" w:hAnsi="Arial" w:cs="Arial"/>
          <w:lang w:eastAsia="en-GB"/>
        </w:rPr>
        <w:br/>
        <w:t xml:space="preserve">One practical strategy is the implementation of a </w:t>
      </w:r>
      <w:r w:rsidR="006B6D70" w:rsidRPr="00B828B1">
        <w:rPr>
          <w:rFonts w:ascii="Arial" w:eastAsia="Times New Roman" w:hAnsi="Arial" w:cs="Arial"/>
          <w:lang w:eastAsia="en-GB"/>
        </w:rPr>
        <w:t>key worker system</w:t>
      </w:r>
      <w:r w:rsidR="006B6D70" w:rsidRPr="006B6D70">
        <w:rPr>
          <w:rFonts w:ascii="Arial" w:eastAsia="Times New Roman" w:hAnsi="Arial" w:cs="Arial"/>
          <w:lang w:eastAsia="en-GB"/>
        </w:rPr>
        <w:t xml:space="preserve">, in which specific staff members are assigned to </w:t>
      </w:r>
      <w:r w:rsidR="00677D10" w:rsidRPr="006B6D70">
        <w:rPr>
          <w:rFonts w:ascii="Arial" w:eastAsia="Times New Roman" w:hAnsi="Arial" w:cs="Arial"/>
          <w:lang w:eastAsia="en-GB"/>
        </w:rPr>
        <w:t>residents</w:t>
      </w:r>
      <w:r w:rsidR="006B6D70" w:rsidRPr="006B6D70">
        <w:rPr>
          <w:rFonts w:ascii="Arial" w:eastAsia="Times New Roman" w:hAnsi="Arial" w:cs="Arial"/>
          <w:lang w:eastAsia="en-GB"/>
        </w:rPr>
        <w:t>. This approach promotes continuity, enables staff to better understand residents’ attachment patterns, and allows for the development of trusting, supportive relationships. Additionally, providing staff with targeted training in attachment-informed care and effective communication strategies strengthens the overall care environment, even in the presence of organisational pressures (Bowlby, 2005). Regular supervision and reflective practice can further support staff in maintaining emotionally sensitive care.</w:t>
      </w:r>
    </w:p>
    <w:p w14:paraId="46185C5A" w14:textId="77777777" w:rsidR="00E13311" w:rsidRPr="00CA5F42" w:rsidRDefault="00E13311" w:rsidP="00CA5F42">
      <w:pPr>
        <w:spacing w:after="0" w:line="360" w:lineRule="auto"/>
        <w:rPr>
          <w:rFonts w:ascii="Arial" w:eastAsia="Times New Roman" w:hAnsi="Arial" w:cs="Arial"/>
          <w:lang w:eastAsia="en-GB"/>
        </w:rPr>
      </w:pPr>
    </w:p>
    <w:p w14:paraId="74708264" w14:textId="70525DA1" w:rsidR="006B6D70" w:rsidRPr="00D63F3C" w:rsidRDefault="00EA3246" w:rsidP="00CA5F42">
      <w:pPr>
        <w:spacing w:after="0" w:line="360" w:lineRule="auto"/>
        <w:rPr>
          <w:rFonts w:ascii="Arial" w:eastAsia="Times New Roman" w:hAnsi="Arial" w:cs="Arial"/>
          <w:b/>
          <w:bCs/>
          <w:sz w:val="28"/>
          <w:szCs w:val="28"/>
          <w:lang w:eastAsia="en-GB"/>
        </w:rPr>
      </w:pPr>
      <w:r>
        <w:rPr>
          <w:rFonts w:ascii="Arial" w:eastAsia="Times New Roman" w:hAnsi="Arial" w:cs="Arial"/>
          <w:b/>
          <w:bCs/>
          <w:sz w:val="28"/>
          <w:szCs w:val="28"/>
          <w:lang w:eastAsia="en-GB"/>
        </w:rPr>
        <w:t xml:space="preserve">6. </w:t>
      </w:r>
      <w:r w:rsidR="006B6D70" w:rsidRPr="006B6D70">
        <w:rPr>
          <w:rFonts w:ascii="Arial" w:eastAsia="Times New Roman" w:hAnsi="Arial" w:cs="Arial"/>
          <w:b/>
          <w:bCs/>
          <w:sz w:val="28"/>
          <w:szCs w:val="28"/>
          <w:lang w:eastAsia="en-GB"/>
        </w:rPr>
        <w:t>Conclusion</w:t>
      </w:r>
    </w:p>
    <w:p w14:paraId="70C5B490" w14:textId="348BBEF9" w:rsidR="002E3833" w:rsidRPr="006B6D70" w:rsidRDefault="002E3833" w:rsidP="00CA5F42">
      <w:pPr>
        <w:spacing w:after="0" w:line="360" w:lineRule="auto"/>
        <w:rPr>
          <w:rFonts w:ascii="Arial" w:eastAsia="Times New Roman" w:hAnsi="Arial" w:cs="Arial"/>
          <w:lang w:eastAsia="en-GB"/>
        </w:rPr>
      </w:pPr>
      <w:r w:rsidRPr="00CA5F42">
        <w:rPr>
          <w:rFonts w:ascii="Arial" w:hAnsi="Arial" w:cs="Arial"/>
        </w:rPr>
        <w:t>Attachment theory provides a strong framework for understanding the emotional and social needs of older adults in residential care. Applying attachment-informed principles can enhance wellbeing, promote social engagement, and reduce distress. Strategies such as consistent caregiving, key worker systems, and structured emotional support help residents experience trust, safety, and belonging, even in constrained settings. Despite challenges like staffing limitations, training and structured approaches enable staff to meet attachment needs effectively, demonstrating the ongoing relevance of Bowlby’s theory in health and social care practice (Mikulincer and Shaver, 2007; Feeney and Noller, 1996).</w:t>
      </w:r>
    </w:p>
    <w:p w14:paraId="1C553085" w14:textId="77777777" w:rsidR="002E6C24" w:rsidRPr="00CA5F42" w:rsidRDefault="002E6C24" w:rsidP="00CA5F42">
      <w:pPr>
        <w:spacing w:after="0" w:line="360" w:lineRule="auto"/>
        <w:rPr>
          <w:rFonts w:ascii="Arial" w:eastAsia="Times New Roman" w:hAnsi="Arial" w:cs="Arial"/>
          <w:lang w:eastAsia="en-GB"/>
        </w:rPr>
      </w:pPr>
    </w:p>
    <w:p w14:paraId="45603AD3" w14:textId="77777777" w:rsidR="002E6C24" w:rsidRDefault="002E6C24" w:rsidP="002E6C24">
      <w:pPr>
        <w:spacing w:after="0" w:line="240" w:lineRule="auto"/>
        <w:rPr>
          <w:rFonts w:ascii="Times New Roman" w:eastAsia="Times New Roman" w:hAnsi="Times New Roman" w:cs="Times New Roman"/>
          <w:sz w:val="24"/>
          <w:szCs w:val="24"/>
          <w:lang w:eastAsia="en-GB"/>
        </w:rPr>
      </w:pPr>
    </w:p>
    <w:p w14:paraId="6017772E" w14:textId="77777777" w:rsidR="002E6C24" w:rsidRDefault="002E6C24" w:rsidP="002E6C24">
      <w:pPr>
        <w:spacing w:after="0" w:line="240" w:lineRule="auto"/>
        <w:rPr>
          <w:rFonts w:ascii="Times New Roman" w:eastAsia="Times New Roman" w:hAnsi="Times New Roman" w:cs="Times New Roman"/>
          <w:sz w:val="24"/>
          <w:szCs w:val="24"/>
          <w:lang w:eastAsia="en-GB"/>
        </w:rPr>
      </w:pPr>
    </w:p>
    <w:p w14:paraId="19D63FCE" w14:textId="77777777" w:rsidR="002E6C24" w:rsidRDefault="002E6C24" w:rsidP="002E6C24">
      <w:pPr>
        <w:spacing w:after="0" w:line="240" w:lineRule="auto"/>
        <w:rPr>
          <w:rFonts w:ascii="Times New Roman" w:eastAsia="Times New Roman" w:hAnsi="Times New Roman" w:cs="Times New Roman"/>
          <w:sz w:val="24"/>
          <w:szCs w:val="24"/>
          <w:lang w:eastAsia="en-GB"/>
        </w:rPr>
      </w:pPr>
    </w:p>
    <w:p w14:paraId="1223208A" w14:textId="32DCBE12" w:rsidR="006B6D70" w:rsidRPr="006B6D70" w:rsidRDefault="00EA3246" w:rsidP="002E6C24">
      <w:pPr>
        <w:spacing w:after="0" w:line="240" w:lineRule="auto"/>
        <w:rPr>
          <w:rFonts w:ascii="Arial" w:eastAsia="Times New Roman" w:hAnsi="Arial" w:cs="Arial"/>
          <w:sz w:val="28"/>
          <w:szCs w:val="28"/>
          <w:lang w:eastAsia="en-GB"/>
        </w:rPr>
      </w:pPr>
      <w:r w:rsidRPr="00EA3246">
        <w:rPr>
          <w:rFonts w:ascii="Arial" w:eastAsia="Times New Roman" w:hAnsi="Arial" w:cs="Arial"/>
          <w:b/>
          <w:bCs/>
          <w:sz w:val="28"/>
          <w:szCs w:val="28"/>
          <w:lang w:eastAsia="en-GB"/>
        </w:rPr>
        <w:t xml:space="preserve">7. </w:t>
      </w:r>
      <w:r w:rsidR="006B6D70" w:rsidRPr="006B6D70">
        <w:rPr>
          <w:rFonts w:ascii="Arial" w:eastAsia="Times New Roman" w:hAnsi="Arial" w:cs="Arial"/>
          <w:b/>
          <w:bCs/>
          <w:sz w:val="28"/>
          <w:szCs w:val="28"/>
          <w:lang w:eastAsia="en-GB"/>
        </w:rPr>
        <w:t>References</w:t>
      </w:r>
    </w:p>
    <w:p w14:paraId="68A4032E" w14:textId="1A15BA72" w:rsidR="006B6D70" w:rsidRPr="006B6D70" w:rsidRDefault="006B6D70" w:rsidP="006B6D70">
      <w:pPr>
        <w:spacing w:before="100" w:beforeAutospacing="1" w:after="100" w:afterAutospacing="1" w:line="240" w:lineRule="auto"/>
        <w:rPr>
          <w:rFonts w:ascii="Times New Roman" w:eastAsia="Times New Roman" w:hAnsi="Times New Roman" w:cs="Times New Roman"/>
          <w:sz w:val="24"/>
          <w:szCs w:val="24"/>
          <w:lang w:eastAsia="en-GB"/>
        </w:rPr>
      </w:pPr>
      <w:r w:rsidRPr="006B6D70">
        <w:rPr>
          <w:rFonts w:ascii="Times New Roman" w:eastAsia="Times New Roman" w:hAnsi="Times New Roman" w:cs="Times New Roman"/>
          <w:sz w:val="24"/>
          <w:szCs w:val="24"/>
          <w:lang w:eastAsia="en-GB"/>
        </w:rPr>
        <w:t xml:space="preserve">Bowlby, J. (2005) </w:t>
      </w:r>
      <w:r w:rsidRPr="006B6D70">
        <w:rPr>
          <w:rFonts w:ascii="Times New Roman" w:eastAsia="Times New Roman" w:hAnsi="Times New Roman" w:cs="Times New Roman"/>
          <w:i/>
          <w:iCs/>
          <w:sz w:val="24"/>
          <w:szCs w:val="24"/>
          <w:lang w:eastAsia="en-GB"/>
        </w:rPr>
        <w:t>Clinical applications of attachment theory</w:t>
      </w:r>
      <w:r w:rsidRPr="006B6D70">
        <w:rPr>
          <w:rFonts w:ascii="Times New Roman" w:eastAsia="Times New Roman" w:hAnsi="Times New Roman" w:cs="Times New Roman"/>
          <w:sz w:val="24"/>
          <w:szCs w:val="24"/>
          <w:lang w:eastAsia="en-GB"/>
        </w:rPr>
        <w:t xml:space="preserve">. In: </w:t>
      </w:r>
      <w:r w:rsidRPr="006B6D70">
        <w:rPr>
          <w:rFonts w:ascii="Times New Roman" w:eastAsia="Times New Roman" w:hAnsi="Times New Roman" w:cs="Times New Roman"/>
          <w:i/>
          <w:iCs/>
          <w:sz w:val="24"/>
          <w:szCs w:val="24"/>
          <w:lang w:eastAsia="en-GB"/>
        </w:rPr>
        <w:t>A secure base</w:t>
      </w:r>
      <w:r w:rsidRPr="006B6D70">
        <w:rPr>
          <w:rFonts w:ascii="Times New Roman" w:eastAsia="Times New Roman" w:hAnsi="Times New Roman" w:cs="Times New Roman"/>
          <w:sz w:val="24"/>
          <w:szCs w:val="24"/>
          <w:lang w:eastAsia="en-GB"/>
        </w:rPr>
        <w:t>. London: Routledge</w:t>
      </w:r>
      <w:r w:rsidR="0000249D">
        <w:rPr>
          <w:rFonts w:ascii="Times New Roman" w:eastAsia="Times New Roman" w:hAnsi="Times New Roman" w:cs="Times New Roman"/>
          <w:sz w:val="24"/>
          <w:szCs w:val="24"/>
          <w:lang w:eastAsia="en-GB"/>
        </w:rPr>
        <w:t>.</w:t>
      </w:r>
    </w:p>
    <w:p w14:paraId="771AECA0" w14:textId="0ED7A5E7" w:rsidR="006B6D70" w:rsidRPr="006B6D70" w:rsidRDefault="006B6D70" w:rsidP="006B6D70">
      <w:pPr>
        <w:spacing w:before="100" w:beforeAutospacing="1" w:after="100" w:afterAutospacing="1" w:line="240" w:lineRule="auto"/>
        <w:rPr>
          <w:rFonts w:ascii="Times New Roman" w:eastAsia="Times New Roman" w:hAnsi="Times New Roman" w:cs="Times New Roman"/>
          <w:sz w:val="24"/>
          <w:szCs w:val="24"/>
          <w:lang w:eastAsia="en-GB"/>
        </w:rPr>
      </w:pPr>
      <w:r w:rsidRPr="006B6D70">
        <w:rPr>
          <w:rFonts w:ascii="Times New Roman" w:eastAsia="Times New Roman" w:hAnsi="Times New Roman" w:cs="Times New Roman"/>
          <w:sz w:val="24"/>
          <w:szCs w:val="24"/>
          <w:lang w:eastAsia="en-GB"/>
        </w:rPr>
        <w:t xml:space="preserve">Feeney, J.A. and Noller, P. (1996) ‘Adult attachment and social support’, </w:t>
      </w:r>
      <w:r w:rsidRPr="006B6D70">
        <w:rPr>
          <w:rFonts w:ascii="Times New Roman" w:eastAsia="Times New Roman" w:hAnsi="Times New Roman" w:cs="Times New Roman"/>
          <w:i/>
          <w:iCs/>
          <w:sz w:val="24"/>
          <w:szCs w:val="24"/>
          <w:lang w:eastAsia="en-GB"/>
        </w:rPr>
        <w:t>Journal of Personality and Social Psychology</w:t>
      </w:r>
      <w:r w:rsidR="002B32C0">
        <w:rPr>
          <w:rFonts w:ascii="Times New Roman" w:eastAsia="Times New Roman" w:hAnsi="Times New Roman" w:cs="Times New Roman"/>
          <w:sz w:val="24"/>
          <w:szCs w:val="24"/>
          <w:lang w:eastAsia="en-GB"/>
        </w:rPr>
        <w:t>.</w:t>
      </w:r>
    </w:p>
    <w:p w14:paraId="67FB251B" w14:textId="2F041707" w:rsidR="006B6D70" w:rsidRPr="006B6D70" w:rsidRDefault="006B6D70" w:rsidP="006B6D70">
      <w:pPr>
        <w:spacing w:before="100" w:beforeAutospacing="1" w:after="100" w:afterAutospacing="1" w:line="240" w:lineRule="auto"/>
        <w:rPr>
          <w:rFonts w:ascii="Times New Roman" w:eastAsia="Times New Roman" w:hAnsi="Times New Roman" w:cs="Times New Roman"/>
          <w:sz w:val="24"/>
          <w:szCs w:val="24"/>
          <w:lang w:eastAsia="en-GB"/>
        </w:rPr>
      </w:pPr>
      <w:r w:rsidRPr="006B6D70">
        <w:rPr>
          <w:rFonts w:ascii="Times New Roman" w:eastAsia="Times New Roman" w:hAnsi="Times New Roman" w:cs="Times New Roman"/>
          <w:sz w:val="24"/>
          <w:szCs w:val="24"/>
          <w:lang w:eastAsia="en-GB"/>
        </w:rPr>
        <w:t xml:space="preserve">Mikulincer, M. and Shaver, P.R. (2007) </w:t>
      </w:r>
      <w:r w:rsidRPr="006B6D70">
        <w:rPr>
          <w:rFonts w:ascii="Times New Roman" w:eastAsia="Times New Roman" w:hAnsi="Times New Roman" w:cs="Times New Roman"/>
          <w:i/>
          <w:iCs/>
          <w:sz w:val="24"/>
          <w:szCs w:val="24"/>
          <w:lang w:eastAsia="en-GB"/>
        </w:rPr>
        <w:t xml:space="preserve">Attachment in adulthood: Structure, dynamics, and </w:t>
      </w:r>
      <w:r w:rsidR="00D37601">
        <w:rPr>
          <w:rFonts w:ascii="Times New Roman" w:eastAsia="Times New Roman" w:hAnsi="Times New Roman" w:cs="Times New Roman"/>
          <w:i/>
          <w:iCs/>
          <w:sz w:val="24"/>
          <w:szCs w:val="24"/>
          <w:lang w:eastAsia="en-GB"/>
        </w:rPr>
        <w:t xml:space="preserve">change. </w:t>
      </w:r>
      <w:r w:rsidR="00D37601" w:rsidRPr="00D37601">
        <w:rPr>
          <w:rFonts w:ascii="Times New Roman" w:eastAsia="Times New Roman" w:hAnsi="Times New Roman" w:cs="Times New Roman"/>
          <w:sz w:val="24"/>
          <w:szCs w:val="24"/>
          <w:lang w:eastAsia="en-GB"/>
        </w:rPr>
        <w:t>New York, Guildford Press.</w:t>
      </w:r>
    </w:p>
    <w:p w14:paraId="28CB6782" w14:textId="77777777" w:rsidR="006B6D70" w:rsidRPr="006B6D70" w:rsidRDefault="006B6D70" w:rsidP="006B6D70">
      <w:pPr>
        <w:pBdr>
          <w:bottom w:val="single" w:sz="6" w:space="1" w:color="auto"/>
        </w:pBdr>
        <w:spacing w:after="0" w:line="240" w:lineRule="auto"/>
        <w:jc w:val="center"/>
        <w:rPr>
          <w:rFonts w:ascii="Arial" w:eastAsia="Times New Roman" w:hAnsi="Arial" w:cs="Arial"/>
          <w:vanish/>
          <w:sz w:val="16"/>
          <w:szCs w:val="16"/>
          <w:lang w:eastAsia="en-GB"/>
        </w:rPr>
      </w:pPr>
      <w:r w:rsidRPr="006B6D70">
        <w:rPr>
          <w:rFonts w:ascii="Arial" w:eastAsia="Times New Roman" w:hAnsi="Arial" w:cs="Arial"/>
          <w:vanish/>
          <w:sz w:val="16"/>
          <w:szCs w:val="16"/>
          <w:lang w:eastAsia="en-GB"/>
        </w:rPr>
        <w:t>Top of Form</w:t>
      </w:r>
    </w:p>
    <w:p w14:paraId="1E4EB2E1" w14:textId="77777777" w:rsidR="006B6D70" w:rsidRPr="006B6D70" w:rsidRDefault="006B6D70" w:rsidP="006B6D70">
      <w:pPr>
        <w:pBdr>
          <w:top w:val="single" w:sz="6" w:space="1" w:color="auto"/>
        </w:pBdr>
        <w:spacing w:after="0" w:line="240" w:lineRule="auto"/>
        <w:jc w:val="center"/>
        <w:rPr>
          <w:rFonts w:ascii="Arial" w:eastAsia="Times New Roman" w:hAnsi="Arial" w:cs="Arial"/>
          <w:vanish/>
          <w:sz w:val="16"/>
          <w:szCs w:val="16"/>
          <w:lang w:eastAsia="en-GB"/>
        </w:rPr>
      </w:pPr>
      <w:r w:rsidRPr="006B6D70">
        <w:rPr>
          <w:rFonts w:ascii="Arial" w:eastAsia="Times New Roman" w:hAnsi="Arial" w:cs="Arial"/>
          <w:vanish/>
          <w:sz w:val="16"/>
          <w:szCs w:val="16"/>
          <w:lang w:eastAsia="en-GB"/>
        </w:rPr>
        <w:t>Bottom of Form</w:t>
      </w:r>
    </w:p>
    <w:p w14:paraId="7A14153E" w14:textId="08DC9054" w:rsidR="009B7BF5" w:rsidRPr="00D37601" w:rsidRDefault="009B7BF5" w:rsidP="00D37601">
      <w:pPr>
        <w:spacing w:after="0" w:line="240" w:lineRule="auto"/>
        <w:rPr>
          <w:rFonts w:ascii="Times New Roman" w:eastAsia="Times New Roman" w:hAnsi="Times New Roman" w:cs="Times New Roman"/>
          <w:sz w:val="24"/>
          <w:szCs w:val="24"/>
          <w:lang w:eastAsia="en-GB"/>
        </w:rPr>
      </w:pPr>
    </w:p>
    <w:p w14:paraId="166A804E" w14:textId="1D1039A7" w:rsidR="001B430E" w:rsidRPr="0045776E" w:rsidRDefault="001B430E" w:rsidP="009B7BF5">
      <w:pPr>
        <w:spacing w:before="100" w:beforeAutospacing="1" w:after="100" w:afterAutospacing="1" w:line="240" w:lineRule="auto"/>
        <w:rPr>
          <w:rFonts w:ascii="Times New Roman" w:eastAsia="Times New Roman" w:hAnsi="Times New Roman" w:cs="Times New Roman"/>
          <w:lang w:eastAsia="en-GB"/>
        </w:rPr>
      </w:pPr>
    </w:p>
    <w:sectPr w:rsidR="001B430E" w:rsidRPr="0045776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2F89A" w14:textId="77777777" w:rsidR="003238BD" w:rsidRDefault="003238BD" w:rsidP="0005574F">
      <w:pPr>
        <w:spacing w:after="0" w:line="240" w:lineRule="auto"/>
      </w:pPr>
      <w:r>
        <w:separator/>
      </w:r>
    </w:p>
  </w:endnote>
  <w:endnote w:type="continuationSeparator" w:id="0">
    <w:p w14:paraId="082D847C" w14:textId="77777777" w:rsidR="003238BD" w:rsidRDefault="003238BD" w:rsidP="00055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9495075"/>
      <w:docPartObj>
        <w:docPartGallery w:val="Page Numbers (Bottom of Page)"/>
        <w:docPartUnique/>
      </w:docPartObj>
    </w:sdtPr>
    <w:sdtEndPr/>
    <w:sdtContent>
      <w:p w14:paraId="43564A6C" w14:textId="70CE1CA6" w:rsidR="0005574F" w:rsidRDefault="0005574F">
        <w:pPr>
          <w:pStyle w:val="Footer"/>
          <w:jc w:val="center"/>
        </w:pPr>
        <w:r>
          <w:fldChar w:fldCharType="begin"/>
        </w:r>
        <w:r>
          <w:instrText>PAGE   \* MERGEFORMAT</w:instrText>
        </w:r>
        <w:r>
          <w:fldChar w:fldCharType="separate"/>
        </w:r>
        <w:r>
          <w:t>2</w:t>
        </w:r>
        <w:r>
          <w:fldChar w:fldCharType="end"/>
        </w:r>
      </w:p>
    </w:sdtContent>
  </w:sdt>
  <w:p w14:paraId="0F4CBEB6" w14:textId="77777777" w:rsidR="0005574F" w:rsidRDefault="000557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B10E4" w14:textId="77777777" w:rsidR="003238BD" w:rsidRDefault="003238BD" w:rsidP="0005574F">
      <w:pPr>
        <w:spacing w:after="0" w:line="240" w:lineRule="auto"/>
      </w:pPr>
      <w:r>
        <w:separator/>
      </w:r>
    </w:p>
  </w:footnote>
  <w:footnote w:type="continuationSeparator" w:id="0">
    <w:p w14:paraId="6B2F6442" w14:textId="77777777" w:rsidR="003238BD" w:rsidRDefault="003238BD" w:rsidP="000557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15763E"/>
    <w:multiLevelType w:val="hybridMultilevel"/>
    <w:tmpl w:val="F42CB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0542E1"/>
    <w:multiLevelType w:val="hybridMultilevel"/>
    <w:tmpl w:val="6EAAE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65525B"/>
    <w:multiLevelType w:val="hybridMultilevel"/>
    <w:tmpl w:val="15361F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5C2951"/>
    <w:multiLevelType w:val="hybridMultilevel"/>
    <w:tmpl w:val="080AA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336415"/>
    <w:multiLevelType w:val="multilevel"/>
    <w:tmpl w:val="664E4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5534C88"/>
    <w:multiLevelType w:val="hybridMultilevel"/>
    <w:tmpl w:val="D2CA4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E52437"/>
    <w:multiLevelType w:val="hybridMultilevel"/>
    <w:tmpl w:val="33280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6936111">
    <w:abstractNumId w:val="6"/>
  </w:num>
  <w:num w:numId="2" w16cid:durableId="912086239">
    <w:abstractNumId w:val="1"/>
  </w:num>
  <w:num w:numId="3" w16cid:durableId="1595475263">
    <w:abstractNumId w:val="3"/>
  </w:num>
  <w:num w:numId="4" w16cid:durableId="1482893560">
    <w:abstractNumId w:val="0"/>
  </w:num>
  <w:num w:numId="5" w16cid:durableId="1688097139">
    <w:abstractNumId w:val="4"/>
  </w:num>
  <w:num w:numId="6" w16cid:durableId="1027415774">
    <w:abstractNumId w:val="5"/>
  </w:num>
  <w:num w:numId="7" w16cid:durableId="4120514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BF5"/>
    <w:rsid w:val="0000249D"/>
    <w:rsid w:val="000430C6"/>
    <w:rsid w:val="0005574F"/>
    <w:rsid w:val="000A333B"/>
    <w:rsid w:val="000D264E"/>
    <w:rsid w:val="00144F7F"/>
    <w:rsid w:val="00171286"/>
    <w:rsid w:val="001B430E"/>
    <w:rsid w:val="001D39E6"/>
    <w:rsid w:val="002640F7"/>
    <w:rsid w:val="002B32C0"/>
    <w:rsid w:val="002E3833"/>
    <w:rsid w:val="002E6C24"/>
    <w:rsid w:val="00317F09"/>
    <w:rsid w:val="003238BD"/>
    <w:rsid w:val="00325E09"/>
    <w:rsid w:val="00373FA4"/>
    <w:rsid w:val="00382F63"/>
    <w:rsid w:val="003B71FC"/>
    <w:rsid w:val="003D1DF4"/>
    <w:rsid w:val="003E6852"/>
    <w:rsid w:val="00441EFF"/>
    <w:rsid w:val="00461DEA"/>
    <w:rsid w:val="004709AF"/>
    <w:rsid w:val="00493507"/>
    <w:rsid w:val="004A789D"/>
    <w:rsid w:val="004E3D9D"/>
    <w:rsid w:val="00535F00"/>
    <w:rsid w:val="00564C88"/>
    <w:rsid w:val="00572831"/>
    <w:rsid w:val="005C4E45"/>
    <w:rsid w:val="00617F7E"/>
    <w:rsid w:val="00620A9D"/>
    <w:rsid w:val="00644A4B"/>
    <w:rsid w:val="00677D10"/>
    <w:rsid w:val="00683A3D"/>
    <w:rsid w:val="00692181"/>
    <w:rsid w:val="006950E6"/>
    <w:rsid w:val="006B6D70"/>
    <w:rsid w:val="006F2EB9"/>
    <w:rsid w:val="006F74F3"/>
    <w:rsid w:val="00726F49"/>
    <w:rsid w:val="00781E94"/>
    <w:rsid w:val="007B7A5E"/>
    <w:rsid w:val="007D0464"/>
    <w:rsid w:val="007F2FCB"/>
    <w:rsid w:val="007F3584"/>
    <w:rsid w:val="00840BDB"/>
    <w:rsid w:val="00860B53"/>
    <w:rsid w:val="0089240B"/>
    <w:rsid w:val="008F49D8"/>
    <w:rsid w:val="00942CF1"/>
    <w:rsid w:val="00970158"/>
    <w:rsid w:val="009B1FFA"/>
    <w:rsid w:val="009B7BF5"/>
    <w:rsid w:val="009F1259"/>
    <w:rsid w:val="00A50334"/>
    <w:rsid w:val="00A659F0"/>
    <w:rsid w:val="00A74CCA"/>
    <w:rsid w:val="00AA42E2"/>
    <w:rsid w:val="00AE4CFE"/>
    <w:rsid w:val="00B06F21"/>
    <w:rsid w:val="00B1674A"/>
    <w:rsid w:val="00B16B7D"/>
    <w:rsid w:val="00B4410A"/>
    <w:rsid w:val="00B67EEC"/>
    <w:rsid w:val="00B828B1"/>
    <w:rsid w:val="00BD7C2E"/>
    <w:rsid w:val="00BE0B39"/>
    <w:rsid w:val="00C274AD"/>
    <w:rsid w:val="00C4591F"/>
    <w:rsid w:val="00C5738D"/>
    <w:rsid w:val="00C65561"/>
    <w:rsid w:val="00C66310"/>
    <w:rsid w:val="00CA292E"/>
    <w:rsid w:val="00CA5F42"/>
    <w:rsid w:val="00CA659C"/>
    <w:rsid w:val="00CB4C57"/>
    <w:rsid w:val="00CE3CD0"/>
    <w:rsid w:val="00CF5F01"/>
    <w:rsid w:val="00D37601"/>
    <w:rsid w:val="00D5352C"/>
    <w:rsid w:val="00D60650"/>
    <w:rsid w:val="00D63E9A"/>
    <w:rsid w:val="00D63F3C"/>
    <w:rsid w:val="00D84F33"/>
    <w:rsid w:val="00D959A2"/>
    <w:rsid w:val="00DB0F46"/>
    <w:rsid w:val="00DB2DF0"/>
    <w:rsid w:val="00E0061F"/>
    <w:rsid w:val="00E1282C"/>
    <w:rsid w:val="00E13311"/>
    <w:rsid w:val="00E301B2"/>
    <w:rsid w:val="00E31513"/>
    <w:rsid w:val="00E97CB0"/>
    <w:rsid w:val="00EA084E"/>
    <w:rsid w:val="00EA3246"/>
    <w:rsid w:val="00EA4B83"/>
    <w:rsid w:val="00EB0763"/>
    <w:rsid w:val="00EC170A"/>
    <w:rsid w:val="00ED5C39"/>
    <w:rsid w:val="00ED64F1"/>
    <w:rsid w:val="00F12441"/>
    <w:rsid w:val="00FA6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95AF0"/>
  <w15:chartTrackingRefBased/>
  <w15:docId w15:val="{8A6B6713-10D1-4427-987D-FB6CA5C87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BF5"/>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9B7B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7B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7B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7B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7B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7B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7B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7B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7B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B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7B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7B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7B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7B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7B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7B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7B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7BF5"/>
    <w:rPr>
      <w:rFonts w:eastAsiaTheme="majorEastAsia" w:cstheme="majorBidi"/>
      <w:color w:val="272727" w:themeColor="text1" w:themeTint="D8"/>
    </w:rPr>
  </w:style>
  <w:style w:type="paragraph" w:styleId="Title">
    <w:name w:val="Title"/>
    <w:basedOn w:val="Normal"/>
    <w:next w:val="Normal"/>
    <w:link w:val="TitleChar"/>
    <w:uiPriority w:val="10"/>
    <w:qFormat/>
    <w:rsid w:val="009B7B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B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7B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7B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7BF5"/>
    <w:pPr>
      <w:spacing w:before="160"/>
      <w:jc w:val="center"/>
    </w:pPr>
    <w:rPr>
      <w:i/>
      <w:iCs/>
      <w:color w:val="404040" w:themeColor="text1" w:themeTint="BF"/>
    </w:rPr>
  </w:style>
  <w:style w:type="character" w:customStyle="1" w:styleId="QuoteChar">
    <w:name w:val="Quote Char"/>
    <w:basedOn w:val="DefaultParagraphFont"/>
    <w:link w:val="Quote"/>
    <w:uiPriority w:val="29"/>
    <w:rsid w:val="009B7BF5"/>
    <w:rPr>
      <w:i/>
      <w:iCs/>
      <w:color w:val="404040" w:themeColor="text1" w:themeTint="BF"/>
    </w:rPr>
  </w:style>
  <w:style w:type="paragraph" w:styleId="ListParagraph">
    <w:name w:val="List Paragraph"/>
    <w:basedOn w:val="Normal"/>
    <w:uiPriority w:val="34"/>
    <w:qFormat/>
    <w:rsid w:val="009B7BF5"/>
    <w:pPr>
      <w:ind w:left="720"/>
      <w:contextualSpacing/>
    </w:pPr>
  </w:style>
  <w:style w:type="character" w:styleId="IntenseEmphasis">
    <w:name w:val="Intense Emphasis"/>
    <w:basedOn w:val="DefaultParagraphFont"/>
    <w:uiPriority w:val="21"/>
    <w:qFormat/>
    <w:rsid w:val="009B7BF5"/>
    <w:rPr>
      <w:i/>
      <w:iCs/>
      <w:color w:val="0F4761" w:themeColor="accent1" w:themeShade="BF"/>
    </w:rPr>
  </w:style>
  <w:style w:type="paragraph" w:styleId="IntenseQuote">
    <w:name w:val="Intense Quote"/>
    <w:basedOn w:val="Normal"/>
    <w:next w:val="Normal"/>
    <w:link w:val="IntenseQuoteChar"/>
    <w:uiPriority w:val="30"/>
    <w:qFormat/>
    <w:rsid w:val="009B7B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7BF5"/>
    <w:rPr>
      <w:i/>
      <w:iCs/>
      <w:color w:val="0F4761" w:themeColor="accent1" w:themeShade="BF"/>
    </w:rPr>
  </w:style>
  <w:style w:type="character" w:styleId="IntenseReference">
    <w:name w:val="Intense Reference"/>
    <w:basedOn w:val="DefaultParagraphFont"/>
    <w:uiPriority w:val="32"/>
    <w:qFormat/>
    <w:rsid w:val="009B7BF5"/>
    <w:rPr>
      <w:b/>
      <w:bCs/>
      <w:smallCaps/>
      <w:color w:val="0F4761" w:themeColor="accent1" w:themeShade="BF"/>
      <w:spacing w:val="5"/>
    </w:rPr>
  </w:style>
  <w:style w:type="character" w:customStyle="1" w:styleId="whitespace-normal">
    <w:name w:val="whitespace-normal"/>
    <w:basedOn w:val="DefaultParagraphFont"/>
    <w:rsid w:val="00781E94"/>
  </w:style>
  <w:style w:type="paragraph" w:styleId="NormalWeb">
    <w:name w:val="Normal (Web)"/>
    <w:basedOn w:val="Normal"/>
    <w:uiPriority w:val="99"/>
    <w:semiHidden/>
    <w:unhideWhenUsed/>
    <w:rsid w:val="00AA42E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557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74F"/>
    <w:rPr>
      <w:rFonts w:eastAsiaTheme="minorEastAsia"/>
      <w:kern w:val="0"/>
      <w:sz w:val="22"/>
      <w:szCs w:val="22"/>
      <w:lang w:eastAsia="zh-CN"/>
      <w14:ligatures w14:val="none"/>
    </w:rPr>
  </w:style>
  <w:style w:type="paragraph" w:styleId="Footer">
    <w:name w:val="footer"/>
    <w:basedOn w:val="Normal"/>
    <w:link w:val="FooterChar"/>
    <w:uiPriority w:val="99"/>
    <w:unhideWhenUsed/>
    <w:rsid w:val="000557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74F"/>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f507b952f1949231995f7c1a6a45a2b5">
  <xsd:schema xmlns:xsd="http://www.w3.org/2001/XMLSchema" xmlns:xs="http://www.w3.org/2001/XMLSchema" xmlns:p="http://schemas.microsoft.com/office/2006/metadata/properties" xmlns:ns3="04d956d8-1ffd-4dba-87ce-03f615e16f58" targetNamespace="http://schemas.microsoft.com/office/2006/metadata/properties" ma:root="true" ma:fieldsID="81f6a56a4168c2f81f517b155698ee28"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3836FC-6EDC-4930-81BA-600F791C4F7D}">
  <ds:schemaRefs>
    <ds:schemaRef ds:uri="http://schemas.microsoft.com/sharepoint/v3/contenttype/forms"/>
  </ds:schemaRefs>
</ds:datastoreItem>
</file>

<file path=customXml/itemProps2.xml><?xml version="1.0" encoding="utf-8"?>
<ds:datastoreItem xmlns:ds="http://schemas.openxmlformats.org/officeDocument/2006/customXml" ds:itemID="{27B059E7-F6E5-44C8-AF9C-41891785529E}">
  <ds:schemaRefs>
    <ds:schemaRef ds:uri="http://schemas.microsoft.com/office/2006/metadata/properties"/>
    <ds:schemaRef ds:uri="http://schemas.microsoft.com/office/infopath/2007/PartnerControls"/>
    <ds:schemaRef ds:uri="04d956d8-1ffd-4dba-87ce-03f615e16f58"/>
  </ds:schemaRefs>
</ds:datastoreItem>
</file>

<file path=customXml/itemProps3.xml><?xml version="1.0" encoding="utf-8"?>
<ds:datastoreItem xmlns:ds="http://schemas.openxmlformats.org/officeDocument/2006/customXml" ds:itemID="{20B4131B-E059-4514-A663-818AF185FE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2679</TotalTime>
  <Pages>8</Pages>
  <Words>1633</Words>
  <Characters>10827</Characters>
  <Application>Microsoft Office Word</Application>
  <DocSecurity>0</DocSecurity>
  <Lines>199</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 Ahmad (2434777)</dc:creator>
  <cp:keywords/>
  <dc:description/>
  <cp:lastModifiedBy>Shakil Ahmad (2434777)</cp:lastModifiedBy>
  <cp:revision>92</cp:revision>
  <dcterms:created xsi:type="dcterms:W3CDTF">2026-04-08T13:19:00Z</dcterms:created>
  <dcterms:modified xsi:type="dcterms:W3CDTF">2026-04-17T09:17:00Z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