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F315B" w14:textId="77777777" w:rsidR="00757E0C" w:rsidRDefault="00757E0C" w:rsidP="00757E0C">
      <w:pPr>
        <w:spacing w:before="212"/>
        <w:jc w:val="center"/>
        <w:rPr>
          <w:rFonts w:ascii="Arial"/>
          <w:b/>
          <w:sz w:val="56"/>
        </w:rPr>
      </w:pPr>
      <w:r>
        <w:rPr>
          <w:rFonts w:ascii="Arial"/>
          <w:b/>
          <w:noProof/>
          <w:sz w:val="56"/>
        </w:rPr>
        <w:drawing>
          <wp:inline distT="0" distB="0" distL="0" distR="0" wp14:anchorId="43EF28B7" wp14:editId="48F9CFE5">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02E53E23" w14:textId="77777777" w:rsidR="00757E0C" w:rsidRPr="0066224E" w:rsidRDefault="00757E0C" w:rsidP="00757E0C">
      <w:pPr>
        <w:spacing w:before="212"/>
        <w:jc w:val="center"/>
        <w:rPr>
          <w:rFonts w:ascii="Arial"/>
          <w:b/>
          <w:sz w:val="36"/>
          <w:szCs w:val="36"/>
        </w:rPr>
      </w:pPr>
    </w:p>
    <w:p w14:paraId="2F8D8288" w14:textId="77777777" w:rsidR="00757E0C" w:rsidRDefault="00757E0C" w:rsidP="00757E0C">
      <w:pPr>
        <w:spacing w:before="212"/>
        <w:rPr>
          <w:rFonts w:ascii="Arial"/>
          <w:b/>
          <w:sz w:val="56"/>
        </w:rPr>
      </w:pPr>
    </w:p>
    <w:p w14:paraId="62D56FA0" w14:textId="77777777" w:rsidR="00757E0C" w:rsidRDefault="00757E0C" w:rsidP="00757E0C">
      <w:pPr>
        <w:spacing w:before="212"/>
        <w:rPr>
          <w:rFonts w:ascii="Arial"/>
          <w:b/>
          <w:sz w:val="48"/>
          <w:szCs w:val="48"/>
        </w:rPr>
      </w:pPr>
      <w:r w:rsidRPr="00DD5969">
        <w:rPr>
          <w:rFonts w:ascii="Arial"/>
          <w:b/>
          <w:sz w:val="48"/>
          <w:szCs w:val="48"/>
        </w:rPr>
        <w:t>MODULE CODE:</w:t>
      </w:r>
      <w:r>
        <w:rPr>
          <w:rFonts w:ascii="Arial"/>
          <w:b/>
          <w:sz w:val="48"/>
          <w:szCs w:val="48"/>
        </w:rPr>
        <w:t xml:space="preserve"> ECDE7002</w:t>
      </w:r>
    </w:p>
    <w:p w14:paraId="31284443" w14:textId="77777777" w:rsidR="00757E0C" w:rsidRDefault="00757E0C" w:rsidP="00757E0C">
      <w:pPr>
        <w:spacing w:before="212"/>
        <w:rPr>
          <w:rFonts w:ascii="Arial"/>
          <w:b/>
          <w:sz w:val="48"/>
          <w:szCs w:val="48"/>
        </w:rPr>
      </w:pPr>
    </w:p>
    <w:p w14:paraId="70CF90D5" w14:textId="77777777" w:rsidR="00757E0C" w:rsidRPr="00DD5969" w:rsidRDefault="00757E0C" w:rsidP="00757E0C">
      <w:pPr>
        <w:spacing w:before="212"/>
        <w:rPr>
          <w:rFonts w:ascii="Arial"/>
          <w:b/>
          <w:sz w:val="48"/>
          <w:szCs w:val="48"/>
        </w:rPr>
      </w:pPr>
      <w:r>
        <w:rPr>
          <w:rFonts w:ascii="Arial"/>
          <w:b/>
          <w:sz w:val="48"/>
          <w:szCs w:val="48"/>
        </w:rPr>
        <w:t>ASSESSMENT COMPONENT: Assignment 2</w:t>
      </w:r>
    </w:p>
    <w:p w14:paraId="65F43B0E" w14:textId="77777777" w:rsidR="00757E0C" w:rsidRDefault="00757E0C" w:rsidP="00757E0C">
      <w:pPr>
        <w:spacing w:before="7"/>
        <w:jc w:val="center"/>
        <w:rPr>
          <w:rFonts w:ascii="Arial"/>
          <w:b/>
          <w:sz w:val="44"/>
        </w:rPr>
      </w:pPr>
    </w:p>
    <w:p w14:paraId="658A75B4" w14:textId="77777777" w:rsidR="00757E0C" w:rsidRPr="00DD5969" w:rsidRDefault="00757E0C" w:rsidP="00757E0C">
      <w:pPr>
        <w:spacing w:before="3"/>
        <w:rPr>
          <w:rFonts w:ascii="Arial"/>
          <w:b/>
          <w:sz w:val="48"/>
          <w:szCs w:val="48"/>
        </w:rPr>
      </w:pPr>
      <w:r w:rsidRPr="00DD5969">
        <w:rPr>
          <w:rFonts w:ascii="Arial"/>
          <w:b/>
          <w:sz w:val="48"/>
          <w:szCs w:val="48"/>
        </w:rPr>
        <w:t>STUDENT NAME:</w:t>
      </w:r>
      <w:r>
        <w:rPr>
          <w:rFonts w:ascii="Arial"/>
          <w:b/>
          <w:sz w:val="48"/>
          <w:szCs w:val="48"/>
        </w:rPr>
        <w:t xml:space="preserve"> Cai Pughsley</w:t>
      </w:r>
    </w:p>
    <w:p w14:paraId="0BD270A2" w14:textId="77777777" w:rsidR="00757E0C" w:rsidRPr="00DD5969" w:rsidRDefault="00757E0C" w:rsidP="00757E0C">
      <w:pPr>
        <w:spacing w:before="3"/>
        <w:rPr>
          <w:rFonts w:ascii="Arial"/>
          <w:b/>
          <w:sz w:val="48"/>
          <w:szCs w:val="48"/>
        </w:rPr>
      </w:pPr>
    </w:p>
    <w:p w14:paraId="23379C18" w14:textId="77777777" w:rsidR="00757E0C" w:rsidRPr="00DD5969" w:rsidRDefault="00757E0C" w:rsidP="00757E0C">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1706864</w:t>
      </w:r>
    </w:p>
    <w:p w14:paraId="63EDA8B7" w14:textId="77777777" w:rsidR="00757E0C" w:rsidRDefault="00757E0C" w:rsidP="00FA6468">
      <w:pPr>
        <w:rPr>
          <w:rFonts w:ascii="Arial"/>
          <w:b/>
          <w:sz w:val="47"/>
        </w:rPr>
      </w:pPr>
    </w:p>
    <w:p w14:paraId="36326C4A" w14:textId="77777777" w:rsidR="00757E0C" w:rsidRPr="00192D3C" w:rsidRDefault="00757E0C" w:rsidP="00757E0C">
      <w:pPr>
        <w:rPr>
          <w:rFonts w:ascii="Arial"/>
          <w:b/>
          <w:sz w:val="47"/>
        </w:rPr>
      </w:pPr>
      <w:r w:rsidRPr="00192D3C">
        <w:rPr>
          <w:rFonts w:ascii="Arial"/>
          <w:b/>
          <w:sz w:val="47"/>
        </w:rPr>
        <w:t>Doctorate in Education (EdD)</w:t>
      </w:r>
    </w:p>
    <w:p w14:paraId="477120E2" w14:textId="77777777" w:rsidR="00757E0C" w:rsidRDefault="00757E0C" w:rsidP="00757E0C">
      <w:pPr>
        <w:jc w:val="center"/>
        <w:rPr>
          <w:rFonts w:ascii="Arial"/>
          <w:b/>
          <w:sz w:val="40"/>
        </w:rPr>
      </w:pPr>
    </w:p>
    <w:p w14:paraId="5034F1C4" w14:textId="77777777" w:rsidR="00FA6468" w:rsidRPr="00192D3C" w:rsidRDefault="00FA6468" w:rsidP="00757E0C">
      <w:pPr>
        <w:jc w:val="center"/>
        <w:rPr>
          <w:rFonts w:ascii="Arial"/>
          <w:b/>
          <w:sz w:val="40"/>
        </w:rPr>
      </w:pPr>
    </w:p>
    <w:p w14:paraId="6746E467" w14:textId="59BF44F7" w:rsidR="00757E0C" w:rsidRPr="00757E0C" w:rsidRDefault="00757E0C" w:rsidP="00757E0C">
      <w:pPr>
        <w:rPr>
          <w:b/>
          <w:bCs/>
          <w:sz w:val="32"/>
          <w:szCs w:val="32"/>
          <w:u w:val="single"/>
        </w:rPr>
      </w:pPr>
      <w:r w:rsidRPr="00E243A8">
        <w:rPr>
          <w:b/>
          <w:bCs/>
          <w:sz w:val="32"/>
          <w:szCs w:val="32"/>
          <w:u w:val="single"/>
        </w:rPr>
        <w:lastRenderedPageBreak/>
        <w:t>AI Acknowledgement</w:t>
      </w:r>
    </w:p>
    <w:p w14:paraId="25B5232E" w14:textId="77777777" w:rsidR="00757E0C" w:rsidRDefault="00757E0C" w:rsidP="00757E0C">
      <w:r w:rsidRPr="00E243A8">
        <w:t xml:space="preserve">I confirm that I have not used any AI tools in the research and creation of this assignment. </w:t>
      </w:r>
    </w:p>
    <w:p w14:paraId="3113546F" w14:textId="0682D227" w:rsidR="00757E0C" w:rsidRDefault="00757E0C" w:rsidP="00757E0C">
      <w:r w:rsidRPr="00E243A8">
        <w:t>I confirm that I have</w:t>
      </w:r>
      <w:r w:rsidR="00A44E8B">
        <w:t xml:space="preserve"> </w:t>
      </w:r>
      <w:r w:rsidRPr="00E243A8">
        <w:t xml:space="preserve">not presented any AI generated materials as my own work. </w:t>
      </w:r>
    </w:p>
    <w:p w14:paraId="4B851DE8" w14:textId="54DBC7F7" w:rsidR="00757E0C" w:rsidRDefault="00757E0C" w:rsidP="00757E0C">
      <w:r w:rsidRPr="00E243A8">
        <w:t xml:space="preserve">I confirm </w:t>
      </w:r>
      <w:r>
        <w:t xml:space="preserve">that </w:t>
      </w:r>
      <w:r w:rsidRPr="00E243A8">
        <w:t>I have copies of my drafts, notes, and other resources I used, which I may be asked to provide in evidence.</w:t>
      </w:r>
    </w:p>
    <w:p w14:paraId="4CD935BB" w14:textId="77777777" w:rsidR="00757E0C" w:rsidRDefault="00757E0C" w:rsidP="00757E0C">
      <w:pPr>
        <w:rPr>
          <w:sz w:val="16"/>
          <w:szCs w:val="16"/>
        </w:rPr>
      </w:pPr>
      <w:r w:rsidRPr="00DD5969">
        <w:rPr>
          <w:sz w:val="16"/>
          <w:szCs w:val="16"/>
        </w:rPr>
        <w:t>I confirm that I have not presented any AI generated materials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70BCC5D1" w14:textId="77777777" w:rsidR="00757E0C" w:rsidRDefault="00757E0C" w:rsidP="00D7020E">
      <w:pPr>
        <w:spacing w:line="360" w:lineRule="auto"/>
        <w:rPr>
          <w:rFonts w:ascii="Times New Roman" w:eastAsia="Times New Roman" w:hAnsi="Times New Roman" w:cs="Times New Roman"/>
          <w:sz w:val="20"/>
          <w:szCs w:val="20"/>
          <w:u w:val="single"/>
        </w:rPr>
      </w:pPr>
    </w:p>
    <w:p w14:paraId="693ECEE8" w14:textId="77777777" w:rsidR="00757E0C" w:rsidRDefault="00757E0C" w:rsidP="00D7020E">
      <w:pPr>
        <w:spacing w:line="360" w:lineRule="auto"/>
        <w:rPr>
          <w:rFonts w:ascii="Times New Roman" w:eastAsia="Times New Roman" w:hAnsi="Times New Roman" w:cs="Times New Roman"/>
          <w:sz w:val="20"/>
          <w:szCs w:val="20"/>
          <w:u w:val="single"/>
        </w:rPr>
      </w:pPr>
    </w:p>
    <w:p w14:paraId="448CFD81" w14:textId="77777777" w:rsidR="00757E0C" w:rsidRDefault="00757E0C" w:rsidP="00D7020E">
      <w:pPr>
        <w:spacing w:line="360" w:lineRule="auto"/>
        <w:rPr>
          <w:rFonts w:ascii="Times New Roman" w:eastAsia="Times New Roman" w:hAnsi="Times New Roman" w:cs="Times New Roman"/>
          <w:sz w:val="20"/>
          <w:szCs w:val="20"/>
          <w:u w:val="single"/>
        </w:rPr>
      </w:pPr>
    </w:p>
    <w:p w14:paraId="68F18884" w14:textId="77777777" w:rsidR="00757E0C" w:rsidRDefault="00757E0C" w:rsidP="00D7020E">
      <w:pPr>
        <w:spacing w:line="360" w:lineRule="auto"/>
        <w:rPr>
          <w:rFonts w:ascii="Times New Roman" w:eastAsia="Times New Roman" w:hAnsi="Times New Roman" w:cs="Times New Roman"/>
          <w:sz w:val="20"/>
          <w:szCs w:val="20"/>
          <w:u w:val="single"/>
        </w:rPr>
      </w:pPr>
    </w:p>
    <w:p w14:paraId="4ABF0799" w14:textId="77777777" w:rsidR="00757E0C" w:rsidRDefault="00757E0C" w:rsidP="00D7020E">
      <w:pPr>
        <w:spacing w:line="360" w:lineRule="auto"/>
        <w:rPr>
          <w:rFonts w:ascii="Times New Roman" w:eastAsia="Times New Roman" w:hAnsi="Times New Roman" w:cs="Times New Roman"/>
          <w:sz w:val="20"/>
          <w:szCs w:val="20"/>
          <w:u w:val="single"/>
        </w:rPr>
      </w:pPr>
    </w:p>
    <w:p w14:paraId="3AEA0715" w14:textId="77777777" w:rsidR="00757E0C" w:rsidRDefault="00757E0C" w:rsidP="00D7020E">
      <w:pPr>
        <w:spacing w:line="360" w:lineRule="auto"/>
        <w:rPr>
          <w:rFonts w:ascii="Times New Roman" w:eastAsia="Times New Roman" w:hAnsi="Times New Roman" w:cs="Times New Roman"/>
          <w:sz w:val="20"/>
          <w:szCs w:val="20"/>
          <w:u w:val="single"/>
        </w:rPr>
      </w:pPr>
    </w:p>
    <w:p w14:paraId="1308FFE1" w14:textId="77777777" w:rsidR="00757E0C" w:rsidRDefault="00757E0C" w:rsidP="00D7020E">
      <w:pPr>
        <w:spacing w:line="360" w:lineRule="auto"/>
        <w:rPr>
          <w:rFonts w:ascii="Times New Roman" w:eastAsia="Times New Roman" w:hAnsi="Times New Roman" w:cs="Times New Roman"/>
          <w:sz w:val="20"/>
          <w:szCs w:val="20"/>
          <w:u w:val="single"/>
        </w:rPr>
      </w:pPr>
    </w:p>
    <w:p w14:paraId="3754F813" w14:textId="77777777" w:rsidR="00757E0C" w:rsidRDefault="00757E0C" w:rsidP="00D7020E">
      <w:pPr>
        <w:spacing w:line="360" w:lineRule="auto"/>
        <w:rPr>
          <w:rFonts w:ascii="Times New Roman" w:eastAsia="Times New Roman" w:hAnsi="Times New Roman" w:cs="Times New Roman"/>
          <w:sz w:val="20"/>
          <w:szCs w:val="20"/>
          <w:u w:val="single"/>
        </w:rPr>
      </w:pPr>
    </w:p>
    <w:p w14:paraId="776B5FF6" w14:textId="77777777" w:rsidR="00757E0C" w:rsidRDefault="00757E0C" w:rsidP="00D7020E">
      <w:pPr>
        <w:spacing w:line="360" w:lineRule="auto"/>
        <w:rPr>
          <w:rFonts w:ascii="Times New Roman" w:eastAsia="Times New Roman" w:hAnsi="Times New Roman" w:cs="Times New Roman"/>
          <w:sz w:val="20"/>
          <w:szCs w:val="20"/>
          <w:u w:val="single"/>
        </w:rPr>
      </w:pPr>
    </w:p>
    <w:p w14:paraId="4C75F319" w14:textId="77777777" w:rsidR="00757E0C" w:rsidRDefault="00757E0C" w:rsidP="00D7020E">
      <w:pPr>
        <w:spacing w:line="360" w:lineRule="auto"/>
        <w:rPr>
          <w:rFonts w:ascii="Times New Roman" w:eastAsia="Times New Roman" w:hAnsi="Times New Roman" w:cs="Times New Roman"/>
          <w:sz w:val="20"/>
          <w:szCs w:val="20"/>
          <w:u w:val="single"/>
        </w:rPr>
      </w:pPr>
    </w:p>
    <w:p w14:paraId="52961DB7" w14:textId="77777777" w:rsidR="00757E0C" w:rsidRDefault="00757E0C" w:rsidP="00D7020E">
      <w:pPr>
        <w:spacing w:line="360" w:lineRule="auto"/>
        <w:rPr>
          <w:rFonts w:ascii="Times New Roman" w:eastAsia="Times New Roman" w:hAnsi="Times New Roman" w:cs="Times New Roman"/>
          <w:sz w:val="20"/>
          <w:szCs w:val="20"/>
          <w:u w:val="single"/>
        </w:rPr>
      </w:pPr>
    </w:p>
    <w:p w14:paraId="403F1BA7" w14:textId="77777777" w:rsidR="00757E0C" w:rsidRDefault="00757E0C" w:rsidP="00D7020E">
      <w:pPr>
        <w:spacing w:line="360" w:lineRule="auto"/>
        <w:rPr>
          <w:rFonts w:ascii="Times New Roman" w:eastAsia="Times New Roman" w:hAnsi="Times New Roman" w:cs="Times New Roman"/>
          <w:sz w:val="20"/>
          <w:szCs w:val="20"/>
          <w:u w:val="single"/>
        </w:rPr>
      </w:pPr>
    </w:p>
    <w:p w14:paraId="444D6385" w14:textId="77777777" w:rsidR="00757E0C" w:rsidRDefault="00757E0C" w:rsidP="00D7020E">
      <w:pPr>
        <w:spacing w:line="360" w:lineRule="auto"/>
        <w:rPr>
          <w:rFonts w:ascii="Times New Roman" w:eastAsia="Times New Roman" w:hAnsi="Times New Roman" w:cs="Times New Roman"/>
          <w:sz w:val="20"/>
          <w:szCs w:val="20"/>
          <w:u w:val="single"/>
        </w:rPr>
      </w:pPr>
    </w:p>
    <w:p w14:paraId="737F7375" w14:textId="77777777" w:rsidR="00757E0C" w:rsidRDefault="00757E0C" w:rsidP="00D7020E">
      <w:pPr>
        <w:spacing w:line="360" w:lineRule="auto"/>
        <w:rPr>
          <w:rFonts w:ascii="Times New Roman" w:eastAsia="Times New Roman" w:hAnsi="Times New Roman" w:cs="Times New Roman"/>
          <w:sz w:val="20"/>
          <w:szCs w:val="20"/>
          <w:u w:val="single"/>
        </w:rPr>
      </w:pPr>
    </w:p>
    <w:p w14:paraId="1292970E" w14:textId="77777777" w:rsidR="00757E0C" w:rsidRDefault="00757E0C" w:rsidP="00D7020E">
      <w:pPr>
        <w:spacing w:line="360" w:lineRule="auto"/>
        <w:rPr>
          <w:rFonts w:ascii="Times New Roman" w:eastAsia="Times New Roman" w:hAnsi="Times New Roman" w:cs="Times New Roman"/>
          <w:sz w:val="20"/>
          <w:szCs w:val="20"/>
          <w:u w:val="single"/>
        </w:rPr>
      </w:pPr>
    </w:p>
    <w:p w14:paraId="195E10FD" w14:textId="77777777" w:rsidR="00757E0C" w:rsidRDefault="00757E0C" w:rsidP="00D7020E">
      <w:pPr>
        <w:spacing w:line="360" w:lineRule="auto"/>
        <w:rPr>
          <w:rFonts w:ascii="Times New Roman" w:eastAsia="Times New Roman" w:hAnsi="Times New Roman" w:cs="Times New Roman"/>
          <w:sz w:val="20"/>
          <w:szCs w:val="20"/>
          <w:u w:val="single"/>
        </w:rPr>
      </w:pPr>
    </w:p>
    <w:p w14:paraId="4C66016A" w14:textId="77777777" w:rsidR="00757E0C" w:rsidRDefault="00757E0C" w:rsidP="00D7020E">
      <w:pPr>
        <w:spacing w:line="360" w:lineRule="auto"/>
        <w:rPr>
          <w:rFonts w:ascii="Times New Roman" w:eastAsia="Times New Roman" w:hAnsi="Times New Roman" w:cs="Times New Roman"/>
          <w:sz w:val="20"/>
          <w:szCs w:val="20"/>
          <w:u w:val="single"/>
        </w:rPr>
      </w:pPr>
    </w:p>
    <w:p w14:paraId="4029D551" w14:textId="77777777" w:rsidR="00757E0C" w:rsidRDefault="00757E0C" w:rsidP="00D7020E">
      <w:pPr>
        <w:spacing w:line="360" w:lineRule="auto"/>
        <w:rPr>
          <w:rFonts w:ascii="Times New Roman" w:eastAsia="Times New Roman" w:hAnsi="Times New Roman" w:cs="Times New Roman"/>
          <w:sz w:val="20"/>
          <w:szCs w:val="20"/>
          <w:u w:val="single"/>
        </w:rPr>
      </w:pPr>
    </w:p>
    <w:p w14:paraId="57E06A9A" w14:textId="77777777" w:rsidR="00757E0C" w:rsidRDefault="00757E0C" w:rsidP="00D7020E">
      <w:pPr>
        <w:spacing w:line="360" w:lineRule="auto"/>
        <w:rPr>
          <w:rFonts w:ascii="Times New Roman" w:eastAsia="Times New Roman" w:hAnsi="Times New Roman" w:cs="Times New Roman"/>
          <w:sz w:val="20"/>
          <w:szCs w:val="20"/>
          <w:u w:val="single"/>
        </w:rPr>
      </w:pPr>
    </w:p>
    <w:p w14:paraId="1C76EF44" w14:textId="77777777" w:rsidR="00C34200" w:rsidRDefault="00C34200" w:rsidP="00D7020E">
      <w:pPr>
        <w:spacing w:line="360" w:lineRule="auto"/>
        <w:rPr>
          <w:rFonts w:ascii="Times New Roman" w:eastAsia="Times New Roman" w:hAnsi="Times New Roman" w:cs="Times New Roman"/>
          <w:sz w:val="20"/>
          <w:szCs w:val="20"/>
          <w:u w:val="single"/>
        </w:rPr>
      </w:pPr>
    </w:p>
    <w:p w14:paraId="14421100" w14:textId="77777777" w:rsidR="00757E0C" w:rsidRDefault="00757E0C" w:rsidP="00D7020E">
      <w:pPr>
        <w:spacing w:line="360" w:lineRule="auto"/>
        <w:rPr>
          <w:rFonts w:ascii="Times New Roman" w:eastAsia="Times New Roman" w:hAnsi="Times New Roman" w:cs="Times New Roman"/>
          <w:sz w:val="20"/>
          <w:szCs w:val="20"/>
          <w:u w:val="single"/>
        </w:rPr>
      </w:pPr>
    </w:p>
    <w:p w14:paraId="5DE772B3" w14:textId="77777777" w:rsidR="008B7934" w:rsidRPr="00430F2F" w:rsidRDefault="008F3554" w:rsidP="00430F2F">
      <w:pPr>
        <w:spacing w:line="360" w:lineRule="auto"/>
        <w:rPr>
          <w:rFonts w:ascii="Times New Roman" w:eastAsia="Times New Roman" w:hAnsi="Times New Roman" w:cs="Times New Roman"/>
          <w:sz w:val="16"/>
          <w:szCs w:val="16"/>
          <w:u w:val="single"/>
        </w:rPr>
      </w:pPr>
      <w:r w:rsidRPr="00430F2F">
        <w:rPr>
          <w:rFonts w:ascii="Times New Roman" w:eastAsia="Times New Roman" w:hAnsi="Times New Roman" w:cs="Times New Roman"/>
          <w:sz w:val="16"/>
          <w:szCs w:val="16"/>
          <w:u w:val="single"/>
        </w:rPr>
        <w:lastRenderedPageBreak/>
        <w:t>Introduction</w:t>
      </w:r>
    </w:p>
    <w:p w14:paraId="33590D79" w14:textId="2DE3BE5E" w:rsidR="008B52C1" w:rsidRPr="00430F2F" w:rsidRDefault="008B52C1"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Early literacy development underpins future academic achievement, with systematic phonics recognised as an effective approach to supporting reading acquisition (Castles, </w:t>
      </w:r>
      <w:proofErr w:type="spellStart"/>
      <w:r w:rsidRPr="00430F2F">
        <w:rPr>
          <w:rFonts w:ascii="Times New Roman" w:hAnsi="Times New Roman" w:cs="Times New Roman"/>
          <w:sz w:val="16"/>
          <w:szCs w:val="16"/>
        </w:rPr>
        <w:t>Rastle</w:t>
      </w:r>
      <w:proofErr w:type="spellEnd"/>
      <w:r w:rsidRPr="00430F2F">
        <w:rPr>
          <w:rFonts w:ascii="Times New Roman" w:hAnsi="Times New Roman" w:cs="Times New Roman"/>
          <w:sz w:val="16"/>
          <w:szCs w:val="16"/>
        </w:rPr>
        <w:t xml:space="preserve"> and Nation, 2018). The Letters and Sounds programme provides structured phoneme–grapheme teaching to develop decoding and early reading skills. Research demonstrates that systematic phonics improves word recognition, spelling and reading accuracy (National Reading Panel, 2000; </w:t>
      </w:r>
      <w:proofErr w:type="spellStart"/>
      <w:r w:rsidRPr="00430F2F">
        <w:rPr>
          <w:rFonts w:ascii="Times New Roman" w:hAnsi="Times New Roman" w:cs="Times New Roman"/>
          <w:sz w:val="16"/>
          <w:szCs w:val="16"/>
        </w:rPr>
        <w:t>Ehri</w:t>
      </w:r>
      <w:proofErr w:type="spellEnd"/>
      <w:r w:rsidRPr="00430F2F">
        <w:rPr>
          <w:rFonts w:ascii="Times New Roman" w:hAnsi="Times New Roman" w:cs="Times New Roman"/>
          <w:sz w:val="16"/>
          <w:szCs w:val="16"/>
        </w:rPr>
        <w:t xml:space="preserve"> et al., 2001; Torgerson, Brooks and Hall, 2006; Rose, 2006; de Graaff, Bosman and Hasselman, 2009). However, existing research predominantly focuses on measurable outcomes, providing limited insight into learners’ experiences and engagement. This study addresses this gap through RQ2 by exploring Year 1 learners’ perceptions of the Letters and Sounds intervention. Informed by a constructivist epistemology, it adopts child-centred qualitative methods to capture learner voice alongside quantitative attainment measures (Creswell and Creswell, 2018).</w:t>
      </w:r>
    </w:p>
    <w:p w14:paraId="5EC69A87" w14:textId="181D33CD" w:rsidR="00D63E5B" w:rsidRPr="00430F2F" w:rsidRDefault="008F3554" w:rsidP="00430F2F">
      <w:pPr>
        <w:spacing w:line="360" w:lineRule="auto"/>
        <w:rPr>
          <w:rFonts w:ascii="Times New Roman" w:eastAsia="Times New Roman" w:hAnsi="Times New Roman" w:cs="Times New Roman"/>
          <w:sz w:val="16"/>
          <w:szCs w:val="16"/>
          <w:u w:val="single"/>
        </w:rPr>
      </w:pPr>
      <w:r w:rsidRPr="00430F2F">
        <w:rPr>
          <w:rFonts w:ascii="Times New Roman" w:eastAsia="Times New Roman" w:hAnsi="Times New Roman" w:cs="Times New Roman"/>
          <w:sz w:val="16"/>
          <w:szCs w:val="16"/>
          <w:u w:val="single"/>
        </w:rPr>
        <w:t>Chosen Method</w:t>
      </w:r>
    </w:p>
    <w:p w14:paraId="0D924326" w14:textId="77777777" w:rsidR="008B52C1" w:rsidRPr="00430F2F" w:rsidRDefault="008B52C1" w:rsidP="00430F2F">
      <w:pPr>
        <w:spacing w:line="360" w:lineRule="auto"/>
        <w:rPr>
          <w:rFonts w:ascii="Times New Roman" w:eastAsia="Times New Roman" w:hAnsi="Times New Roman" w:cs="Times New Roman"/>
          <w:sz w:val="16"/>
          <w:szCs w:val="16"/>
        </w:rPr>
      </w:pPr>
      <w:r w:rsidRPr="00430F2F">
        <w:rPr>
          <w:rFonts w:ascii="Times New Roman" w:eastAsia="Times New Roman" w:hAnsi="Times New Roman" w:cs="Times New Roman"/>
          <w:sz w:val="16"/>
          <w:szCs w:val="16"/>
        </w:rPr>
        <w:t>A qualitative research approach was selected to address Research Question 2 (RQ2): How do Year 1 learners experience and perceive the Letters and Sounds phonics intervention? Qualitative research is appropriate because it explores participants’ subjective experiences, perceptions and the meanings they attach to events, making it particularly suited to understanding children’s views of educational interventions (Cohen, Manion and Morrison, 2018; Braun and Clarke, 2021). Unlike quantitative approaches that measure outcomes such as attainment, qualitative research examines how learners experience interventions and why responses may differ.</w:t>
      </w:r>
    </w:p>
    <w:p w14:paraId="4EA9E9F4" w14:textId="7912D396" w:rsidR="008B52C1" w:rsidRPr="00430F2F" w:rsidRDefault="008B52C1" w:rsidP="00430F2F">
      <w:pPr>
        <w:spacing w:line="360" w:lineRule="auto"/>
        <w:rPr>
          <w:rFonts w:ascii="Times New Roman" w:eastAsia="Times New Roman" w:hAnsi="Times New Roman" w:cs="Times New Roman"/>
          <w:sz w:val="16"/>
          <w:szCs w:val="16"/>
        </w:rPr>
      </w:pPr>
      <w:r w:rsidRPr="00430F2F">
        <w:rPr>
          <w:rFonts w:ascii="Times New Roman" w:eastAsia="Times New Roman" w:hAnsi="Times New Roman" w:cs="Times New Roman"/>
          <w:sz w:val="16"/>
          <w:szCs w:val="16"/>
        </w:rPr>
        <w:t>Existing phonics research has largely adopted quantitative approaches to evaluate effectiveness through measurable improvements in reading and spelling (National Reading Panel, 2000; Torgerson, Brooks and Hall, 2006; Rose, 2006). While these studies provide evidence for the impact of systematic phonics, they provide limited insight into learners’ perspectives, engagement and emotional responses. Qualitative research is valuable when exploring lived experiences and the meanings participants attribute to them (Cohen, Manion and Morrison, 2018). Therefore, this research addresses a gap in the literature by exploring learner voice alongside quantitative attainment measures.</w:t>
      </w:r>
      <w:r w:rsidR="00430F2F">
        <w:rPr>
          <w:rFonts w:ascii="Times New Roman" w:eastAsia="Times New Roman" w:hAnsi="Times New Roman" w:cs="Times New Roman"/>
          <w:sz w:val="16"/>
          <w:szCs w:val="16"/>
        </w:rPr>
        <w:t xml:space="preserve"> A </w:t>
      </w:r>
      <w:r w:rsidRPr="00430F2F">
        <w:rPr>
          <w:rFonts w:ascii="Times New Roman" w:eastAsia="Times New Roman" w:hAnsi="Times New Roman" w:cs="Times New Roman"/>
          <w:sz w:val="16"/>
          <w:szCs w:val="16"/>
        </w:rPr>
        <w:t>key strength of qualitative research is its ability to capture learners’ subjective experiences. Phonics instruction may be experienced differently depending on confidence, motivation, prior knowledge and emotional responses. Narrative data can reveal whether learners feel confident, challenged or motivated, providing insights beyond standardised assessments (Braun and Clarke, 2021). However, research with young children requires careful consideration of social desirability bias, as pupils may provide responses they perceive as expected by the researcher or teacher (Alderson and Morrow, 2011; Christensen and James, 2017). To address this, child-friendly questioning, rapport-building, reassurance and voluntary participation will support authentic responses and strengthen the credibility of findings (Christensen and James, 2017; Cohen, Manion and Morrison, 2018).</w:t>
      </w:r>
    </w:p>
    <w:p w14:paraId="5E3B87D8" w14:textId="1B45B78D" w:rsidR="008B52C1" w:rsidRPr="00430F2F" w:rsidRDefault="008B52C1" w:rsidP="00430F2F">
      <w:pPr>
        <w:spacing w:line="360" w:lineRule="auto"/>
        <w:rPr>
          <w:rFonts w:ascii="Times New Roman" w:eastAsia="Times New Roman" w:hAnsi="Times New Roman" w:cs="Times New Roman"/>
          <w:sz w:val="16"/>
          <w:szCs w:val="16"/>
        </w:rPr>
      </w:pPr>
      <w:r w:rsidRPr="00430F2F">
        <w:rPr>
          <w:rFonts w:ascii="Times New Roman" w:eastAsia="Times New Roman" w:hAnsi="Times New Roman" w:cs="Times New Roman"/>
          <w:sz w:val="16"/>
          <w:szCs w:val="16"/>
        </w:rPr>
        <w:t>Qualitative research also enables exploration of the wider context in which learning occurs. Classroom interactions, peer relationships and teacher support influence learning experiences (Vygotsky, 1978; Cohen, Manion and Morrison, 2018), while teacher practices such as modelling, questioning and encouragement can shape engagement with phonics instruction (Alexander, 2017). Understanding these contextual influences allows the research to move beyond evaluating effectiveness and consider why learners engage differently with the intervention.</w:t>
      </w:r>
      <w:r w:rsidR="00430F2F">
        <w:rPr>
          <w:rFonts w:ascii="Times New Roman" w:eastAsia="Times New Roman" w:hAnsi="Times New Roman" w:cs="Times New Roman"/>
          <w:sz w:val="16"/>
          <w:szCs w:val="16"/>
        </w:rPr>
        <w:t xml:space="preserve"> </w:t>
      </w:r>
      <w:r w:rsidRPr="00430F2F">
        <w:rPr>
          <w:rFonts w:ascii="Times New Roman" w:eastAsia="Times New Roman" w:hAnsi="Times New Roman" w:cs="Times New Roman"/>
          <w:sz w:val="16"/>
          <w:szCs w:val="16"/>
        </w:rPr>
        <w:t>The flexibility of qualitative research further supports its suitability. Semi-structured interviews provide consistency across participants while allowing exploration of emerging themes (Kvale and Brinkmann, 2015). As the qualitative and quantitative strands are conducted concurrently, findings will be integrated during interpretation, enabling learner experiences to be considered alongside literacy outcomes and providing a more comprehensive understanding of the intervention (Creswell and Plano Clark, 2018).</w:t>
      </w:r>
    </w:p>
    <w:p w14:paraId="586BBBA7" w14:textId="1204A9F0" w:rsidR="008B52C1" w:rsidRPr="00430F2F" w:rsidRDefault="008B52C1" w:rsidP="00430F2F">
      <w:pPr>
        <w:spacing w:line="360" w:lineRule="auto"/>
        <w:rPr>
          <w:rFonts w:ascii="Times New Roman" w:eastAsia="Times New Roman" w:hAnsi="Times New Roman" w:cs="Times New Roman"/>
          <w:sz w:val="16"/>
          <w:szCs w:val="16"/>
        </w:rPr>
      </w:pPr>
      <w:r w:rsidRPr="00430F2F">
        <w:rPr>
          <w:rFonts w:ascii="Times New Roman" w:eastAsia="Times New Roman" w:hAnsi="Times New Roman" w:cs="Times New Roman"/>
          <w:sz w:val="16"/>
          <w:szCs w:val="16"/>
        </w:rPr>
        <w:t>Overall, a qualitative approach is appropriate for addressing this research question because it provides an in-depth understanding of learners’ experiences, perceptions and engagement with the Letters and Sounds intervention. By foregrounding children’s voices, recognising classroom context and addressing ethical considerations, the qualitative strand complements quantitative measures and contributes a richer understanding of how and why the intervention is experienced in practice (Cohen, Manion and Morrison, 2018; Kvale and Brinkmann, 2015; Creswell and Plano Clark, 2018).</w:t>
      </w:r>
    </w:p>
    <w:p w14:paraId="303578AB" w14:textId="77777777" w:rsidR="00024A13" w:rsidRPr="00430F2F" w:rsidRDefault="008F3554" w:rsidP="00430F2F">
      <w:pPr>
        <w:spacing w:line="360" w:lineRule="auto"/>
        <w:rPr>
          <w:rFonts w:ascii="Times New Roman" w:eastAsia="Times New Roman" w:hAnsi="Times New Roman" w:cs="Times New Roman"/>
          <w:sz w:val="16"/>
          <w:szCs w:val="16"/>
          <w:u w:val="single"/>
        </w:rPr>
      </w:pPr>
      <w:r w:rsidRPr="00430F2F">
        <w:rPr>
          <w:rFonts w:ascii="Times New Roman" w:eastAsia="Times New Roman" w:hAnsi="Times New Roman" w:cs="Times New Roman"/>
          <w:sz w:val="16"/>
          <w:szCs w:val="16"/>
          <w:u w:val="single"/>
        </w:rPr>
        <w:t>Philosophical Alignment</w:t>
      </w:r>
    </w:p>
    <w:p w14:paraId="2A1976E9" w14:textId="2AD89663" w:rsidR="00E16249" w:rsidRPr="00430F2F" w:rsidRDefault="00E16249"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The study is grounded in a constructivist paradigm, which views knowledge as socially constructed and contextually situated through individuals’ interactions with their environment (Lincoln and Guba, 1985). From this perspective, learners are regarded as active participants who interpret and construct meaning from their educational experiences rather than passively receiving knowledge. This paradigm is closely aligned with qualitative research because it seeks to understand </w:t>
      </w:r>
      <w:proofErr w:type="gramStart"/>
      <w:r w:rsidR="00B9734A" w:rsidRPr="00430F2F">
        <w:rPr>
          <w:rFonts w:ascii="Times New Roman" w:hAnsi="Times New Roman" w:cs="Times New Roman"/>
          <w:sz w:val="16"/>
          <w:szCs w:val="16"/>
        </w:rPr>
        <w:t>participants’</w:t>
      </w:r>
      <w:proofErr w:type="gramEnd"/>
      <w:r w:rsidR="00B9734A" w:rsidRPr="00430F2F">
        <w:rPr>
          <w:rFonts w:ascii="Times New Roman" w:hAnsi="Times New Roman" w:cs="Times New Roman"/>
          <w:sz w:val="16"/>
          <w:szCs w:val="16"/>
        </w:rPr>
        <w:t xml:space="preserve"> </w:t>
      </w:r>
      <w:r w:rsidRPr="00430F2F">
        <w:rPr>
          <w:rFonts w:ascii="Times New Roman" w:hAnsi="Times New Roman" w:cs="Times New Roman"/>
          <w:sz w:val="16"/>
          <w:szCs w:val="16"/>
        </w:rPr>
        <w:t>lived experiences and the meanings they attribute to them, rather than testing predetermined hypotheses.</w:t>
      </w:r>
    </w:p>
    <w:p w14:paraId="01AEF81A" w14:textId="7C5459AB" w:rsidR="001D6114" w:rsidRPr="00430F2F" w:rsidRDefault="00E16249"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lastRenderedPageBreak/>
        <w:t xml:space="preserve">Central to this perspective is the concept of </w:t>
      </w:r>
      <w:r w:rsidRPr="00430F2F">
        <w:rPr>
          <w:rStyle w:val="s2"/>
          <w:rFonts w:ascii="Times New Roman" w:hAnsi="Times New Roman" w:cs="Times New Roman"/>
          <w:sz w:val="16"/>
          <w:szCs w:val="16"/>
        </w:rPr>
        <w:t>learner voice</w:t>
      </w:r>
      <w:r w:rsidRPr="00430F2F">
        <w:rPr>
          <w:rStyle w:val="s1"/>
          <w:rFonts w:ascii="Times New Roman" w:hAnsi="Times New Roman" w:cs="Times New Roman"/>
          <w:sz w:val="16"/>
          <w:szCs w:val="16"/>
        </w:rPr>
        <w:t xml:space="preserve">, which refers to recognising children as knowledgeable participants whose views, experiences and interpretations are valuable sources of evidence in educational research (Clark and Moss, 2011). Rather than relying solely on measures of reading attainment, learner voice provides insight into how children experience phonics teaching, what they find motivating or challenging, and how they make sense of the intervention. This is particularly important for the present research because improvements in reading outcomes alone cannot explain why an intervention is successful for some learners but less effective for others. By foregrounding learners’ perspectives, the research aims to develop a richer understanding of how the </w:t>
      </w:r>
      <w:r w:rsidRPr="00430F2F">
        <w:rPr>
          <w:rStyle w:val="s2"/>
          <w:rFonts w:ascii="Times New Roman" w:hAnsi="Times New Roman" w:cs="Times New Roman"/>
          <w:sz w:val="16"/>
          <w:szCs w:val="16"/>
        </w:rPr>
        <w:t>Letters and Sounds</w:t>
      </w:r>
      <w:r w:rsidRPr="00430F2F">
        <w:rPr>
          <w:rStyle w:val="s1"/>
          <w:rFonts w:ascii="Times New Roman" w:hAnsi="Times New Roman" w:cs="Times New Roman"/>
          <w:sz w:val="16"/>
          <w:szCs w:val="16"/>
        </w:rPr>
        <w:t xml:space="preserve"> intervention is experienced in practice and how these experiences may influence engagement, confidence and learning. Adopting a constructivist paradigm therefore ensures that children’s voices are central to the research design and the interpretation of the findings, complementing the quantitative evidence of attainment with a deeper understanding of </w:t>
      </w:r>
      <w:proofErr w:type="gramStart"/>
      <w:r w:rsidRPr="00430F2F">
        <w:rPr>
          <w:rStyle w:val="s1"/>
          <w:rFonts w:ascii="Times New Roman" w:hAnsi="Times New Roman" w:cs="Times New Roman"/>
          <w:sz w:val="16"/>
          <w:szCs w:val="16"/>
        </w:rPr>
        <w:t>learners’</w:t>
      </w:r>
      <w:proofErr w:type="gramEnd"/>
      <w:r w:rsidRPr="00430F2F">
        <w:rPr>
          <w:rStyle w:val="s1"/>
          <w:rFonts w:ascii="Times New Roman" w:hAnsi="Times New Roman" w:cs="Times New Roman"/>
          <w:sz w:val="16"/>
          <w:szCs w:val="16"/>
        </w:rPr>
        <w:t xml:space="preserve"> lived experiences.</w:t>
      </w:r>
    </w:p>
    <w:p w14:paraId="43452699" w14:textId="77777777" w:rsidR="009C52E9" w:rsidRPr="00430F2F" w:rsidRDefault="009C52E9" w:rsidP="00430F2F">
      <w:pPr>
        <w:spacing w:line="360" w:lineRule="auto"/>
        <w:rPr>
          <w:rFonts w:ascii="Times New Roman" w:eastAsia="Times New Roman" w:hAnsi="Times New Roman" w:cs="Times New Roman"/>
          <w:kern w:val="0"/>
          <w:sz w:val="16"/>
          <w:szCs w:val="16"/>
          <w:u w:val="single"/>
          <w14:ligatures w14:val="none"/>
        </w:rPr>
      </w:pPr>
      <w:r w:rsidRPr="00430F2F">
        <w:rPr>
          <w:rFonts w:ascii="Times New Roman" w:eastAsia="Times New Roman" w:hAnsi="Times New Roman" w:cs="Times New Roman"/>
          <w:kern w:val="0"/>
          <w:sz w:val="16"/>
          <w:szCs w:val="16"/>
          <w:u w:val="single"/>
          <w14:ligatures w14:val="none"/>
        </w:rPr>
        <w:t>Strengths of the Qualitative Approach</w:t>
      </w:r>
    </w:p>
    <w:p w14:paraId="281B7F3A" w14:textId="6A8FCBDB" w:rsidR="00FB7A39" w:rsidRPr="00430F2F" w:rsidRDefault="00FB7A39"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Qualitative methods generate rich, nuanced data that enable exploration of learners’ emotions, motivations, attitudes and engagement within authentic learning contexts (Braun and Clarke, 2021; Cohen, Manion and Morrison, 2018). In relation to this research question, qualitative data will provide insight into how Year 1 learners experience the Letters and Sounds intervention, including perceived engagement, challenges, confidence in decoding unfamiliar words and emotional responses to phonics sessions. These insights extend beyond attainment measures, helping to explain variations in learners’ engagement with the intervention.</w:t>
      </w:r>
      <w:r w:rsidR="00430F2F">
        <w:rPr>
          <w:rFonts w:ascii="Times New Roman" w:hAnsi="Times New Roman" w:cs="Times New Roman"/>
          <w:sz w:val="16"/>
          <w:szCs w:val="16"/>
        </w:rPr>
        <w:t xml:space="preserve"> </w:t>
      </w:r>
      <w:r w:rsidRPr="00430F2F">
        <w:rPr>
          <w:rFonts w:ascii="Times New Roman" w:hAnsi="Times New Roman" w:cs="Times New Roman"/>
          <w:sz w:val="16"/>
          <w:szCs w:val="16"/>
        </w:rPr>
        <w:t>A key strength of qualitative research is its focus on learner voice, recognising children as active participants whose perspectives provide valuable evidence about teaching and learning (Clark and Moss, 2011; Christensen and James, 2017). In this study, learner voice involves children expressing their experiences of the Letters and Sounds intervention through developmentally appropriate methods. This is important because observations alone cannot reveal how learners interpret classroom experiences or identify what they find motivating, enjoyable or challenging. Capturing learner perspectives therefore provides a deeper understanding of the intervention and complements quantitative measures of reading attainment.</w:t>
      </w:r>
    </w:p>
    <w:p w14:paraId="41EC9DE0" w14:textId="77777777" w:rsidR="00FB7A39" w:rsidRPr="00430F2F" w:rsidRDefault="00FB7A39"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Qualitative methods are also adaptable to children’s developmental needs, making them appropriate for Year 1 learners. Data collection will support communication through semi-structured interviews using accessible language, visual prompts such as emoji or feelings cards, and familiar phonics resources or activities from the intervention (Kvale and Brinkmann, 2015; Clark and Moss, 2011). Follow-up questions will enable clarification while allowing learners to highlight experiences they consider meaningful.</w:t>
      </w:r>
    </w:p>
    <w:p w14:paraId="412FD629" w14:textId="77777777" w:rsidR="009C52E9" w:rsidRPr="00430F2F" w:rsidRDefault="009C52E9" w:rsidP="00430F2F">
      <w:pPr>
        <w:spacing w:line="360" w:lineRule="auto"/>
        <w:rPr>
          <w:rFonts w:ascii="Times New Roman" w:eastAsia="Times New Roman" w:hAnsi="Times New Roman" w:cs="Times New Roman"/>
          <w:sz w:val="16"/>
          <w:szCs w:val="16"/>
          <w:u w:val="single"/>
        </w:rPr>
      </w:pPr>
      <w:r w:rsidRPr="00430F2F">
        <w:rPr>
          <w:rFonts w:ascii="Times New Roman" w:eastAsia="Times New Roman" w:hAnsi="Times New Roman" w:cs="Times New Roman"/>
          <w:sz w:val="16"/>
          <w:szCs w:val="16"/>
          <w:u w:val="single"/>
        </w:rPr>
        <w:t>Limitations</w:t>
      </w:r>
    </w:p>
    <w:p w14:paraId="10081D3E" w14:textId="77777777" w:rsidR="00BE51A6" w:rsidRPr="00430F2F" w:rsidRDefault="00BE51A6"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A limitation of qualitative research is that findings are shaped by participants’ accounts and the researcher’s interpretation of data (Berger, 2015). Researcher bias may occur during data collection, coding or interpretation, particularly when the researcher is familiar with participants. To address this, reflexivity will be maintained through a reflective research diary to acknowledge assumptions and their influence on decision-making. Systematic thematic analysis, clear coding documentation and the use of verbatim quotations will further strengthen credibility and transparency (Braun and Clarke, 2021; Cohen, Manion and Morrison, 2018).</w:t>
      </w:r>
    </w:p>
    <w:p w14:paraId="1FC8AFA1" w14:textId="365296ED" w:rsidR="00430F2F" w:rsidRPr="00430F2F" w:rsidRDefault="00BE51A6"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Qualitative findings are context-specific, reflecting learners’ experiences within one educational setting, and therefore cannot be statistically generalised to all Year 1 learners or schools (Braun and Clarke, 2021). However, qualitative research aims to provide rich, contextualised understanding, enabling readers to assess transferability to similar contexts (Lincoln and Guba, 1985).</w:t>
      </w:r>
      <w:r w:rsidR="00430F2F">
        <w:rPr>
          <w:rFonts w:ascii="Times New Roman" w:hAnsi="Times New Roman" w:cs="Times New Roman"/>
          <w:sz w:val="16"/>
          <w:szCs w:val="16"/>
        </w:rPr>
        <w:t xml:space="preserve"> </w:t>
      </w:r>
      <w:r w:rsidRPr="00430F2F">
        <w:rPr>
          <w:rFonts w:ascii="Times New Roman" w:hAnsi="Times New Roman" w:cs="Times New Roman"/>
          <w:sz w:val="16"/>
          <w:szCs w:val="16"/>
        </w:rPr>
        <w:t>Qualitative research is time-intensive due to data collection, transcription and thematic analysis (Kvale and Brinkmann, 2015; Cohen, Manion and Morrison, 2018). However, this enables detailed exploration of learners’ experiences and the identification of subtle patterns and individual differences. Despite these limitations, a qualitative approach remains appropriate as the research seeks to understand learners’ experiences rather than simply measure outcomes. Developmentally appropriate methods, including child-friendly questioning, visual prompts and familiar classroom contexts, will support participation, encourage authentic responses and enhance the credibility of findings (Christensen and James, 2017; Clark and Moss, 2011).</w:t>
      </w:r>
    </w:p>
    <w:p w14:paraId="6B0F3EF2" w14:textId="77777777" w:rsidR="00F87F59" w:rsidRPr="00430F2F" w:rsidRDefault="00F87F59" w:rsidP="00430F2F">
      <w:pPr>
        <w:spacing w:line="360" w:lineRule="auto"/>
        <w:rPr>
          <w:rFonts w:ascii="Times New Roman" w:eastAsia="Times New Roman" w:hAnsi="Times New Roman" w:cs="Times New Roman"/>
          <w:kern w:val="0"/>
          <w:sz w:val="16"/>
          <w:szCs w:val="16"/>
          <w:u w:val="single"/>
          <w14:ligatures w14:val="none"/>
        </w:rPr>
      </w:pPr>
      <w:r w:rsidRPr="00430F2F">
        <w:rPr>
          <w:rFonts w:ascii="Times New Roman" w:eastAsia="Times New Roman" w:hAnsi="Times New Roman" w:cs="Times New Roman"/>
          <w:kern w:val="0"/>
          <w:sz w:val="16"/>
          <w:szCs w:val="16"/>
          <w:u w:val="single"/>
          <w14:ligatures w14:val="none"/>
        </w:rPr>
        <w:t>Sampling</w:t>
      </w:r>
    </w:p>
    <w:p w14:paraId="06DBF106" w14:textId="77777777" w:rsidR="00430F2F" w:rsidRDefault="00F87F59" w:rsidP="00430F2F">
      <w:pPr>
        <w:spacing w:line="360" w:lineRule="auto"/>
        <w:rPr>
          <w:rFonts w:ascii="Times New Roman" w:hAnsi="Times New Roman" w:cs="Times New Roman"/>
          <w:kern w:val="0"/>
          <w:sz w:val="16"/>
          <w:szCs w:val="16"/>
          <w14:ligatures w14:val="none"/>
        </w:rPr>
      </w:pPr>
      <w:r w:rsidRPr="00430F2F">
        <w:rPr>
          <w:rFonts w:ascii="Times New Roman" w:hAnsi="Times New Roman" w:cs="Times New Roman"/>
          <w:kern w:val="0"/>
          <w:sz w:val="16"/>
          <w:szCs w:val="16"/>
          <w14:ligatures w14:val="none"/>
        </w:rPr>
        <w:t xml:space="preserve">The population for this research consists of Year 1 learners, typically aged 5–6 years, attending a primary school in South Wales who are participating in a short-term Letters and Sounds phonics intervention. This stage of education is a critical period for early literacy development, as learners are developing foundational decoding skills, phoneme–grapheme correspondences and early reading fluency (Rose, 2006; Castles, </w:t>
      </w:r>
      <w:proofErr w:type="spellStart"/>
      <w:r w:rsidRPr="00430F2F">
        <w:rPr>
          <w:rFonts w:ascii="Times New Roman" w:hAnsi="Times New Roman" w:cs="Times New Roman"/>
          <w:kern w:val="0"/>
          <w:sz w:val="16"/>
          <w:szCs w:val="16"/>
          <w14:ligatures w14:val="none"/>
        </w:rPr>
        <w:t>Rastle</w:t>
      </w:r>
      <w:proofErr w:type="spellEnd"/>
      <w:r w:rsidRPr="00430F2F">
        <w:rPr>
          <w:rFonts w:ascii="Times New Roman" w:hAnsi="Times New Roman" w:cs="Times New Roman"/>
          <w:kern w:val="0"/>
          <w:sz w:val="16"/>
          <w:szCs w:val="16"/>
          <w14:ligatures w14:val="none"/>
        </w:rPr>
        <w:t xml:space="preserve"> and Nation, 2018). Children of this age are particularly responsive to systematic phonics instruction, making this an appropriate population for exploring not only the effectiveness of the intervention but also how learners experience, interpret and engage with it.</w:t>
      </w:r>
    </w:p>
    <w:p w14:paraId="789FEE16" w14:textId="141B83F1" w:rsidR="00B86ED4" w:rsidRPr="00430F2F" w:rsidRDefault="00F87F59" w:rsidP="00430F2F">
      <w:pPr>
        <w:spacing w:line="360" w:lineRule="auto"/>
        <w:rPr>
          <w:rFonts w:ascii="Times New Roman" w:hAnsi="Times New Roman" w:cs="Times New Roman"/>
          <w:kern w:val="0"/>
          <w:sz w:val="16"/>
          <w:szCs w:val="16"/>
          <w14:ligatures w14:val="none"/>
        </w:rPr>
      </w:pPr>
      <w:r w:rsidRPr="00430F2F">
        <w:rPr>
          <w:rFonts w:ascii="Times New Roman" w:hAnsi="Times New Roman" w:cs="Times New Roman"/>
          <w:kern w:val="0"/>
          <w:sz w:val="16"/>
          <w:szCs w:val="16"/>
          <w14:ligatures w14:val="none"/>
        </w:rPr>
        <w:lastRenderedPageBreak/>
        <w:t xml:space="preserve">The classroom provides a </w:t>
      </w:r>
      <w:r w:rsidR="00204F9E">
        <w:rPr>
          <w:rFonts w:ascii="Times New Roman" w:hAnsi="Times New Roman" w:cs="Times New Roman"/>
          <w:kern w:val="0"/>
          <w:sz w:val="16"/>
          <w:szCs w:val="16"/>
          <w14:ligatures w14:val="none"/>
        </w:rPr>
        <w:t>natural</w:t>
      </w:r>
      <w:r w:rsidRPr="00430F2F">
        <w:rPr>
          <w:rFonts w:ascii="Times New Roman" w:hAnsi="Times New Roman" w:cs="Times New Roman"/>
          <w:kern w:val="0"/>
          <w:sz w:val="16"/>
          <w:szCs w:val="16"/>
          <w14:ligatures w14:val="none"/>
        </w:rPr>
        <w:t xml:space="preserve"> setting in which learners’ behaviours, interactions and engagement can be examined within their everyday learning environment, thereby enhancing the ecological validity of the research (Cohen, Manion and Morrison, 2018). To capture these experiences, non-participant observations will be undertaken during phonics sessions. This approach allows the researcher to observe learners’ engagement, participation, interactions with peers and responses to teaching without directly influencing classroom activities (Cohen, Manion and Morrison, 2018). Non-participant observation is particularly appropriate because it enables naturally occurring behaviours to be recorded while minimising disruption to teaching and learning. The observational data will complement the interview findings by providing contextual evidence of how learners engage with the Letters and Sounds intervention in practice, allowing comparisons between what learners say about their experiences and what is observed during phonics sessions.</w:t>
      </w:r>
    </w:p>
    <w:p w14:paraId="72B23C3E" w14:textId="77777777" w:rsidR="00E03C45" w:rsidRPr="00430F2F" w:rsidRDefault="00E03C45" w:rsidP="00430F2F">
      <w:pPr>
        <w:spacing w:line="360" w:lineRule="auto"/>
        <w:rPr>
          <w:rFonts w:ascii="Times New Roman" w:eastAsia="Times New Roman" w:hAnsi="Times New Roman" w:cs="Times New Roman"/>
          <w:sz w:val="16"/>
          <w:szCs w:val="16"/>
          <w:u w:val="single"/>
        </w:rPr>
      </w:pPr>
      <w:r w:rsidRPr="00430F2F">
        <w:rPr>
          <w:rFonts w:ascii="Times New Roman" w:eastAsia="Times New Roman" w:hAnsi="Times New Roman" w:cs="Times New Roman"/>
          <w:sz w:val="16"/>
          <w:szCs w:val="16"/>
          <w:u w:val="single"/>
        </w:rPr>
        <w:t>Sampling Method</w:t>
      </w:r>
    </w:p>
    <w:p w14:paraId="0119F33D" w14:textId="15A29000" w:rsidR="00510A9D" w:rsidRPr="00430F2F" w:rsidRDefault="00510A9D"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t xml:space="preserve">A purposive sampling strategy will be used to recruit participants for this research. Purposive sampling involves deliberately selecting individuals who have direct experience of the </w:t>
      </w:r>
      <w:r w:rsidR="00204F9E">
        <w:rPr>
          <w:rFonts w:ascii="Times New Roman" w:hAnsi="Times New Roman" w:cs="Times New Roman"/>
          <w:sz w:val="16"/>
          <w:szCs w:val="16"/>
        </w:rPr>
        <w:t>letters and sounds programme</w:t>
      </w:r>
      <w:r w:rsidRPr="00430F2F">
        <w:rPr>
          <w:rFonts w:ascii="Times New Roman" w:hAnsi="Times New Roman" w:cs="Times New Roman"/>
          <w:sz w:val="16"/>
          <w:szCs w:val="16"/>
        </w:rPr>
        <w:t xml:space="preserve"> being investigated, enabling the collection of rich and relevant data that can address the research question (Patton, 2015; Cohen, Manion and Morrison, 2018). As this study seeks to understand learners’ experiences of the </w:t>
      </w:r>
      <w:r w:rsidRPr="00430F2F">
        <w:rPr>
          <w:rStyle w:val="s2"/>
          <w:rFonts w:ascii="Times New Roman" w:hAnsi="Times New Roman" w:cs="Times New Roman"/>
          <w:sz w:val="16"/>
          <w:szCs w:val="16"/>
        </w:rPr>
        <w:t>Letters and Sounds</w:t>
      </w:r>
      <w:r w:rsidRPr="00430F2F">
        <w:rPr>
          <w:rStyle w:val="s1"/>
          <w:rFonts w:ascii="Times New Roman" w:hAnsi="Times New Roman" w:cs="Times New Roman"/>
          <w:sz w:val="16"/>
          <w:szCs w:val="16"/>
        </w:rPr>
        <w:t xml:space="preserve"> phonics intervention, only Year 1 learners who have participated in the intervention will be invited to take part in the qualitative strand of the research. Their first-hand experiences are essential for exploring how they perceive, interpret and engage with the intervention.</w:t>
      </w:r>
      <w:r w:rsidR="00204F9E">
        <w:rPr>
          <w:rStyle w:val="s1"/>
          <w:rFonts w:ascii="Times New Roman" w:hAnsi="Times New Roman" w:cs="Times New Roman"/>
          <w:sz w:val="16"/>
          <w:szCs w:val="16"/>
        </w:rPr>
        <w:t xml:space="preserve"> </w:t>
      </w:r>
      <w:r w:rsidRPr="00430F2F">
        <w:rPr>
          <w:rFonts w:ascii="Times New Roman" w:hAnsi="Times New Roman" w:cs="Times New Roman"/>
          <w:sz w:val="16"/>
          <w:szCs w:val="16"/>
        </w:rPr>
        <w:t xml:space="preserve">Purposive sampling is well suited to qualitative research because the aim is to gain an in-depth understanding of participants’ experiences rather than to produce statistically representative findings (Braun and Clarke, 2021). Approximately </w:t>
      </w:r>
      <w:r w:rsidRPr="00430F2F">
        <w:rPr>
          <w:rStyle w:val="s2"/>
          <w:rFonts w:ascii="Times New Roman" w:hAnsi="Times New Roman" w:cs="Times New Roman"/>
          <w:sz w:val="16"/>
          <w:szCs w:val="16"/>
        </w:rPr>
        <w:t>8–10 learners</w:t>
      </w:r>
      <w:r w:rsidRPr="00430F2F">
        <w:rPr>
          <w:rStyle w:val="s1"/>
          <w:rFonts w:ascii="Times New Roman" w:hAnsi="Times New Roman" w:cs="Times New Roman"/>
          <w:sz w:val="16"/>
          <w:szCs w:val="16"/>
        </w:rPr>
        <w:t xml:space="preserve"> will be recruited, as this sample size is considered sufficient to generate detailed accounts while allowing meaningful engagement with each participant (Kvale and Brinkmann, 2015). Working with a relatively small number of children will also provide the opportunity to build rapport, an important consideration when researching young learners, as trusting relationships can encourage children to communicate their views more openly and confidently (Christensen and James, 2017).</w:t>
      </w:r>
    </w:p>
    <w:p w14:paraId="559EE43F" w14:textId="7106866E" w:rsidR="008B52C1" w:rsidRPr="00430F2F" w:rsidRDefault="00510A9D"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t xml:space="preserve">To capture a range of perspectives, participants will be selected to represent differing levels of reading attainment, confidence and engagement with the phonics intervention. Including learners with varied experiences is intended to provide a broader understanding of how the intervention is perceived across the group, rather than reflecting the views of only the highest- or lowest-attaining learners (Patton, 2015). Although the findings will not be statistically generalisable, the diversity within the sample will strengthen the richness and credibility of the data, enabling a more comprehensive exploration of learners’ experiences of the </w:t>
      </w:r>
      <w:r w:rsidRPr="00430F2F">
        <w:rPr>
          <w:rStyle w:val="s2"/>
          <w:rFonts w:ascii="Times New Roman" w:hAnsi="Times New Roman" w:cs="Times New Roman"/>
          <w:sz w:val="16"/>
          <w:szCs w:val="16"/>
        </w:rPr>
        <w:t>Letters and Sounds</w:t>
      </w:r>
      <w:r w:rsidRPr="00430F2F">
        <w:rPr>
          <w:rStyle w:val="s1"/>
          <w:rFonts w:ascii="Times New Roman" w:hAnsi="Times New Roman" w:cs="Times New Roman"/>
          <w:sz w:val="16"/>
          <w:szCs w:val="16"/>
        </w:rPr>
        <w:t xml:space="preserve"> intervention.</w:t>
      </w:r>
    </w:p>
    <w:p w14:paraId="6B46F119" w14:textId="5B00011C" w:rsidR="005C1A2C" w:rsidRPr="00430F2F" w:rsidRDefault="005C1A2C" w:rsidP="00430F2F">
      <w:pPr>
        <w:spacing w:line="360" w:lineRule="auto"/>
        <w:rPr>
          <w:rFonts w:ascii="Times New Roman" w:hAnsi="Times New Roman" w:cs="Times New Roman"/>
          <w:sz w:val="16"/>
          <w:szCs w:val="16"/>
          <w:u w:val="single"/>
        </w:rPr>
      </w:pPr>
      <w:r w:rsidRPr="00430F2F">
        <w:rPr>
          <w:rFonts w:ascii="Times New Roman" w:eastAsia="Times New Roman" w:hAnsi="Times New Roman" w:cs="Times New Roman"/>
          <w:sz w:val="16"/>
          <w:szCs w:val="16"/>
          <w:u w:val="single"/>
        </w:rPr>
        <w:t>Rationale</w:t>
      </w:r>
    </w:p>
    <w:p w14:paraId="2E0CD36C" w14:textId="77777777" w:rsidR="005475D1" w:rsidRPr="00430F2F" w:rsidRDefault="005475D1"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t xml:space="preserve">The use of purposive sampling is appropriate because the aim of this research question is to develop a detailed understanding of how Year 1 learners experience and perceive the </w:t>
      </w:r>
      <w:r w:rsidRPr="00430F2F">
        <w:rPr>
          <w:rStyle w:val="s2"/>
          <w:rFonts w:ascii="Times New Roman" w:hAnsi="Times New Roman" w:cs="Times New Roman"/>
          <w:sz w:val="16"/>
          <w:szCs w:val="16"/>
        </w:rPr>
        <w:t>Letters and Sounds</w:t>
      </w:r>
      <w:r w:rsidRPr="00430F2F">
        <w:rPr>
          <w:rStyle w:val="s1"/>
          <w:rFonts w:ascii="Times New Roman" w:hAnsi="Times New Roman" w:cs="Times New Roman"/>
          <w:sz w:val="16"/>
          <w:szCs w:val="16"/>
        </w:rPr>
        <w:t xml:space="preserve"> phonics intervention, rather than to produce findings that are statistically generalisable. Rather than seeking to represent the views of all Year 1 learners, the research focuses on children who have direct experience of the intervention and can provide meaningful insights into how they interpret, engage with and respond to phonics teaching. This approach is consistent with a constructivist epistemology, which recognises that knowledge is constructed through individuals’ experiences and interactions within their social and educational contexts (Crotty, 1998; Vygotsky, 1978).</w:t>
      </w:r>
    </w:p>
    <w:p w14:paraId="668C8B53" w14:textId="77777777" w:rsidR="00430F2F" w:rsidRDefault="005475D1"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Selecting participants with relevant experience enables the collection of rich, contextualised data that reflect the complexity of children’s learning experiences (Patton, 2015). By exploring learners’ own perspectives, the research moves beyond determining whether the intervention is effective to understanding how and why it is experienced differently by individual learners. These insights will complement the quantitative findings by providing a deeper understanding of learners’ engagement, confidence and perceptions of the intervention, thereby strengthening the overall interpretation of the research.</w:t>
      </w:r>
    </w:p>
    <w:p w14:paraId="0A59DDB0" w14:textId="5EAE7A09" w:rsidR="00024206" w:rsidRPr="00430F2F" w:rsidRDefault="00024206"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u w:val="single"/>
        </w:rPr>
        <w:t>Considerations</w:t>
      </w:r>
    </w:p>
    <w:p w14:paraId="5DEEA615" w14:textId="77777777" w:rsidR="00AC16DD" w:rsidRPr="00430F2F" w:rsidRDefault="00AC16DD"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t xml:space="preserve">Several important considerations will inform the sampling process. Inclusivity will be prioritised by selecting learners with a range of genders, reading abilities and levels of engagement to ensure that diverse experiences of the </w:t>
      </w:r>
      <w:r w:rsidRPr="00430F2F">
        <w:rPr>
          <w:rStyle w:val="s2"/>
          <w:rFonts w:ascii="Times New Roman" w:hAnsi="Times New Roman" w:cs="Times New Roman"/>
          <w:sz w:val="16"/>
          <w:szCs w:val="16"/>
        </w:rPr>
        <w:t>Letters and Sounds</w:t>
      </w:r>
      <w:r w:rsidRPr="00430F2F">
        <w:rPr>
          <w:rStyle w:val="s1"/>
          <w:rFonts w:ascii="Times New Roman" w:hAnsi="Times New Roman" w:cs="Times New Roman"/>
          <w:sz w:val="16"/>
          <w:szCs w:val="16"/>
        </w:rPr>
        <w:t xml:space="preserve"> intervention are represented. As this research is being conducted within </w:t>
      </w:r>
      <w:r w:rsidRPr="00430F2F">
        <w:rPr>
          <w:rStyle w:val="s2"/>
          <w:rFonts w:ascii="Times New Roman" w:hAnsi="Times New Roman" w:cs="Times New Roman"/>
          <w:sz w:val="16"/>
          <w:szCs w:val="16"/>
        </w:rPr>
        <w:t>my own Year 1 classroom</w:t>
      </w:r>
      <w:r w:rsidRPr="00430F2F">
        <w:rPr>
          <w:rStyle w:val="s1"/>
          <w:rFonts w:ascii="Times New Roman" w:hAnsi="Times New Roman" w:cs="Times New Roman"/>
          <w:sz w:val="16"/>
          <w:szCs w:val="16"/>
        </w:rPr>
        <w:t>, the sampling strategy is influenced by more than practical considerations. Working with my own class enables the research to take place within a familiar learning environment where established relationships and classroom routines already exist. This familiarity may help learners feel more comfortable expressing their views and behaving naturally during observations, thereby generating richer and more authentic data. It also allows the research to examine learners’ experiences within the everyday context in which the intervention is delivered, increasing the ecological validity of the findings (Cohen, Manion and Morrison, 2018).</w:t>
      </w:r>
    </w:p>
    <w:p w14:paraId="25DAD7D0" w14:textId="77777777" w:rsidR="00E420D5" w:rsidRPr="00430F2F" w:rsidRDefault="00AC16DD"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lastRenderedPageBreak/>
        <w:t>However, my dual role as both teacher and researcher introduces the potential for bias in participant selection, data collection and interpretation. Learners may respond differently because they know me as their teacher, and my existing knowledge of the children could inadvertently influence how I interpret their responses (Berger, 2015). To minimise these risks, participant selection will be based on predetermined inclusion criteria rather than personal preference, and a reflective journal will be maintained throughout the research to critically examine my assumptions, decisions and potential influence on the research process. In addition, observation notes and interview transcripts will be reviewed systematically using a transparent coding process, with interpretations grounded in participants’ own words rather than preconceived expectations (Braun and Clarke, 2021; Cohen, Manion and Morrison, 2018). These strategies will enhance the credibility, transparency and trustworthiness of the findings.</w:t>
      </w:r>
    </w:p>
    <w:p w14:paraId="2F9939B8" w14:textId="76EAB97D" w:rsidR="00AE7C08" w:rsidRPr="00430F2F" w:rsidRDefault="008F3554" w:rsidP="00430F2F">
      <w:pPr>
        <w:spacing w:line="360" w:lineRule="auto"/>
        <w:rPr>
          <w:rFonts w:ascii="Times New Roman" w:eastAsia="Times New Roman" w:hAnsi="Times New Roman" w:cs="Times New Roman"/>
          <w:sz w:val="16"/>
          <w:szCs w:val="16"/>
          <w:u w:val="single"/>
        </w:rPr>
      </w:pPr>
      <w:r w:rsidRPr="00430F2F">
        <w:rPr>
          <w:rFonts w:ascii="Times New Roman" w:eastAsia="Times New Roman" w:hAnsi="Times New Roman" w:cs="Times New Roman"/>
          <w:sz w:val="16"/>
          <w:szCs w:val="16"/>
          <w:u w:val="single"/>
        </w:rPr>
        <w:t>Ethics</w:t>
      </w:r>
    </w:p>
    <w:p w14:paraId="07124EB6" w14:textId="77777777" w:rsidR="008B52C1" w:rsidRPr="00430F2F" w:rsidRDefault="008B52C1" w:rsidP="00430F2F">
      <w:pPr>
        <w:spacing w:line="360" w:lineRule="auto"/>
        <w:rPr>
          <w:rFonts w:ascii="Times New Roman" w:eastAsia="Times New Roman" w:hAnsi="Times New Roman" w:cs="Times New Roman"/>
          <w:sz w:val="16"/>
          <w:szCs w:val="16"/>
        </w:rPr>
      </w:pPr>
      <w:r w:rsidRPr="00430F2F">
        <w:rPr>
          <w:rFonts w:ascii="Times New Roman" w:eastAsia="Times New Roman" w:hAnsi="Times New Roman" w:cs="Times New Roman"/>
          <w:sz w:val="16"/>
          <w:szCs w:val="16"/>
        </w:rPr>
        <w:t>Research involving young children requires careful ethical consideration to protect participants’ rights, wellbeing and dignity. This is particularly important for Year 1 learners (aged 5–6 years), who may have limited understanding of research and may perceive the researcher primarily as their class teacher. Therefore, participation must be voluntary and free from perceived coercion. The study follows the ethical principles of the British Educational Research Association (BERA, 2024) and the University of Wales Trinity Saint David Ethics Guide (UWTSD, 2023), which emphasise informed consent, child assent, confidentiality, safeguarding and the right to withdraw (Christensen and James, 2017).</w:t>
      </w:r>
    </w:p>
    <w:p w14:paraId="646251FD" w14:textId="77777777" w:rsidR="008B52C1" w:rsidRPr="00430F2F" w:rsidRDefault="008B52C1" w:rsidP="00430F2F">
      <w:pPr>
        <w:spacing w:line="360" w:lineRule="auto"/>
        <w:rPr>
          <w:rFonts w:ascii="Times New Roman" w:eastAsia="Times New Roman" w:hAnsi="Times New Roman" w:cs="Times New Roman"/>
          <w:sz w:val="16"/>
          <w:szCs w:val="16"/>
        </w:rPr>
      </w:pPr>
      <w:r w:rsidRPr="00430F2F">
        <w:rPr>
          <w:rFonts w:ascii="Times New Roman" w:eastAsia="Times New Roman" w:hAnsi="Times New Roman" w:cs="Times New Roman"/>
          <w:sz w:val="16"/>
          <w:szCs w:val="16"/>
        </w:rPr>
        <w:t>Parental consent will be obtained through an information sheet outlining the research purpose, procedures, data management and withdrawal rights (BERA, 2024). However, children’s assent is equally important and will be sought through age-appropriate explanations, visual prompts and opportunities to ask questions. Learners will be reminded that participation is voluntary, there are no right or wrong answers, and they can withdraw at any stage (Alderson, 2008; Alderson and Morrow, 2011).</w:t>
      </w:r>
    </w:p>
    <w:p w14:paraId="5EFD7FB8" w14:textId="4568ECA7" w:rsidR="008B52C1" w:rsidRPr="00430F2F" w:rsidRDefault="008B52C1" w:rsidP="00430F2F">
      <w:pPr>
        <w:spacing w:line="360" w:lineRule="auto"/>
        <w:rPr>
          <w:rFonts w:ascii="Times New Roman" w:eastAsia="Times New Roman" w:hAnsi="Times New Roman" w:cs="Times New Roman"/>
          <w:sz w:val="16"/>
          <w:szCs w:val="16"/>
        </w:rPr>
      </w:pPr>
      <w:r w:rsidRPr="00430F2F">
        <w:rPr>
          <w:rFonts w:ascii="Times New Roman" w:eastAsia="Times New Roman" w:hAnsi="Times New Roman" w:cs="Times New Roman"/>
          <w:sz w:val="16"/>
          <w:szCs w:val="16"/>
        </w:rPr>
        <w:t>Confidentiality will be maintained through pseudonyms and removal of identifying information. Data will be securely stored in line with UK GDPR and the Data Protection Act 2018 using password-protected systems with restricted access (BERA, 2024). Interviews and observations will be brief, child-centred and conducted in familiar contexts to minimise anxiety, with questions focusing on experiences rather than attainment (Christensen and James, 2017).</w:t>
      </w:r>
      <w:r w:rsidR="00204F9E">
        <w:rPr>
          <w:rFonts w:ascii="Times New Roman" w:eastAsia="Times New Roman" w:hAnsi="Times New Roman" w:cs="Times New Roman"/>
          <w:sz w:val="16"/>
          <w:szCs w:val="16"/>
        </w:rPr>
        <w:t xml:space="preserve"> </w:t>
      </w:r>
      <w:r w:rsidRPr="00430F2F">
        <w:rPr>
          <w:rFonts w:ascii="Times New Roman" w:eastAsia="Times New Roman" w:hAnsi="Times New Roman" w:cs="Times New Roman"/>
          <w:sz w:val="16"/>
          <w:szCs w:val="16"/>
        </w:rPr>
        <w:t>The teacher-researcher role may introduce bias and influence responses (Berger, 2015). Reflexivity will therefore be supported through a reflective journal, audit trail and supervisory discussions to enhance transparency and trustworthiness (Lincoln and Guba, 1985; Berger, 2015; Cohen, Manion and Morrison, 2018).</w:t>
      </w:r>
    </w:p>
    <w:p w14:paraId="20B0D70F" w14:textId="45FF8B3B" w:rsidR="008B52C1" w:rsidRPr="00430F2F" w:rsidRDefault="008B52C1" w:rsidP="00430F2F">
      <w:pPr>
        <w:spacing w:line="360" w:lineRule="auto"/>
        <w:rPr>
          <w:rFonts w:ascii="Times New Roman" w:eastAsia="Times New Roman" w:hAnsi="Times New Roman" w:cs="Times New Roman"/>
          <w:sz w:val="16"/>
          <w:szCs w:val="16"/>
        </w:rPr>
      </w:pPr>
      <w:r w:rsidRPr="00430F2F">
        <w:rPr>
          <w:rFonts w:ascii="Times New Roman" w:eastAsia="Times New Roman" w:hAnsi="Times New Roman" w:cs="Times New Roman"/>
          <w:sz w:val="16"/>
          <w:szCs w:val="16"/>
        </w:rPr>
        <w:t>Ethical approval will be obtained from the University of Wales Trinity Saint David Research Ethics Committee before recruitment</w:t>
      </w:r>
      <w:r w:rsidR="00204F9E">
        <w:rPr>
          <w:rFonts w:ascii="Times New Roman" w:eastAsia="Times New Roman" w:hAnsi="Times New Roman" w:cs="Times New Roman"/>
          <w:sz w:val="16"/>
          <w:szCs w:val="16"/>
        </w:rPr>
        <w:t xml:space="preserve">. </w:t>
      </w:r>
      <w:r w:rsidRPr="00430F2F">
        <w:rPr>
          <w:rFonts w:ascii="Times New Roman" w:eastAsia="Times New Roman" w:hAnsi="Times New Roman" w:cs="Times New Roman"/>
          <w:sz w:val="16"/>
          <w:szCs w:val="16"/>
        </w:rPr>
        <w:t>Ongoing ethical practice will prioritise children’s wellbeing, voluntary participation and the integrity of the research (BERA, 2024; Cohen, Manion and Morrison, 2018).</w:t>
      </w:r>
    </w:p>
    <w:p w14:paraId="18381E23" w14:textId="7503E6EE" w:rsidR="008F3554" w:rsidRPr="00430F2F" w:rsidRDefault="008F3554" w:rsidP="00430F2F">
      <w:pPr>
        <w:spacing w:line="360" w:lineRule="auto"/>
        <w:rPr>
          <w:rFonts w:ascii="Times New Roman" w:eastAsia="Times New Roman" w:hAnsi="Times New Roman" w:cs="Times New Roman"/>
          <w:sz w:val="16"/>
          <w:szCs w:val="16"/>
          <w:u w:val="single"/>
        </w:rPr>
      </w:pPr>
      <w:r w:rsidRPr="00430F2F">
        <w:rPr>
          <w:rFonts w:ascii="Times New Roman" w:eastAsia="Times New Roman" w:hAnsi="Times New Roman" w:cs="Times New Roman"/>
          <w:sz w:val="16"/>
          <w:szCs w:val="16"/>
          <w:u w:val="single"/>
        </w:rPr>
        <w:t>Research Tools</w:t>
      </w:r>
    </w:p>
    <w:p w14:paraId="01167A91" w14:textId="77777777" w:rsidR="00F920D9" w:rsidRPr="00430F2F" w:rsidRDefault="00F920D9"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To address Research Question 2 (RQ2), data collection methods must be developmentally appropriate for Year 1 learners while generating credible qualitative evidence. Children aged 5–6 years often communicate most effectively through familiar, concrete and participatory approaches rather than abstract questioning (Alderson and Morrow, 2011; Christensen and James, 2017). Consequently, this study adopts a qualitative multi-method design comprising semi-structured interviews, non-participant classroom observations and child-centred reflective activities. Combining these methods facilitates methodological triangulation, enabling children's reported experiences to be considered alongside observed behaviours, thereby enhancing the credibility and trustworthiness of the findings (Cohen, Manion and Morrison, 2018).</w:t>
      </w:r>
    </w:p>
    <w:p w14:paraId="52EB0742" w14:textId="77777777" w:rsidR="00204F9E" w:rsidRDefault="00F920D9"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Semi-structured interviews provide sufficient consistency to address the research question while allowing flexibility for children to discuss aspects of the Letters and Sounds intervention that they consider meaningful (Kvale and Brinkmann, 2015). Questions will be phrased using simple, familiar language, such as, </w:t>
      </w:r>
      <w:r w:rsidRPr="00430F2F">
        <w:rPr>
          <w:rStyle w:val="Emphasis"/>
          <w:rFonts w:ascii="Times New Roman" w:hAnsi="Times New Roman" w:cs="Times New Roman"/>
          <w:i w:val="0"/>
          <w:iCs w:val="0"/>
          <w:sz w:val="16"/>
          <w:szCs w:val="16"/>
        </w:rPr>
        <w:t>“What did you enjoy about today’s phonics lesson?”</w:t>
      </w:r>
      <w:r w:rsidRPr="00430F2F">
        <w:rPr>
          <w:rFonts w:ascii="Times New Roman" w:hAnsi="Times New Roman" w:cs="Times New Roman"/>
          <w:sz w:val="16"/>
          <w:szCs w:val="16"/>
        </w:rPr>
        <w:t xml:space="preserve">, </w:t>
      </w:r>
      <w:r w:rsidRPr="00430F2F">
        <w:rPr>
          <w:rStyle w:val="Emphasis"/>
          <w:rFonts w:ascii="Times New Roman" w:hAnsi="Times New Roman" w:cs="Times New Roman"/>
          <w:i w:val="0"/>
          <w:iCs w:val="0"/>
          <w:sz w:val="16"/>
          <w:szCs w:val="16"/>
        </w:rPr>
        <w:t>“Was anything tricky?”</w:t>
      </w:r>
      <w:r w:rsidRPr="00430F2F">
        <w:rPr>
          <w:rFonts w:ascii="Times New Roman" w:hAnsi="Times New Roman" w:cs="Times New Roman"/>
          <w:sz w:val="16"/>
          <w:szCs w:val="16"/>
        </w:rPr>
        <w:t xml:space="preserve"> and </w:t>
      </w:r>
      <w:r w:rsidRPr="00430F2F">
        <w:rPr>
          <w:rStyle w:val="Emphasis"/>
          <w:rFonts w:ascii="Times New Roman" w:hAnsi="Times New Roman" w:cs="Times New Roman"/>
          <w:i w:val="0"/>
          <w:iCs w:val="0"/>
          <w:sz w:val="16"/>
          <w:szCs w:val="16"/>
        </w:rPr>
        <w:t>“How did the phonics games make you feel?”</w:t>
      </w:r>
      <w:r w:rsidRPr="00430F2F">
        <w:rPr>
          <w:rFonts w:ascii="Times New Roman" w:hAnsi="Times New Roman" w:cs="Times New Roman"/>
          <w:sz w:val="16"/>
          <w:szCs w:val="16"/>
        </w:rPr>
        <w:t>. Visual prompts, including emoji feeling cards and images of familiar phonics activities, will support children who find verbal expression challenging (Clark and Moss, 2017). These adaptations recognise young children's developing communication skills and seek to maximise participation.</w:t>
      </w:r>
      <w:r w:rsidR="00204F9E">
        <w:rPr>
          <w:rFonts w:ascii="Times New Roman" w:hAnsi="Times New Roman" w:cs="Times New Roman"/>
          <w:sz w:val="16"/>
          <w:szCs w:val="16"/>
        </w:rPr>
        <w:t xml:space="preserve"> </w:t>
      </w:r>
      <w:r w:rsidRPr="00430F2F">
        <w:rPr>
          <w:rFonts w:ascii="Times New Roman" w:hAnsi="Times New Roman" w:cs="Times New Roman"/>
          <w:sz w:val="16"/>
          <w:szCs w:val="16"/>
        </w:rPr>
        <w:t xml:space="preserve">A key strength of semi-structured interviews is their capacity to capture children's perspectives, emotions and interpretations of learning experiences (Braun and Clarke, 2021). However, young children may provide responses they perceive as desirable or expected by adults (Alderson and Morrow, 2011; Christensen and James, 2017). To reduce this risk, interviews will be conducted in a familiar environment, children will be reminded that there are no right or wrong answers, and neutral prompts (e.g., </w:t>
      </w:r>
      <w:r w:rsidRPr="00430F2F">
        <w:rPr>
          <w:rStyle w:val="Emphasis"/>
          <w:rFonts w:ascii="Times New Roman" w:hAnsi="Times New Roman" w:cs="Times New Roman"/>
          <w:i w:val="0"/>
          <w:iCs w:val="0"/>
          <w:sz w:val="16"/>
          <w:szCs w:val="16"/>
        </w:rPr>
        <w:t>“Can you tell me more about that?”</w:t>
      </w:r>
      <w:r w:rsidRPr="00430F2F">
        <w:rPr>
          <w:rFonts w:ascii="Times New Roman" w:hAnsi="Times New Roman" w:cs="Times New Roman"/>
          <w:sz w:val="16"/>
          <w:szCs w:val="16"/>
        </w:rPr>
        <w:t>) will encourage elaboration without leading responses.</w:t>
      </w:r>
    </w:p>
    <w:p w14:paraId="1E165B8E" w14:textId="1084D4F9" w:rsidR="00F920D9" w:rsidRPr="00430F2F" w:rsidRDefault="00F920D9"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lastRenderedPageBreak/>
        <w:t xml:space="preserve">Non-participant classroom observations complement interview data by capturing learners' engagement within authentic classroom contexts (Cohen, Manion and Morrison, 2018). A semi-structured observation schedule will record participation, attention, peer interaction and emotional responses during the Letters and Sounds intervention. Approximately 8–10 pupils will be observed across several </w:t>
      </w:r>
      <w:r w:rsidR="00B9734A" w:rsidRPr="00430F2F">
        <w:rPr>
          <w:rFonts w:ascii="Times New Roman" w:hAnsi="Times New Roman" w:cs="Times New Roman"/>
          <w:sz w:val="16"/>
          <w:szCs w:val="16"/>
        </w:rPr>
        <w:t>1</w:t>
      </w:r>
      <w:r w:rsidRPr="00430F2F">
        <w:rPr>
          <w:rFonts w:ascii="Times New Roman" w:hAnsi="Times New Roman" w:cs="Times New Roman"/>
          <w:sz w:val="16"/>
          <w:szCs w:val="16"/>
        </w:rPr>
        <w:t>0–</w:t>
      </w:r>
      <w:r w:rsidR="00B9734A" w:rsidRPr="00430F2F">
        <w:rPr>
          <w:rFonts w:ascii="Times New Roman" w:hAnsi="Times New Roman" w:cs="Times New Roman"/>
          <w:sz w:val="16"/>
          <w:szCs w:val="16"/>
        </w:rPr>
        <w:t>15-minute</w:t>
      </w:r>
      <w:r w:rsidRPr="00430F2F">
        <w:rPr>
          <w:rFonts w:ascii="Times New Roman" w:hAnsi="Times New Roman" w:cs="Times New Roman"/>
          <w:sz w:val="16"/>
          <w:szCs w:val="16"/>
        </w:rPr>
        <w:t xml:space="preserve"> phonics sessions. Observation notes will document both verbal and non-verbal behaviours, including persistence, facial expressions and collaborative interactions. As the researcher is also the class teacher, observer bias represents a potential limitation (Berger, 2015). To enhance rigour, observations will follow predetermined criteria, reflexive notes will be maintained, and interpretations will remain grounded in recorded evidence rather than prior knowledge of individual pupils (Berger, 2015; Cohen, Manion and Morrison, 2018).</w:t>
      </w:r>
    </w:p>
    <w:p w14:paraId="0B70AAEE" w14:textId="2B108183" w:rsidR="00F920D9" w:rsidRPr="00430F2F" w:rsidRDefault="00F920D9"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Reflective draw-and-talk activities provide an additional child-centred method for eliciting perspectives that may not emerge through spoken language alone. Informed by the Mosaic Approach, these activities recognise children as active meaning-makers whose experiences are communicated through multiple modes (Clark and Moss, 2017). Learners will be invited to draw a memorable phonics activity or illustrate how they felt during a session before discussing their drawing with the researcher. Importantly, drawings will not be interpreted independently; instead, children's own explanations will guide analysis, reducing adult assumptions and ensuring participants' voices remain central (Clark and Moss, 2017).</w:t>
      </w:r>
      <w:r w:rsidR="00204F9E">
        <w:rPr>
          <w:rFonts w:ascii="Times New Roman" w:hAnsi="Times New Roman" w:cs="Times New Roman"/>
          <w:sz w:val="16"/>
          <w:szCs w:val="16"/>
        </w:rPr>
        <w:t xml:space="preserve"> </w:t>
      </w:r>
      <w:r w:rsidRPr="00430F2F">
        <w:rPr>
          <w:rFonts w:ascii="Times New Roman" w:hAnsi="Times New Roman" w:cs="Times New Roman"/>
          <w:sz w:val="16"/>
          <w:szCs w:val="16"/>
        </w:rPr>
        <w:t>The use of interviews, observations and reflective activities enables methodological triangulation by comparing evidence across different sources (Denzin, 1978; Cohen, Manion and Morrison, 2018). Convergence between children's accounts, observed behaviours and reflective representations strengthens confidence in the findings, while discrepancies will be explored as meaningful insights rather than methodological weaknesses.</w:t>
      </w:r>
    </w:p>
    <w:p w14:paraId="7C5A2C12" w14:textId="77777777" w:rsidR="00F920D9" w:rsidRPr="00430F2F" w:rsidRDefault="00F920D9"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Qualitative data will be analysed using reflexive thematic analysis (Braun and Clarke, 2021). Analysis will involve familiarisation with the data, systematic coding and the development of themes that capture recurring patterns, including engagement, confidence, enjoyment and perceived challenge. Given the interpretive nature of thematic analysis, reflexivity will be embedded throughout the process through the maintenance of a reflective journal documenting methodological decisions and potential assumptions (Berger, 2015). An audit trail will record the progression from initial codes to final themes, while regular discussions with the supervisory team will support critical reflection and enhance the credibility and dependability of the analysis (Lincoln and Guba, 1985; Berger, 2015; Braun and Clarke, 2021).</w:t>
      </w:r>
    </w:p>
    <w:p w14:paraId="6C718FC5" w14:textId="453E60F5" w:rsidR="00F920D9" w:rsidRPr="00430F2F" w:rsidRDefault="00F920D9"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Overall, the integration of interviews, non-participant observations and reflective activities provides a robust, child-centred methodological framework for exploring Year 1 pupils' experiences of the Letters and Sounds intervention. Supported by methodological triangulation, reflexivity and systematic thematic analysis, this approach aims to generate a nuanced and trustworthy understanding of how young children experience early phonics instruction.</w:t>
      </w:r>
    </w:p>
    <w:p w14:paraId="396001F4" w14:textId="5E6DE5A4" w:rsidR="0067484F" w:rsidRPr="00430F2F" w:rsidRDefault="00D3149B" w:rsidP="00430F2F">
      <w:pPr>
        <w:spacing w:line="360" w:lineRule="auto"/>
        <w:rPr>
          <w:rFonts w:ascii="Times New Roman" w:eastAsia="Times New Roman" w:hAnsi="Times New Roman" w:cs="Times New Roman"/>
          <w:sz w:val="16"/>
          <w:szCs w:val="16"/>
          <w:u w:val="single"/>
        </w:rPr>
      </w:pPr>
      <w:r w:rsidRPr="00430F2F">
        <w:rPr>
          <w:rFonts w:ascii="Times New Roman" w:eastAsia="Times New Roman" w:hAnsi="Times New Roman" w:cs="Times New Roman"/>
          <w:sz w:val="16"/>
          <w:szCs w:val="16"/>
          <w:u w:val="single"/>
        </w:rPr>
        <w:t>Data analysis Method</w:t>
      </w:r>
    </w:p>
    <w:p w14:paraId="3A3AFA51" w14:textId="77777777" w:rsidR="00204F9E" w:rsidRDefault="0067484F" w:rsidP="00430F2F">
      <w:pPr>
        <w:spacing w:line="360" w:lineRule="auto"/>
        <w:rPr>
          <w:rFonts w:ascii="Times New Roman" w:hAnsi="Times New Roman" w:cs="Times New Roman"/>
          <w:kern w:val="0"/>
          <w:sz w:val="16"/>
          <w:szCs w:val="16"/>
          <w14:ligatures w14:val="none"/>
        </w:rPr>
      </w:pPr>
      <w:r w:rsidRPr="00430F2F">
        <w:rPr>
          <w:rFonts w:ascii="Times New Roman" w:hAnsi="Times New Roman" w:cs="Times New Roman"/>
          <w:kern w:val="0"/>
          <w:sz w:val="16"/>
          <w:szCs w:val="16"/>
          <w14:ligatures w14:val="none"/>
        </w:rPr>
        <w:t xml:space="preserve">Thematic analysis was selected as the most appropriate method for analysing the qualitative data because it aligns with the interpretivist aims of this research question and supports an in-depth exploration of learners’ experiences of the Letters and Sounds phonics intervention. </w:t>
      </w:r>
    </w:p>
    <w:p w14:paraId="0620562D" w14:textId="13F1B1B4" w:rsidR="0067484F" w:rsidRPr="00430F2F" w:rsidRDefault="0067484F" w:rsidP="00430F2F">
      <w:pPr>
        <w:spacing w:line="360" w:lineRule="auto"/>
        <w:rPr>
          <w:rFonts w:ascii="Times New Roman" w:hAnsi="Times New Roman" w:cs="Times New Roman"/>
          <w:kern w:val="0"/>
          <w:sz w:val="16"/>
          <w:szCs w:val="16"/>
          <w14:ligatures w14:val="none"/>
        </w:rPr>
      </w:pPr>
      <w:r w:rsidRPr="00430F2F">
        <w:rPr>
          <w:rFonts w:ascii="Times New Roman" w:hAnsi="Times New Roman" w:cs="Times New Roman"/>
          <w:kern w:val="0"/>
          <w:sz w:val="16"/>
          <w:szCs w:val="16"/>
          <w14:ligatures w14:val="none"/>
        </w:rPr>
        <w:t>Thematic analysis is a flexible and widely used approach for identifying, analysing and interpreting patterns of meaning across qualitative datasets (Braun and Clarke, 2006). Its flexibility makes it particularly suitable for this research, as it allows interview data, classroom observations and reflective tasks to be analysed together, providing a coherent understanding of how learners experience the intervention.</w:t>
      </w:r>
      <w:r w:rsidR="00204F9E">
        <w:rPr>
          <w:rFonts w:ascii="Times New Roman" w:hAnsi="Times New Roman" w:cs="Times New Roman"/>
          <w:kern w:val="0"/>
          <w:sz w:val="16"/>
          <w:szCs w:val="16"/>
          <w14:ligatures w14:val="none"/>
        </w:rPr>
        <w:t xml:space="preserve"> </w:t>
      </w:r>
      <w:r w:rsidRPr="00430F2F">
        <w:rPr>
          <w:rFonts w:ascii="Times New Roman" w:hAnsi="Times New Roman" w:cs="Times New Roman"/>
          <w:kern w:val="0"/>
          <w:sz w:val="16"/>
          <w:szCs w:val="16"/>
          <w14:ligatures w14:val="none"/>
        </w:rPr>
        <w:t>Analysis will begin with familiarisation, during which interview transcripts, observation records and children’s reflective activities will be read and re-read to develop a detailed understanding of the dataset (Braun and Clarke, 2006). Initial codes will then be generated by systematically identifying meaningful features of the data. Within this research, codes may relate to ideas such as enjoyment, engagement, confidence, challenge or perceived difficulty during phonics sessions. Coding provides an organised framework for managing qualitative data and forms the basis for the development of themes (Nowell et al., 2017).</w:t>
      </w:r>
      <w:r w:rsidR="00204F9E">
        <w:rPr>
          <w:rFonts w:ascii="Times New Roman" w:hAnsi="Times New Roman" w:cs="Times New Roman"/>
          <w:kern w:val="0"/>
          <w:sz w:val="16"/>
          <w:szCs w:val="16"/>
          <w14:ligatures w14:val="none"/>
        </w:rPr>
        <w:t xml:space="preserve"> </w:t>
      </w:r>
      <w:r w:rsidRPr="00430F2F">
        <w:rPr>
          <w:rFonts w:ascii="Times New Roman" w:hAnsi="Times New Roman" w:cs="Times New Roman"/>
          <w:kern w:val="0"/>
          <w:sz w:val="16"/>
          <w:szCs w:val="16"/>
          <w14:ligatures w14:val="none"/>
        </w:rPr>
        <w:t>The coded data will then be examined to identify broader themes that capture important aspects of learners’ experiences. For example, codes relating to enthusiasm, participation and persistence may contribute to a theme of engagement, whereas codes associated with uncertainty or frustration may form a theme relating to challenge. Themes will be reviewed against the complete dataset to ensure that they accurately represent participants’ accounts and are supported by sufficient evidence. Once refined, each theme will be clearly defined and interpreted in relation to the research question and the wider literature, enabling meaningful conclusions to be drawn about learners’ experiences of the phonics intervention.</w:t>
      </w:r>
    </w:p>
    <w:p w14:paraId="7374E4F1" w14:textId="0AB16027" w:rsidR="00423CD6" w:rsidRPr="00430F2F" w:rsidRDefault="0067484F" w:rsidP="00430F2F">
      <w:pPr>
        <w:spacing w:line="360" w:lineRule="auto"/>
        <w:rPr>
          <w:rFonts w:ascii="Times New Roman" w:hAnsi="Times New Roman" w:cs="Times New Roman"/>
          <w:kern w:val="0"/>
          <w:sz w:val="16"/>
          <w:szCs w:val="16"/>
          <w14:ligatures w14:val="none"/>
        </w:rPr>
      </w:pPr>
      <w:r w:rsidRPr="00430F2F">
        <w:rPr>
          <w:rFonts w:ascii="Times New Roman" w:hAnsi="Times New Roman" w:cs="Times New Roman"/>
          <w:kern w:val="0"/>
          <w:sz w:val="16"/>
          <w:szCs w:val="16"/>
          <w14:ligatures w14:val="none"/>
        </w:rPr>
        <w:t xml:space="preserve">A major strength of thematic analysis is its flexibility. As it is not restricted to a single theoretical framework, it can be applied within the constructivist paradigm underpinning this research, allowing learners’ meanings and experiences to remain central to the analysis (Braun and Clarke, 2006). The approach also facilitates rich and detailed exploration of participants’ perspectives, making it particularly appropriate when researching young children. However, thematic analysis is inherently interpretive, meaning that my interpretation of the data may be </w:t>
      </w:r>
      <w:r w:rsidRPr="00430F2F">
        <w:rPr>
          <w:rFonts w:ascii="Times New Roman" w:hAnsi="Times New Roman" w:cs="Times New Roman"/>
          <w:kern w:val="0"/>
          <w:sz w:val="16"/>
          <w:szCs w:val="16"/>
          <w14:ligatures w14:val="none"/>
        </w:rPr>
        <w:lastRenderedPageBreak/>
        <w:t>influenced by my experiences, assumptions and dual role as both teacher and researcher (Berger, 2015). To enhance the credibility and trustworthiness of the analysis, reflexivity will be maintained throughout the research by keeping a reflective journal that documents analytical decisions, assumptions and the development of themes. A clear audit trail will also be maintained to demonstrate how codes were generated, refined and developed into themes, ensuring that interpretations remain grounded in the data and are transparent to the reader (Lincoln and Guba, 1985; Nowell et al. 2017).</w:t>
      </w:r>
    </w:p>
    <w:p w14:paraId="7E9B7853" w14:textId="202C9848" w:rsidR="008F3554" w:rsidRPr="00430F2F" w:rsidRDefault="008F3554" w:rsidP="00430F2F">
      <w:pPr>
        <w:spacing w:line="360" w:lineRule="auto"/>
        <w:rPr>
          <w:rFonts w:ascii="Times New Roman" w:eastAsia="Times New Roman" w:hAnsi="Times New Roman" w:cs="Times New Roman"/>
          <w:sz w:val="16"/>
          <w:szCs w:val="16"/>
          <w:u w:val="single"/>
        </w:rPr>
      </w:pPr>
      <w:r w:rsidRPr="00430F2F">
        <w:rPr>
          <w:rFonts w:ascii="Times New Roman" w:eastAsia="Times New Roman" w:hAnsi="Times New Roman" w:cs="Times New Roman"/>
          <w:sz w:val="16"/>
          <w:szCs w:val="16"/>
          <w:u w:val="single"/>
        </w:rPr>
        <w:t>Conclusion</w:t>
      </w:r>
    </w:p>
    <w:p w14:paraId="74D6BC69" w14:textId="650EA690" w:rsidR="00425E17" w:rsidRPr="00430F2F" w:rsidRDefault="00BE0CDB" w:rsidP="00430F2F">
      <w:pPr>
        <w:spacing w:line="360" w:lineRule="auto"/>
        <w:rPr>
          <w:rFonts w:ascii="Times New Roman" w:eastAsia="Times New Roman" w:hAnsi="Times New Roman" w:cs="Times New Roman"/>
          <w:kern w:val="0"/>
          <w:sz w:val="16"/>
          <w:szCs w:val="16"/>
          <w:u w:val="single"/>
          <w14:ligatures w14:val="none"/>
        </w:rPr>
      </w:pPr>
      <w:r w:rsidRPr="00430F2F">
        <w:rPr>
          <w:rFonts w:ascii="Times New Roman" w:hAnsi="Times New Roman" w:cs="Times New Roman"/>
          <w:sz w:val="16"/>
          <w:szCs w:val="16"/>
        </w:rPr>
        <w:t xml:space="preserve">This </w:t>
      </w:r>
      <w:r w:rsidRPr="00430F2F">
        <w:rPr>
          <w:rFonts w:ascii="Times New Roman" w:hAnsi="Times New Roman" w:cs="Times New Roman"/>
          <w:sz w:val="16"/>
          <w:szCs w:val="16"/>
        </w:rPr>
        <w:t>research study</w:t>
      </w:r>
      <w:r w:rsidRPr="00430F2F">
        <w:rPr>
          <w:rFonts w:ascii="Times New Roman" w:hAnsi="Times New Roman" w:cs="Times New Roman"/>
          <w:sz w:val="16"/>
          <w:szCs w:val="16"/>
        </w:rPr>
        <w:t xml:space="preserve"> explores how Year 1 learners experience a short-term</w:t>
      </w:r>
      <w:r w:rsidRPr="00430F2F">
        <w:rPr>
          <w:rFonts w:ascii="Times New Roman" w:hAnsi="Times New Roman" w:cs="Times New Roman"/>
          <w:sz w:val="16"/>
          <w:szCs w:val="16"/>
        </w:rPr>
        <w:t xml:space="preserve"> Letters and Sounds </w:t>
      </w:r>
      <w:r w:rsidRPr="00430F2F">
        <w:rPr>
          <w:rFonts w:ascii="Times New Roman" w:hAnsi="Times New Roman" w:cs="Times New Roman"/>
          <w:sz w:val="16"/>
          <w:szCs w:val="16"/>
        </w:rPr>
        <w:t>phonics intervention. Through semi-structured interviews, non-participant observations and reflective tasks, the study captures learners’ perspectives, engagement and emotional responses. Purposive sampling ensures participants have direct experience of the intervention, while ethical procedures protect children’s rights and wellbeing. Thematic analysis will identify key patterns within learners’ experiences. By foregrounding children’s voices, the research provides insights beyond attainment measures, informing my reflective practice as a teacher-researcher and supporting future adaptations to phonics teaching to enhance engagement, confidence and evidence-informed classroom practice.</w:t>
      </w:r>
    </w:p>
    <w:p w14:paraId="3FE3E695" w14:textId="77777777" w:rsidR="00425E17" w:rsidRDefault="00425E17" w:rsidP="00AB1A07">
      <w:pPr>
        <w:spacing w:line="360" w:lineRule="auto"/>
        <w:rPr>
          <w:rFonts w:ascii="Times New Roman" w:eastAsia="Times New Roman" w:hAnsi="Times New Roman" w:cs="Times New Roman"/>
          <w:kern w:val="0"/>
          <w:sz w:val="20"/>
          <w:szCs w:val="20"/>
          <w:u w:val="single"/>
          <w14:ligatures w14:val="none"/>
        </w:rPr>
      </w:pPr>
    </w:p>
    <w:p w14:paraId="339BB3D2" w14:textId="77777777" w:rsidR="00425E17" w:rsidRDefault="00425E17" w:rsidP="00AB1A07">
      <w:pPr>
        <w:spacing w:line="360" w:lineRule="auto"/>
        <w:rPr>
          <w:rFonts w:ascii="Times New Roman" w:eastAsia="Times New Roman" w:hAnsi="Times New Roman" w:cs="Times New Roman"/>
          <w:kern w:val="0"/>
          <w:sz w:val="20"/>
          <w:szCs w:val="20"/>
          <w:u w:val="single"/>
          <w14:ligatures w14:val="none"/>
        </w:rPr>
      </w:pPr>
    </w:p>
    <w:p w14:paraId="10E9B941" w14:textId="77777777" w:rsidR="00425E17" w:rsidRDefault="00425E17" w:rsidP="00AB1A07">
      <w:pPr>
        <w:spacing w:line="360" w:lineRule="auto"/>
        <w:rPr>
          <w:rFonts w:ascii="Times New Roman" w:eastAsia="Times New Roman" w:hAnsi="Times New Roman" w:cs="Times New Roman"/>
          <w:kern w:val="0"/>
          <w:sz w:val="20"/>
          <w:szCs w:val="20"/>
          <w:u w:val="single"/>
          <w14:ligatures w14:val="none"/>
        </w:rPr>
      </w:pPr>
    </w:p>
    <w:p w14:paraId="236ACE26" w14:textId="77777777" w:rsidR="00425E17" w:rsidRDefault="00425E17" w:rsidP="00AB1A07">
      <w:pPr>
        <w:spacing w:line="360" w:lineRule="auto"/>
        <w:rPr>
          <w:rFonts w:ascii="Times New Roman" w:eastAsia="Times New Roman" w:hAnsi="Times New Roman" w:cs="Times New Roman"/>
          <w:kern w:val="0"/>
          <w:sz w:val="20"/>
          <w:szCs w:val="20"/>
          <w:u w:val="single"/>
          <w14:ligatures w14:val="none"/>
        </w:rPr>
      </w:pPr>
    </w:p>
    <w:p w14:paraId="1765179A" w14:textId="77777777" w:rsidR="00023DB5" w:rsidRDefault="00023DB5" w:rsidP="00AB1A07">
      <w:pPr>
        <w:spacing w:line="360" w:lineRule="auto"/>
        <w:rPr>
          <w:rFonts w:ascii="Times New Roman" w:eastAsia="Times New Roman" w:hAnsi="Times New Roman" w:cs="Times New Roman"/>
          <w:kern w:val="0"/>
          <w:sz w:val="20"/>
          <w:szCs w:val="20"/>
          <w:u w:val="single"/>
          <w14:ligatures w14:val="none"/>
        </w:rPr>
      </w:pPr>
    </w:p>
    <w:p w14:paraId="352710C9" w14:textId="77777777" w:rsidR="00430F2F" w:rsidRDefault="00430F2F" w:rsidP="00AB1A07">
      <w:pPr>
        <w:spacing w:line="360" w:lineRule="auto"/>
        <w:rPr>
          <w:rFonts w:ascii="Times New Roman" w:eastAsia="Times New Roman" w:hAnsi="Times New Roman" w:cs="Times New Roman"/>
          <w:kern w:val="0"/>
          <w:sz w:val="20"/>
          <w:szCs w:val="20"/>
          <w:u w:val="single"/>
          <w14:ligatures w14:val="none"/>
        </w:rPr>
      </w:pPr>
    </w:p>
    <w:p w14:paraId="5A41122F" w14:textId="77777777" w:rsidR="00430F2F" w:rsidRDefault="00430F2F" w:rsidP="00AB1A07">
      <w:pPr>
        <w:spacing w:line="360" w:lineRule="auto"/>
        <w:rPr>
          <w:rFonts w:ascii="Times New Roman" w:eastAsia="Times New Roman" w:hAnsi="Times New Roman" w:cs="Times New Roman"/>
          <w:kern w:val="0"/>
          <w:sz w:val="20"/>
          <w:szCs w:val="20"/>
          <w:u w:val="single"/>
          <w14:ligatures w14:val="none"/>
        </w:rPr>
      </w:pPr>
    </w:p>
    <w:p w14:paraId="3AF914CD" w14:textId="77777777" w:rsidR="00430F2F" w:rsidRDefault="00430F2F" w:rsidP="00AB1A07">
      <w:pPr>
        <w:spacing w:line="360" w:lineRule="auto"/>
        <w:rPr>
          <w:rFonts w:ascii="Times New Roman" w:eastAsia="Times New Roman" w:hAnsi="Times New Roman" w:cs="Times New Roman"/>
          <w:kern w:val="0"/>
          <w:sz w:val="20"/>
          <w:szCs w:val="20"/>
          <w:u w:val="single"/>
          <w14:ligatures w14:val="none"/>
        </w:rPr>
      </w:pPr>
    </w:p>
    <w:p w14:paraId="0D949C42" w14:textId="77777777" w:rsidR="00430F2F" w:rsidRDefault="00430F2F" w:rsidP="00AB1A07">
      <w:pPr>
        <w:spacing w:line="360" w:lineRule="auto"/>
        <w:rPr>
          <w:rFonts w:ascii="Times New Roman" w:eastAsia="Times New Roman" w:hAnsi="Times New Roman" w:cs="Times New Roman"/>
          <w:kern w:val="0"/>
          <w:sz w:val="20"/>
          <w:szCs w:val="20"/>
          <w:u w:val="single"/>
          <w14:ligatures w14:val="none"/>
        </w:rPr>
      </w:pPr>
    </w:p>
    <w:p w14:paraId="10E55E56" w14:textId="77777777" w:rsidR="00430F2F" w:rsidRDefault="00430F2F" w:rsidP="00AB1A07">
      <w:pPr>
        <w:spacing w:line="360" w:lineRule="auto"/>
        <w:rPr>
          <w:rFonts w:ascii="Times New Roman" w:eastAsia="Times New Roman" w:hAnsi="Times New Roman" w:cs="Times New Roman"/>
          <w:kern w:val="0"/>
          <w:sz w:val="20"/>
          <w:szCs w:val="20"/>
          <w:u w:val="single"/>
          <w14:ligatures w14:val="none"/>
        </w:rPr>
      </w:pPr>
    </w:p>
    <w:p w14:paraId="7C613E82" w14:textId="77777777" w:rsidR="00430F2F" w:rsidRDefault="00430F2F" w:rsidP="00AB1A07">
      <w:pPr>
        <w:spacing w:line="360" w:lineRule="auto"/>
        <w:rPr>
          <w:rFonts w:ascii="Times New Roman" w:eastAsia="Times New Roman" w:hAnsi="Times New Roman" w:cs="Times New Roman"/>
          <w:kern w:val="0"/>
          <w:sz w:val="20"/>
          <w:szCs w:val="20"/>
          <w:u w:val="single"/>
          <w14:ligatures w14:val="none"/>
        </w:rPr>
      </w:pPr>
    </w:p>
    <w:p w14:paraId="70E41D85" w14:textId="77777777" w:rsidR="00204F9E" w:rsidRDefault="00204F9E" w:rsidP="00430F2F">
      <w:pPr>
        <w:spacing w:line="360" w:lineRule="auto"/>
        <w:rPr>
          <w:rFonts w:ascii="Times New Roman" w:eastAsia="Times New Roman" w:hAnsi="Times New Roman" w:cs="Times New Roman"/>
          <w:sz w:val="16"/>
          <w:szCs w:val="16"/>
          <w:u w:val="single"/>
        </w:rPr>
      </w:pPr>
    </w:p>
    <w:p w14:paraId="0787AB4F" w14:textId="77777777" w:rsidR="00204F9E" w:rsidRDefault="00204F9E" w:rsidP="00430F2F">
      <w:pPr>
        <w:spacing w:line="360" w:lineRule="auto"/>
        <w:rPr>
          <w:rFonts w:ascii="Times New Roman" w:eastAsia="Times New Roman" w:hAnsi="Times New Roman" w:cs="Times New Roman"/>
          <w:sz w:val="16"/>
          <w:szCs w:val="16"/>
          <w:u w:val="single"/>
        </w:rPr>
      </w:pPr>
    </w:p>
    <w:p w14:paraId="3DFC0381" w14:textId="77777777" w:rsidR="00204F9E" w:rsidRDefault="00204F9E" w:rsidP="00430F2F">
      <w:pPr>
        <w:spacing w:line="360" w:lineRule="auto"/>
        <w:rPr>
          <w:rFonts w:ascii="Times New Roman" w:eastAsia="Times New Roman" w:hAnsi="Times New Roman" w:cs="Times New Roman"/>
          <w:sz w:val="16"/>
          <w:szCs w:val="16"/>
          <w:u w:val="single"/>
        </w:rPr>
      </w:pPr>
    </w:p>
    <w:p w14:paraId="32E45A83" w14:textId="77777777" w:rsidR="00204F9E" w:rsidRDefault="00204F9E" w:rsidP="00430F2F">
      <w:pPr>
        <w:spacing w:line="360" w:lineRule="auto"/>
        <w:rPr>
          <w:rFonts w:ascii="Times New Roman" w:eastAsia="Times New Roman" w:hAnsi="Times New Roman" w:cs="Times New Roman"/>
          <w:sz w:val="16"/>
          <w:szCs w:val="16"/>
          <w:u w:val="single"/>
        </w:rPr>
      </w:pPr>
    </w:p>
    <w:p w14:paraId="782DFA8C" w14:textId="77777777" w:rsidR="00204F9E" w:rsidRDefault="00204F9E" w:rsidP="00430F2F">
      <w:pPr>
        <w:spacing w:line="360" w:lineRule="auto"/>
        <w:rPr>
          <w:rFonts w:ascii="Times New Roman" w:eastAsia="Times New Roman" w:hAnsi="Times New Roman" w:cs="Times New Roman"/>
          <w:sz w:val="16"/>
          <w:szCs w:val="16"/>
          <w:u w:val="single"/>
        </w:rPr>
      </w:pPr>
    </w:p>
    <w:p w14:paraId="52A2CF99" w14:textId="77777777" w:rsidR="00204F9E" w:rsidRDefault="00204F9E" w:rsidP="00430F2F">
      <w:pPr>
        <w:spacing w:line="360" w:lineRule="auto"/>
        <w:rPr>
          <w:rFonts w:ascii="Times New Roman" w:eastAsia="Times New Roman" w:hAnsi="Times New Roman" w:cs="Times New Roman"/>
          <w:sz w:val="16"/>
          <w:szCs w:val="16"/>
          <w:u w:val="single"/>
        </w:rPr>
      </w:pPr>
    </w:p>
    <w:p w14:paraId="4C05F624" w14:textId="77777777" w:rsidR="00204F9E" w:rsidRDefault="00204F9E" w:rsidP="00430F2F">
      <w:pPr>
        <w:spacing w:line="360" w:lineRule="auto"/>
        <w:rPr>
          <w:rFonts w:ascii="Times New Roman" w:eastAsia="Times New Roman" w:hAnsi="Times New Roman" w:cs="Times New Roman"/>
          <w:sz w:val="16"/>
          <w:szCs w:val="16"/>
          <w:u w:val="single"/>
        </w:rPr>
      </w:pPr>
    </w:p>
    <w:p w14:paraId="4570AAA4" w14:textId="77777777" w:rsidR="00204F9E" w:rsidRDefault="00204F9E" w:rsidP="00430F2F">
      <w:pPr>
        <w:spacing w:line="360" w:lineRule="auto"/>
        <w:rPr>
          <w:rFonts w:ascii="Times New Roman" w:eastAsia="Times New Roman" w:hAnsi="Times New Roman" w:cs="Times New Roman"/>
          <w:sz w:val="16"/>
          <w:szCs w:val="16"/>
          <w:u w:val="single"/>
        </w:rPr>
      </w:pPr>
    </w:p>
    <w:p w14:paraId="0E709255" w14:textId="77777777" w:rsidR="00204F9E" w:rsidRDefault="00204F9E" w:rsidP="00430F2F">
      <w:pPr>
        <w:spacing w:line="360" w:lineRule="auto"/>
        <w:rPr>
          <w:rFonts w:ascii="Times New Roman" w:eastAsia="Times New Roman" w:hAnsi="Times New Roman" w:cs="Times New Roman"/>
          <w:sz w:val="16"/>
          <w:szCs w:val="16"/>
          <w:u w:val="single"/>
        </w:rPr>
      </w:pPr>
    </w:p>
    <w:p w14:paraId="19EE2931" w14:textId="77777777" w:rsidR="00204F9E" w:rsidRDefault="00204F9E" w:rsidP="00430F2F">
      <w:pPr>
        <w:spacing w:line="360" w:lineRule="auto"/>
        <w:rPr>
          <w:rFonts w:ascii="Times New Roman" w:eastAsia="Times New Roman" w:hAnsi="Times New Roman" w:cs="Times New Roman"/>
          <w:sz w:val="16"/>
          <w:szCs w:val="16"/>
          <w:u w:val="single"/>
        </w:rPr>
      </w:pPr>
    </w:p>
    <w:p w14:paraId="326FC387" w14:textId="77777777" w:rsidR="00204F9E" w:rsidRDefault="00204F9E" w:rsidP="00430F2F">
      <w:pPr>
        <w:spacing w:line="360" w:lineRule="auto"/>
        <w:rPr>
          <w:rFonts w:ascii="Times New Roman" w:eastAsia="Times New Roman" w:hAnsi="Times New Roman" w:cs="Times New Roman"/>
          <w:sz w:val="16"/>
          <w:szCs w:val="16"/>
          <w:u w:val="single"/>
        </w:rPr>
      </w:pPr>
    </w:p>
    <w:p w14:paraId="7A4817DB" w14:textId="60AEF166" w:rsidR="008F3554" w:rsidRPr="00430F2F" w:rsidRDefault="008F3554" w:rsidP="00430F2F">
      <w:pPr>
        <w:spacing w:line="360" w:lineRule="auto"/>
        <w:rPr>
          <w:rFonts w:ascii="Times New Roman" w:hAnsi="Times New Roman" w:cs="Times New Roman"/>
          <w:sz w:val="16"/>
          <w:szCs w:val="16"/>
          <w:u w:val="single"/>
        </w:rPr>
      </w:pPr>
      <w:r w:rsidRPr="00430F2F">
        <w:rPr>
          <w:rFonts w:ascii="Times New Roman" w:eastAsia="Times New Roman" w:hAnsi="Times New Roman" w:cs="Times New Roman"/>
          <w:sz w:val="16"/>
          <w:szCs w:val="16"/>
          <w:u w:val="single"/>
        </w:rPr>
        <w:lastRenderedPageBreak/>
        <w:t xml:space="preserve">References </w:t>
      </w:r>
    </w:p>
    <w:p w14:paraId="353829F6"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Alderson, P. (2008) ‘Children as researchers: Participation rights and research methods’, in Christensen, P. and James, A. (eds.) </w:t>
      </w:r>
      <w:r w:rsidRPr="00430F2F">
        <w:rPr>
          <w:rStyle w:val="s2"/>
          <w:rFonts w:ascii="Times New Roman" w:hAnsi="Times New Roman" w:cs="Times New Roman"/>
          <w:sz w:val="16"/>
          <w:szCs w:val="16"/>
        </w:rPr>
        <w:t>Research with children: Perspectives and practices</w:t>
      </w:r>
      <w:r w:rsidRPr="00430F2F">
        <w:rPr>
          <w:rStyle w:val="s1"/>
          <w:rFonts w:ascii="Times New Roman" w:hAnsi="Times New Roman" w:cs="Times New Roman"/>
          <w:sz w:val="16"/>
          <w:szCs w:val="16"/>
        </w:rPr>
        <w:t xml:space="preserve">. 2nd </w:t>
      </w:r>
      <w:proofErr w:type="spellStart"/>
      <w:r w:rsidRPr="00430F2F">
        <w:rPr>
          <w:rStyle w:val="s1"/>
          <w:rFonts w:ascii="Times New Roman" w:hAnsi="Times New Roman" w:cs="Times New Roman"/>
          <w:sz w:val="16"/>
          <w:szCs w:val="16"/>
        </w:rPr>
        <w:t>edn</w:t>
      </w:r>
      <w:proofErr w:type="spellEnd"/>
      <w:r w:rsidRPr="00430F2F">
        <w:rPr>
          <w:rStyle w:val="s1"/>
          <w:rFonts w:ascii="Times New Roman" w:hAnsi="Times New Roman" w:cs="Times New Roman"/>
          <w:sz w:val="16"/>
          <w:szCs w:val="16"/>
        </w:rPr>
        <w:t>. London: Routledge.</w:t>
      </w:r>
    </w:p>
    <w:p w14:paraId="34100A67"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Alderson, P. (2008) Young Children’s Rights: Exploring Beliefs, Principles and Practice. 2nd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London: Jessica Kingsley Publishers.</w:t>
      </w:r>
    </w:p>
    <w:p w14:paraId="50BDA7BB"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Alderson, P. and Morrow, V. (2011) The Ethics of Research with Children and Young People: A Practical Handbook. 2nd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London: SAGE.</w:t>
      </w:r>
    </w:p>
    <w:p w14:paraId="631BFD0F"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Alexander, R. (2017) </w:t>
      </w:r>
      <w:r w:rsidRPr="00430F2F">
        <w:rPr>
          <w:rStyle w:val="s2"/>
          <w:rFonts w:ascii="Times New Roman" w:hAnsi="Times New Roman" w:cs="Times New Roman"/>
          <w:sz w:val="16"/>
          <w:szCs w:val="16"/>
        </w:rPr>
        <w:t>A dialogic teaching companion</w:t>
      </w:r>
      <w:r w:rsidRPr="00430F2F">
        <w:rPr>
          <w:rStyle w:val="s1"/>
          <w:rFonts w:ascii="Times New Roman" w:hAnsi="Times New Roman" w:cs="Times New Roman"/>
          <w:sz w:val="16"/>
          <w:szCs w:val="16"/>
        </w:rPr>
        <w:t>. London: Routledge.</w:t>
      </w:r>
    </w:p>
    <w:p w14:paraId="43C824AE"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Alexander, R. (2017) Towards Dialogic Teaching: Rethinking Classroom Talk. 5th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xml:space="preserve">. York: </w:t>
      </w:r>
      <w:proofErr w:type="spellStart"/>
      <w:r w:rsidRPr="00430F2F">
        <w:rPr>
          <w:rFonts w:ascii="Times New Roman" w:hAnsi="Times New Roman" w:cs="Times New Roman"/>
          <w:sz w:val="16"/>
          <w:szCs w:val="16"/>
        </w:rPr>
        <w:t>Dialogos</w:t>
      </w:r>
      <w:proofErr w:type="spellEnd"/>
      <w:r w:rsidRPr="00430F2F">
        <w:rPr>
          <w:rFonts w:ascii="Times New Roman" w:hAnsi="Times New Roman" w:cs="Times New Roman"/>
          <w:sz w:val="16"/>
          <w:szCs w:val="16"/>
        </w:rPr>
        <w:t>.</w:t>
      </w:r>
    </w:p>
    <w:p w14:paraId="70340731"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Berger, R. (2015) ‘Now I see it, now I don’t: Researcher’s position and reflexivity in qualitative research’, </w:t>
      </w:r>
      <w:r w:rsidRPr="00430F2F">
        <w:rPr>
          <w:rStyle w:val="s2"/>
          <w:rFonts w:ascii="Times New Roman" w:hAnsi="Times New Roman" w:cs="Times New Roman"/>
          <w:sz w:val="16"/>
          <w:szCs w:val="16"/>
        </w:rPr>
        <w:t>Qualitative Research</w:t>
      </w:r>
      <w:r w:rsidRPr="00430F2F">
        <w:rPr>
          <w:rStyle w:val="s1"/>
          <w:rFonts w:ascii="Times New Roman" w:hAnsi="Times New Roman" w:cs="Times New Roman"/>
          <w:sz w:val="16"/>
          <w:szCs w:val="16"/>
        </w:rPr>
        <w:t>.</w:t>
      </w:r>
    </w:p>
    <w:p w14:paraId="1DE90106"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Braun, V. and Clarke, V. (2006) ‘Using thematic analysis in psychology’, Qualitative Research in Psychology.</w:t>
      </w:r>
    </w:p>
    <w:p w14:paraId="382192AC"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Braun, V. and Clarke, V. (2021) </w:t>
      </w:r>
      <w:r w:rsidRPr="00430F2F">
        <w:rPr>
          <w:rStyle w:val="s2"/>
          <w:rFonts w:ascii="Times New Roman" w:hAnsi="Times New Roman" w:cs="Times New Roman"/>
          <w:sz w:val="16"/>
          <w:szCs w:val="16"/>
        </w:rPr>
        <w:t>Thematic analysis: A practical guide</w:t>
      </w:r>
      <w:r w:rsidRPr="00430F2F">
        <w:rPr>
          <w:rStyle w:val="s1"/>
          <w:rFonts w:ascii="Times New Roman" w:hAnsi="Times New Roman" w:cs="Times New Roman"/>
          <w:sz w:val="16"/>
          <w:szCs w:val="16"/>
        </w:rPr>
        <w:t>. London: SAGE.</w:t>
      </w:r>
    </w:p>
    <w:p w14:paraId="64E087F2"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British Educational Research Association. (2024) Ethical Guidelines for Educational Research. 5th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London: British Educational Research Association.</w:t>
      </w:r>
    </w:p>
    <w:p w14:paraId="28852E9B"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Castles, A. </w:t>
      </w:r>
      <w:proofErr w:type="spellStart"/>
      <w:r w:rsidRPr="00430F2F">
        <w:rPr>
          <w:rFonts w:ascii="Times New Roman" w:hAnsi="Times New Roman" w:cs="Times New Roman"/>
          <w:sz w:val="16"/>
          <w:szCs w:val="16"/>
        </w:rPr>
        <w:t>Rastle</w:t>
      </w:r>
      <w:proofErr w:type="spellEnd"/>
      <w:r w:rsidRPr="00430F2F">
        <w:rPr>
          <w:rFonts w:ascii="Times New Roman" w:hAnsi="Times New Roman" w:cs="Times New Roman"/>
          <w:sz w:val="16"/>
          <w:szCs w:val="16"/>
        </w:rPr>
        <w:t>, K. and Nation, K. (2018) ‘Ending the reading wars: Reading acquisition from novice to expert’, Psychological Science in the Public Interest.</w:t>
      </w:r>
    </w:p>
    <w:p w14:paraId="1859B253"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Christensen, P. and James, A. (2017) </w:t>
      </w:r>
      <w:r w:rsidRPr="00430F2F">
        <w:rPr>
          <w:rStyle w:val="s2"/>
          <w:rFonts w:ascii="Times New Roman" w:hAnsi="Times New Roman" w:cs="Times New Roman"/>
          <w:sz w:val="16"/>
          <w:szCs w:val="16"/>
        </w:rPr>
        <w:t>Research with children: Perspectives and practices</w:t>
      </w:r>
      <w:r w:rsidRPr="00430F2F">
        <w:rPr>
          <w:rStyle w:val="s1"/>
          <w:rFonts w:ascii="Times New Roman" w:hAnsi="Times New Roman" w:cs="Times New Roman"/>
          <w:sz w:val="16"/>
          <w:szCs w:val="16"/>
        </w:rPr>
        <w:t xml:space="preserve">. 3rd </w:t>
      </w:r>
      <w:proofErr w:type="spellStart"/>
      <w:r w:rsidRPr="00430F2F">
        <w:rPr>
          <w:rStyle w:val="s1"/>
          <w:rFonts w:ascii="Times New Roman" w:hAnsi="Times New Roman" w:cs="Times New Roman"/>
          <w:sz w:val="16"/>
          <w:szCs w:val="16"/>
        </w:rPr>
        <w:t>edn</w:t>
      </w:r>
      <w:proofErr w:type="spellEnd"/>
      <w:r w:rsidRPr="00430F2F">
        <w:rPr>
          <w:rStyle w:val="s1"/>
          <w:rFonts w:ascii="Times New Roman" w:hAnsi="Times New Roman" w:cs="Times New Roman"/>
          <w:sz w:val="16"/>
          <w:szCs w:val="16"/>
        </w:rPr>
        <w:t>. London: Routledge.</w:t>
      </w:r>
    </w:p>
    <w:p w14:paraId="75BCE5EF" w14:textId="77777777" w:rsidR="00430F2F" w:rsidRPr="00430F2F" w:rsidRDefault="00430F2F"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t xml:space="preserve">Clark, A. and Moss, P. (2011) </w:t>
      </w:r>
      <w:r w:rsidRPr="00430F2F">
        <w:rPr>
          <w:rStyle w:val="s2"/>
          <w:rFonts w:ascii="Times New Roman" w:hAnsi="Times New Roman" w:cs="Times New Roman"/>
          <w:sz w:val="16"/>
          <w:szCs w:val="16"/>
        </w:rPr>
        <w:t>Listening to young children: The Mosaic approach</w:t>
      </w:r>
      <w:r w:rsidRPr="00430F2F">
        <w:rPr>
          <w:rStyle w:val="s1"/>
          <w:rFonts w:ascii="Times New Roman" w:hAnsi="Times New Roman" w:cs="Times New Roman"/>
          <w:sz w:val="16"/>
          <w:szCs w:val="16"/>
        </w:rPr>
        <w:t xml:space="preserve">. 2nd </w:t>
      </w:r>
      <w:proofErr w:type="spellStart"/>
      <w:r w:rsidRPr="00430F2F">
        <w:rPr>
          <w:rStyle w:val="s1"/>
          <w:rFonts w:ascii="Times New Roman" w:hAnsi="Times New Roman" w:cs="Times New Roman"/>
          <w:sz w:val="16"/>
          <w:szCs w:val="16"/>
        </w:rPr>
        <w:t>edn</w:t>
      </w:r>
      <w:proofErr w:type="spellEnd"/>
      <w:r w:rsidRPr="00430F2F">
        <w:rPr>
          <w:rStyle w:val="s1"/>
          <w:rFonts w:ascii="Times New Roman" w:hAnsi="Times New Roman" w:cs="Times New Roman"/>
          <w:sz w:val="16"/>
          <w:szCs w:val="16"/>
        </w:rPr>
        <w:t>. London: National Children’s Bureau.</w:t>
      </w:r>
    </w:p>
    <w:p w14:paraId="1EE66290"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Clark, A. and Moss, P. (2017) Listening to Young Children: A Guide to Understanding and Using the Mosaic Approach. 3rd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London: National Children’s Bureau.</w:t>
      </w:r>
    </w:p>
    <w:p w14:paraId="0031FE4B"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Cohen, L. Manion, L. and Morrison, K. (2018) Research Methods in Education. 8th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London: Routledge.</w:t>
      </w:r>
    </w:p>
    <w:p w14:paraId="18F52305"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Creswell, J.W. and Creswell, J.D. (2018) Research design: Qualitative, quantitative and mixed methods approaches. 5th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London: Sage.</w:t>
      </w:r>
    </w:p>
    <w:p w14:paraId="0F4D2AE5"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Creswell, J.W. and Plano Clark, V.L. (2018) Designing and Conducting Mixed Methods Research. 3rd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Thousand Oaks, CA: SAGE.</w:t>
      </w:r>
    </w:p>
    <w:p w14:paraId="1E735E41"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Crotty, M. (1998) </w:t>
      </w:r>
      <w:r w:rsidRPr="00430F2F">
        <w:rPr>
          <w:rStyle w:val="s2"/>
          <w:rFonts w:ascii="Times New Roman" w:hAnsi="Times New Roman" w:cs="Times New Roman"/>
          <w:sz w:val="16"/>
          <w:szCs w:val="16"/>
        </w:rPr>
        <w:t>The foundations of social research: Meaning and perspective in the research process</w:t>
      </w:r>
      <w:r w:rsidRPr="00430F2F">
        <w:rPr>
          <w:rStyle w:val="s1"/>
          <w:rFonts w:ascii="Times New Roman" w:hAnsi="Times New Roman" w:cs="Times New Roman"/>
          <w:sz w:val="16"/>
          <w:szCs w:val="16"/>
        </w:rPr>
        <w:t>. London: SAGE.</w:t>
      </w:r>
    </w:p>
    <w:p w14:paraId="4AF39F16" w14:textId="77777777" w:rsidR="00430F2F" w:rsidRPr="00430F2F" w:rsidRDefault="00430F2F"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t xml:space="preserve">De Graaff, S. Bosman, A.M.T. and Hasselman, F. (2009) ‘Effects of phonics instruction in Dutch children at risk for reading difficulties’, </w:t>
      </w:r>
      <w:r w:rsidRPr="00430F2F">
        <w:rPr>
          <w:rStyle w:val="s2"/>
          <w:rFonts w:ascii="Times New Roman" w:hAnsi="Times New Roman" w:cs="Times New Roman"/>
          <w:sz w:val="16"/>
          <w:szCs w:val="16"/>
        </w:rPr>
        <w:t>Journal of Research in Reading</w:t>
      </w:r>
      <w:r w:rsidRPr="00430F2F">
        <w:rPr>
          <w:rStyle w:val="s1"/>
          <w:rFonts w:ascii="Times New Roman" w:hAnsi="Times New Roman" w:cs="Times New Roman"/>
          <w:sz w:val="16"/>
          <w:szCs w:val="16"/>
        </w:rPr>
        <w:t>.</w:t>
      </w:r>
    </w:p>
    <w:p w14:paraId="7F2AF93D"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Denzin, N.K. (1978) </w:t>
      </w:r>
      <w:r w:rsidRPr="00430F2F">
        <w:rPr>
          <w:rStyle w:val="s2"/>
          <w:rFonts w:ascii="Times New Roman" w:hAnsi="Times New Roman" w:cs="Times New Roman"/>
          <w:sz w:val="16"/>
          <w:szCs w:val="16"/>
        </w:rPr>
        <w:t>The research act: A theoretical introduction to sociological methods</w:t>
      </w:r>
      <w:r w:rsidRPr="00430F2F">
        <w:rPr>
          <w:rStyle w:val="s1"/>
          <w:rFonts w:ascii="Times New Roman" w:hAnsi="Times New Roman" w:cs="Times New Roman"/>
          <w:sz w:val="16"/>
          <w:szCs w:val="16"/>
        </w:rPr>
        <w:t>. New York: McGraw-Hill.</w:t>
      </w:r>
    </w:p>
    <w:p w14:paraId="1292333F"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Ehri, L.C. et al. (2001) ‘Systematic phonics instruction helps students learn to read: Evidence from the National Reading Panel’s meta-analysis’, </w:t>
      </w:r>
      <w:r w:rsidRPr="00430F2F">
        <w:rPr>
          <w:rStyle w:val="s2"/>
          <w:rFonts w:ascii="Times New Roman" w:hAnsi="Times New Roman" w:cs="Times New Roman"/>
          <w:sz w:val="16"/>
          <w:szCs w:val="16"/>
        </w:rPr>
        <w:t>Review of Educational Research</w:t>
      </w:r>
      <w:r w:rsidRPr="00430F2F">
        <w:rPr>
          <w:rStyle w:val="s1"/>
          <w:rFonts w:ascii="Times New Roman" w:hAnsi="Times New Roman" w:cs="Times New Roman"/>
          <w:sz w:val="16"/>
          <w:szCs w:val="16"/>
        </w:rPr>
        <w:t>.</w:t>
      </w:r>
    </w:p>
    <w:p w14:paraId="0DC4AC0A" w14:textId="77777777" w:rsidR="00430F2F" w:rsidRPr="00430F2F" w:rsidRDefault="00430F2F" w:rsidP="00430F2F">
      <w:pPr>
        <w:spacing w:line="360" w:lineRule="auto"/>
        <w:rPr>
          <w:rFonts w:ascii="Times New Roman" w:hAnsi="Times New Roman" w:cs="Times New Roman"/>
          <w:sz w:val="16"/>
          <w:szCs w:val="16"/>
        </w:rPr>
      </w:pPr>
      <w:proofErr w:type="spellStart"/>
      <w:r w:rsidRPr="00430F2F">
        <w:rPr>
          <w:rFonts w:ascii="Times New Roman" w:hAnsi="Times New Roman" w:cs="Times New Roman"/>
          <w:sz w:val="16"/>
          <w:szCs w:val="16"/>
        </w:rPr>
        <w:t>Etikan</w:t>
      </w:r>
      <w:proofErr w:type="spellEnd"/>
      <w:r w:rsidRPr="00430F2F">
        <w:rPr>
          <w:rFonts w:ascii="Times New Roman" w:hAnsi="Times New Roman" w:cs="Times New Roman"/>
          <w:sz w:val="16"/>
          <w:szCs w:val="16"/>
        </w:rPr>
        <w:t xml:space="preserve">, I. Musa, S.A. and Alkassim, R.S. (2016) ‘Comparison of convenience sampling and purposive sampling’, </w:t>
      </w:r>
      <w:r w:rsidRPr="00430F2F">
        <w:rPr>
          <w:rStyle w:val="s2"/>
          <w:rFonts w:ascii="Times New Roman" w:hAnsi="Times New Roman" w:cs="Times New Roman"/>
          <w:sz w:val="16"/>
          <w:szCs w:val="16"/>
        </w:rPr>
        <w:t>American Journal of Theoretical and Applied Statistics</w:t>
      </w:r>
      <w:r w:rsidRPr="00430F2F">
        <w:rPr>
          <w:rStyle w:val="s1"/>
          <w:rFonts w:ascii="Times New Roman" w:hAnsi="Times New Roman" w:cs="Times New Roman"/>
          <w:sz w:val="16"/>
          <w:szCs w:val="16"/>
        </w:rPr>
        <w:t>.</w:t>
      </w:r>
    </w:p>
    <w:p w14:paraId="4D08BF4B"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European Union (2016) </w:t>
      </w:r>
      <w:r w:rsidRPr="00430F2F">
        <w:rPr>
          <w:rStyle w:val="s2"/>
          <w:rFonts w:ascii="Times New Roman" w:hAnsi="Times New Roman" w:cs="Times New Roman"/>
          <w:sz w:val="16"/>
          <w:szCs w:val="16"/>
        </w:rPr>
        <w:t>General Data Protection Regulation (GDPR)</w:t>
      </w:r>
      <w:r w:rsidRPr="00430F2F">
        <w:rPr>
          <w:rStyle w:val="s1"/>
          <w:rFonts w:ascii="Times New Roman" w:hAnsi="Times New Roman" w:cs="Times New Roman"/>
          <w:sz w:val="16"/>
          <w:szCs w:val="16"/>
        </w:rPr>
        <w:t>. Brussels: European Commission.</w:t>
      </w:r>
    </w:p>
    <w:p w14:paraId="639F7AE8" w14:textId="3D51972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European Union (2016) Regulation (EU) of the European Parliament and of the Council of 27 April 2016 on the protection of natural </w:t>
      </w:r>
      <w:r w:rsidRPr="00430F2F">
        <w:rPr>
          <w:rFonts w:ascii="Times New Roman" w:hAnsi="Times New Roman" w:cs="Times New Roman"/>
          <w:color w:val="000000" w:themeColor="text1"/>
          <w:sz w:val="16"/>
          <w:szCs w:val="16"/>
        </w:rPr>
        <w:t>persons</w:t>
      </w:r>
      <w:r w:rsidRPr="00430F2F">
        <w:rPr>
          <w:rFonts w:ascii="Times New Roman" w:hAnsi="Times New Roman" w:cs="Times New Roman"/>
          <w:sz w:val="16"/>
          <w:szCs w:val="16"/>
        </w:rPr>
        <w:t xml:space="preserve"> </w:t>
      </w:r>
      <w:proofErr w:type="gramStart"/>
      <w:r w:rsidRPr="00430F2F">
        <w:rPr>
          <w:rFonts w:ascii="Times New Roman" w:hAnsi="Times New Roman" w:cs="Times New Roman"/>
          <w:sz w:val="16"/>
          <w:szCs w:val="16"/>
        </w:rPr>
        <w:t>with regard to</w:t>
      </w:r>
      <w:proofErr w:type="gramEnd"/>
      <w:r w:rsidRPr="00430F2F">
        <w:rPr>
          <w:rFonts w:ascii="Times New Roman" w:hAnsi="Times New Roman" w:cs="Times New Roman"/>
          <w:sz w:val="16"/>
          <w:szCs w:val="16"/>
        </w:rPr>
        <w:t xml:space="preserve"> the processing of personal data and on the free movement of such data (General Data Protection Regulation). Official Journal of the European Union.</w:t>
      </w:r>
    </w:p>
    <w:p w14:paraId="783B0E3D"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Hitchcock, G. and Hughes, D. (2018) Research and the teacher: A qualitative introduction to school-based research. 4th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London: Routledge.</w:t>
      </w:r>
    </w:p>
    <w:p w14:paraId="0C9E32F3"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lastRenderedPageBreak/>
        <w:t xml:space="preserve">Kvale, S. and Brinkmann, S. (2015) </w:t>
      </w:r>
      <w:r w:rsidRPr="00430F2F">
        <w:rPr>
          <w:rStyle w:val="s2"/>
          <w:rFonts w:ascii="Times New Roman" w:hAnsi="Times New Roman" w:cs="Times New Roman"/>
          <w:sz w:val="16"/>
          <w:szCs w:val="16"/>
        </w:rPr>
        <w:t>InterViews: Learning the craft of qualitative research interviewing</w:t>
      </w:r>
      <w:r w:rsidRPr="00430F2F">
        <w:rPr>
          <w:rStyle w:val="s1"/>
          <w:rFonts w:ascii="Times New Roman" w:hAnsi="Times New Roman" w:cs="Times New Roman"/>
          <w:sz w:val="16"/>
          <w:szCs w:val="16"/>
        </w:rPr>
        <w:t xml:space="preserve">. 3rd </w:t>
      </w:r>
      <w:proofErr w:type="spellStart"/>
      <w:r w:rsidRPr="00430F2F">
        <w:rPr>
          <w:rStyle w:val="s1"/>
          <w:rFonts w:ascii="Times New Roman" w:hAnsi="Times New Roman" w:cs="Times New Roman"/>
          <w:sz w:val="16"/>
          <w:szCs w:val="16"/>
        </w:rPr>
        <w:t>edn</w:t>
      </w:r>
      <w:proofErr w:type="spellEnd"/>
      <w:r w:rsidRPr="00430F2F">
        <w:rPr>
          <w:rStyle w:val="s1"/>
          <w:rFonts w:ascii="Times New Roman" w:hAnsi="Times New Roman" w:cs="Times New Roman"/>
          <w:sz w:val="16"/>
          <w:szCs w:val="16"/>
        </w:rPr>
        <w:t>. London: SAGE.</w:t>
      </w:r>
    </w:p>
    <w:p w14:paraId="38EA1618"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Lincoln, Y.S. and Guba, E.G. (1985) Naturalistic Inquiry. Beverly Hills, CA: SAGE Publications.</w:t>
      </w:r>
    </w:p>
    <w:p w14:paraId="68C6F905"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Merriam, S.B. and Tisdell, E.J. (2016) Qualitative research: A guide to design and implementation. 4th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San Francisco: Jossey-Bass.</w:t>
      </w:r>
    </w:p>
    <w:p w14:paraId="344C1660"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National Reading Panel. (2000) </w:t>
      </w:r>
      <w:r w:rsidRPr="00430F2F">
        <w:rPr>
          <w:rStyle w:val="s2"/>
          <w:rFonts w:ascii="Times New Roman" w:hAnsi="Times New Roman" w:cs="Times New Roman"/>
          <w:sz w:val="16"/>
          <w:szCs w:val="16"/>
        </w:rPr>
        <w:t>Teaching children to read: An evidence-based assessment of the scientific research literature on reading and its implications for reading instruction</w:t>
      </w:r>
      <w:r w:rsidRPr="00430F2F">
        <w:rPr>
          <w:rStyle w:val="s1"/>
          <w:rFonts w:ascii="Times New Roman" w:hAnsi="Times New Roman" w:cs="Times New Roman"/>
          <w:sz w:val="16"/>
          <w:szCs w:val="16"/>
        </w:rPr>
        <w:t>. Washington, DC: National Institute of Child Health and Human Development.</w:t>
      </w:r>
    </w:p>
    <w:p w14:paraId="660335C4" w14:textId="77777777" w:rsidR="00430F2F" w:rsidRPr="00430F2F" w:rsidRDefault="00430F2F"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t xml:space="preserve">Nowell, L.S. Norris, J.M. White, D.E. and Moules, N.J. (2017) ‘Thematic analysis: Striving to meet the trustworthiness criteria’, </w:t>
      </w:r>
      <w:r w:rsidRPr="00430F2F">
        <w:rPr>
          <w:rStyle w:val="s2"/>
          <w:rFonts w:ascii="Times New Roman" w:hAnsi="Times New Roman" w:cs="Times New Roman"/>
          <w:sz w:val="16"/>
          <w:szCs w:val="16"/>
        </w:rPr>
        <w:t>International Journal of Qualitative Methods</w:t>
      </w:r>
      <w:r w:rsidRPr="00430F2F">
        <w:rPr>
          <w:rStyle w:val="s1"/>
          <w:rFonts w:ascii="Times New Roman" w:hAnsi="Times New Roman" w:cs="Times New Roman"/>
          <w:sz w:val="16"/>
          <w:szCs w:val="16"/>
        </w:rPr>
        <w:t>.</w:t>
      </w:r>
    </w:p>
    <w:p w14:paraId="441874C6"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Patton, M.Q. (2015) </w:t>
      </w:r>
      <w:r w:rsidRPr="00430F2F">
        <w:rPr>
          <w:rStyle w:val="s2"/>
          <w:rFonts w:ascii="Times New Roman" w:hAnsi="Times New Roman" w:cs="Times New Roman"/>
          <w:sz w:val="16"/>
          <w:szCs w:val="16"/>
        </w:rPr>
        <w:t>Qualitative research and evaluation methods</w:t>
      </w:r>
      <w:r w:rsidRPr="00430F2F">
        <w:rPr>
          <w:rStyle w:val="s1"/>
          <w:rFonts w:ascii="Times New Roman" w:hAnsi="Times New Roman" w:cs="Times New Roman"/>
          <w:sz w:val="16"/>
          <w:szCs w:val="16"/>
        </w:rPr>
        <w:t xml:space="preserve">. 4th </w:t>
      </w:r>
      <w:proofErr w:type="spellStart"/>
      <w:r w:rsidRPr="00430F2F">
        <w:rPr>
          <w:rStyle w:val="s1"/>
          <w:rFonts w:ascii="Times New Roman" w:hAnsi="Times New Roman" w:cs="Times New Roman"/>
          <w:sz w:val="16"/>
          <w:szCs w:val="16"/>
        </w:rPr>
        <w:t>edn</w:t>
      </w:r>
      <w:proofErr w:type="spellEnd"/>
      <w:r w:rsidRPr="00430F2F">
        <w:rPr>
          <w:rStyle w:val="s1"/>
          <w:rFonts w:ascii="Times New Roman" w:hAnsi="Times New Roman" w:cs="Times New Roman"/>
          <w:sz w:val="16"/>
          <w:szCs w:val="16"/>
        </w:rPr>
        <w:t>. Thousand Oaks, CA: SAGE.</w:t>
      </w:r>
    </w:p>
    <w:p w14:paraId="7944ABCA"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Punch, K.F. (2016) Introduction to research methods in education. 2nd </w:t>
      </w:r>
      <w:proofErr w:type="spellStart"/>
      <w:r w:rsidRPr="00430F2F">
        <w:rPr>
          <w:rFonts w:ascii="Times New Roman" w:hAnsi="Times New Roman" w:cs="Times New Roman"/>
          <w:sz w:val="16"/>
          <w:szCs w:val="16"/>
        </w:rPr>
        <w:t>edn</w:t>
      </w:r>
      <w:proofErr w:type="spellEnd"/>
      <w:r w:rsidRPr="00430F2F">
        <w:rPr>
          <w:rFonts w:ascii="Times New Roman" w:hAnsi="Times New Roman" w:cs="Times New Roman"/>
          <w:sz w:val="16"/>
          <w:szCs w:val="16"/>
        </w:rPr>
        <w:t>. London: Sage.</w:t>
      </w:r>
    </w:p>
    <w:p w14:paraId="5A7F58BF"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 xml:space="preserve">Rose, J. (2006) </w:t>
      </w:r>
      <w:r w:rsidRPr="00430F2F">
        <w:rPr>
          <w:rStyle w:val="s2"/>
          <w:rFonts w:ascii="Times New Roman" w:hAnsi="Times New Roman" w:cs="Times New Roman"/>
          <w:sz w:val="16"/>
          <w:szCs w:val="16"/>
        </w:rPr>
        <w:t>Independent review of the teaching of early reading</w:t>
      </w:r>
      <w:r w:rsidRPr="00430F2F">
        <w:rPr>
          <w:rStyle w:val="s1"/>
          <w:rFonts w:ascii="Times New Roman" w:hAnsi="Times New Roman" w:cs="Times New Roman"/>
          <w:sz w:val="16"/>
          <w:szCs w:val="16"/>
        </w:rPr>
        <w:t>. Nottingham: Department for Education and Skills.</w:t>
      </w:r>
    </w:p>
    <w:p w14:paraId="627C74AC" w14:textId="77777777" w:rsidR="00430F2F" w:rsidRPr="00430F2F" w:rsidRDefault="00430F2F"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t xml:space="preserve">Torgerson, C.J. Brooks, G. and Hall, J. (2006) ‘A systematic review of the research literature on the use of phonics in the teaching of reading and spelling’, </w:t>
      </w:r>
      <w:r w:rsidRPr="00430F2F">
        <w:rPr>
          <w:rStyle w:val="s2"/>
          <w:rFonts w:ascii="Times New Roman" w:hAnsi="Times New Roman" w:cs="Times New Roman"/>
          <w:sz w:val="16"/>
          <w:szCs w:val="16"/>
        </w:rPr>
        <w:t>Research Papers in Education</w:t>
      </w:r>
      <w:r w:rsidRPr="00430F2F">
        <w:rPr>
          <w:rStyle w:val="s1"/>
          <w:rFonts w:ascii="Times New Roman" w:hAnsi="Times New Roman" w:cs="Times New Roman"/>
          <w:sz w:val="16"/>
          <w:szCs w:val="16"/>
        </w:rPr>
        <w:t xml:space="preserve">. </w:t>
      </w:r>
    </w:p>
    <w:p w14:paraId="5B94C9CB" w14:textId="678E33B7" w:rsidR="00430F2F" w:rsidRPr="00430F2F" w:rsidRDefault="00430F2F" w:rsidP="00430F2F">
      <w:pPr>
        <w:spacing w:line="360" w:lineRule="auto"/>
        <w:rPr>
          <w:rFonts w:ascii="Times New Roman" w:eastAsia="Times New Roman" w:hAnsi="Times New Roman" w:cs="Times New Roman"/>
          <w:sz w:val="16"/>
          <w:szCs w:val="16"/>
        </w:rPr>
      </w:pPr>
      <w:r w:rsidRPr="00430F2F">
        <w:rPr>
          <w:rFonts w:ascii="Times New Roman" w:eastAsia="Times New Roman" w:hAnsi="Times New Roman" w:cs="Times New Roman"/>
          <w:sz w:val="16"/>
          <w:szCs w:val="16"/>
        </w:rPr>
        <w:t xml:space="preserve">University of Wales Trinity Saint David (2023) Research Ethics Policy. </w:t>
      </w:r>
    </w:p>
    <w:p w14:paraId="760E4C61" w14:textId="3BFEF540" w:rsidR="00430F2F" w:rsidRPr="00430F2F" w:rsidRDefault="00430F2F"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t>University of Wales Trinity Saint David</w:t>
      </w:r>
      <w:r w:rsidRPr="00430F2F">
        <w:rPr>
          <w:rStyle w:val="s1"/>
          <w:rFonts w:ascii="Times New Roman" w:hAnsi="Times New Roman" w:cs="Times New Roman"/>
          <w:sz w:val="16"/>
          <w:szCs w:val="16"/>
        </w:rPr>
        <w:t xml:space="preserve"> (no date) </w:t>
      </w:r>
      <w:r w:rsidRPr="00430F2F">
        <w:rPr>
          <w:rStyle w:val="s2"/>
          <w:rFonts w:ascii="Times New Roman" w:hAnsi="Times New Roman" w:cs="Times New Roman"/>
          <w:sz w:val="16"/>
          <w:szCs w:val="16"/>
        </w:rPr>
        <w:t>Ethics and research governance</w:t>
      </w:r>
      <w:r w:rsidRPr="00430F2F">
        <w:rPr>
          <w:rStyle w:val="s1"/>
          <w:rFonts w:ascii="Times New Roman" w:hAnsi="Times New Roman" w:cs="Times New Roman"/>
          <w:sz w:val="16"/>
          <w:szCs w:val="16"/>
        </w:rPr>
        <w:t xml:space="preserve">. Available at: </w:t>
      </w:r>
      <w:hyperlink r:id="rId8" w:history="1">
        <w:r w:rsidRPr="00430F2F">
          <w:rPr>
            <w:rStyle w:val="Hyperlink"/>
            <w:rFonts w:ascii="Times New Roman" w:hAnsi="Times New Roman" w:cs="Times New Roman"/>
            <w:sz w:val="16"/>
            <w:szCs w:val="16"/>
            <w:u w:val="none"/>
          </w:rPr>
          <w:t>https://www.uwtsd.ac.uk/research/ethics/</w:t>
        </w:r>
      </w:hyperlink>
      <w:r w:rsidRPr="00430F2F">
        <w:rPr>
          <w:rStyle w:val="s1"/>
          <w:rFonts w:ascii="Times New Roman" w:hAnsi="Times New Roman" w:cs="Times New Roman"/>
          <w:sz w:val="16"/>
          <w:szCs w:val="16"/>
        </w:rPr>
        <w:t xml:space="preserve"> (Accessed: 12 </w:t>
      </w:r>
      <w:r>
        <w:rPr>
          <w:rStyle w:val="s1"/>
          <w:rFonts w:ascii="Times New Roman" w:hAnsi="Times New Roman" w:cs="Times New Roman"/>
          <w:sz w:val="16"/>
          <w:szCs w:val="16"/>
        </w:rPr>
        <w:t>June</w:t>
      </w:r>
      <w:r w:rsidRPr="00430F2F">
        <w:rPr>
          <w:rStyle w:val="s1"/>
          <w:rFonts w:ascii="Times New Roman" w:hAnsi="Times New Roman" w:cs="Times New Roman"/>
          <w:sz w:val="16"/>
          <w:szCs w:val="16"/>
        </w:rPr>
        <w:t xml:space="preserve"> 2026).</w:t>
      </w:r>
    </w:p>
    <w:p w14:paraId="1D952B10" w14:textId="77777777" w:rsidR="00430F2F" w:rsidRPr="00430F2F" w:rsidRDefault="00430F2F" w:rsidP="00430F2F">
      <w:pPr>
        <w:spacing w:line="360" w:lineRule="auto"/>
        <w:rPr>
          <w:rStyle w:val="s1"/>
          <w:rFonts w:ascii="Times New Roman" w:hAnsi="Times New Roman" w:cs="Times New Roman"/>
          <w:sz w:val="16"/>
          <w:szCs w:val="16"/>
        </w:rPr>
      </w:pPr>
      <w:r w:rsidRPr="00430F2F">
        <w:rPr>
          <w:rFonts w:ascii="Times New Roman" w:hAnsi="Times New Roman" w:cs="Times New Roman"/>
          <w:sz w:val="16"/>
          <w:szCs w:val="16"/>
        </w:rPr>
        <w:t xml:space="preserve">University of Wales Trinity Saint David (UWTSD) (2023) </w:t>
      </w:r>
      <w:r w:rsidRPr="00430F2F">
        <w:rPr>
          <w:rStyle w:val="s2"/>
          <w:rFonts w:ascii="Times New Roman" w:hAnsi="Times New Roman" w:cs="Times New Roman"/>
          <w:sz w:val="16"/>
          <w:szCs w:val="16"/>
        </w:rPr>
        <w:t>Ethics guide for research students</w:t>
      </w:r>
      <w:r w:rsidRPr="00430F2F">
        <w:rPr>
          <w:rStyle w:val="s1"/>
          <w:rFonts w:ascii="Times New Roman" w:hAnsi="Times New Roman" w:cs="Times New Roman"/>
          <w:sz w:val="16"/>
          <w:szCs w:val="16"/>
        </w:rPr>
        <w:t>. Swansea: UWTSD.</w:t>
      </w:r>
    </w:p>
    <w:p w14:paraId="1F892524" w14:textId="77777777" w:rsidR="00430F2F" w:rsidRPr="00430F2F" w:rsidRDefault="00430F2F" w:rsidP="00430F2F">
      <w:pPr>
        <w:spacing w:line="360" w:lineRule="auto"/>
        <w:rPr>
          <w:rFonts w:ascii="Times New Roman" w:hAnsi="Times New Roman" w:cs="Times New Roman"/>
          <w:sz w:val="16"/>
          <w:szCs w:val="16"/>
        </w:rPr>
      </w:pPr>
      <w:r w:rsidRPr="00430F2F">
        <w:rPr>
          <w:rFonts w:ascii="Times New Roman" w:hAnsi="Times New Roman" w:cs="Times New Roman"/>
          <w:sz w:val="16"/>
          <w:szCs w:val="16"/>
        </w:rPr>
        <w:t>Vygotsky, L.S. (1978) Mind in Society: The Development of Higher Psychological Processes. Cambridge, MA: Harvard University Press.</w:t>
      </w:r>
    </w:p>
    <w:p w14:paraId="7BBA6B08" w14:textId="1F3223B0" w:rsidR="00A70FAC" w:rsidRPr="00430F2F" w:rsidRDefault="00A70FAC" w:rsidP="00430F2F">
      <w:pPr>
        <w:spacing w:line="360" w:lineRule="auto"/>
        <w:rPr>
          <w:rFonts w:ascii="Times New Roman" w:hAnsi="Times New Roman" w:cs="Times New Roman"/>
          <w:kern w:val="0"/>
          <w:sz w:val="16"/>
          <w:szCs w:val="16"/>
          <w14:ligatures w14:val="none"/>
        </w:rPr>
      </w:pPr>
    </w:p>
    <w:p w14:paraId="6F70F83F" w14:textId="77777777" w:rsidR="00DE19C7" w:rsidRPr="00430F2F" w:rsidRDefault="00DE19C7" w:rsidP="00430F2F">
      <w:pPr>
        <w:spacing w:line="360" w:lineRule="auto"/>
        <w:rPr>
          <w:rFonts w:ascii="Times New Roman" w:hAnsi="Times New Roman" w:cs="Times New Roman"/>
          <w:kern w:val="0"/>
          <w:sz w:val="16"/>
          <w:szCs w:val="16"/>
          <w14:ligatures w14:val="none"/>
        </w:rPr>
      </w:pPr>
    </w:p>
    <w:p w14:paraId="2FE46DDA" w14:textId="77777777" w:rsidR="000107A1" w:rsidRPr="00430F2F" w:rsidRDefault="000107A1" w:rsidP="00430F2F">
      <w:pPr>
        <w:spacing w:line="360" w:lineRule="auto"/>
        <w:rPr>
          <w:rFonts w:ascii="Times New Roman" w:eastAsia="Times New Roman" w:hAnsi="Times New Roman" w:cs="Times New Roman"/>
          <w:kern w:val="0"/>
          <w:sz w:val="16"/>
          <w:szCs w:val="16"/>
          <w14:ligatures w14:val="none"/>
        </w:rPr>
      </w:pPr>
    </w:p>
    <w:p w14:paraId="2FE3923E" w14:textId="77777777" w:rsidR="000B5EB3" w:rsidRPr="00430F2F" w:rsidRDefault="000B5EB3" w:rsidP="00430F2F">
      <w:pPr>
        <w:spacing w:line="360" w:lineRule="auto"/>
        <w:rPr>
          <w:rFonts w:ascii="Times New Roman" w:hAnsi="Times New Roman" w:cs="Times New Roman"/>
          <w:kern w:val="0"/>
          <w:sz w:val="16"/>
          <w:szCs w:val="16"/>
          <w14:ligatures w14:val="none"/>
        </w:rPr>
      </w:pPr>
    </w:p>
    <w:p w14:paraId="417A1F69" w14:textId="77777777" w:rsidR="00656CCF" w:rsidRPr="00430F2F" w:rsidRDefault="00656CCF" w:rsidP="00430F2F">
      <w:pPr>
        <w:spacing w:line="360" w:lineRule="auto"/>
        <w:rPr>
          <w:rFonts w:ascii="Times New Roman" w:hAnsi="Times New Roman" w:cs="Times New Roman"/>
          <w:kern w:val="0"/>
          <w:sz w:val="16"/>
          <w:szCs w:val="16"/>
          <w14:ligatures w14:val="none"/>
        </w:rPr>
      </w:pPr>
    </w:p>
    <w:p w14:paraId="1B263CCB" w14:textId="77777777" w:rsidR="00C2162F" w:rsidRPr="00430F2F" w:rsidRDefault="00C2162F" w:rsidP="00430F2F">
      <w:pPr>
        <w:spacing w:line="360" w:lineRule="auto"/>
        <w:rPr>
          <w:rFonts w:ascii="Times New Roman" w:hAnsi="Times New Roman" w:cs="Times New Roman"/>
          <w:kern w:val="0"/>
          <w:sz w:val="16"/>
          <w:szCs w:val="16"/>
          <w14:ligatures w14:val="none"/>
        </w:rPr>
      </w:pPr>
    </w:p>
    <w:p w14:paraId="1F40A41A" w14:textId="77777777" w:rsidR="00971E56" w:rsidRPr="00430F2F" w:rsidRDefault="00971E56" w:rsidP="00430F2F">
      <w:pPr>
        <w:spacing w:line="360" w:lineRule="auto"/>
        <w:rPr>
          <w:rFonts w:ascii="Times New Roman" w:hAnsi="Times New Roman" w:cs="Times New Roman"/>
          <w:kern w:val="0"/>
          <w:sz w:val="16"/>
          <w:szCs w:val="16"/>
          <w14:ligatures w14:val="none"/>
        </w:rPr>
      </w:pPr>
    </w:p>
    <w:p w14:paraId="40E31D7E" w14:textId="77777777" w:rsidR="008C7D77" w:rsidRPr="00430F2F" w:rsidRDefault="008C7D77" w:rsidP="00430F2F">
      <w:pPr>
        <w:spacing w:line="360" w:lineRule="auto"/>
        <w:rPr>
          <w:rStyle w:val="s1"/>
          <w:rFonts w:ascii="Times New Roman" w:hAnsi="Times New Roman" w:cs="Times New Roman"/>
          <w:kern w:val="0"/>
          <w:sz w:val="16"/>
          <w:szCs w:val="16"/>
          <w14:ligatures w14:val="none"/>
        </w:rPr>
      </w:pPr>
    </w:p>
    <w:sectPr w:rsidR="008C7D77" w:rsidRPr="00430F2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96F5C" w14:textId="77777777" w:rsidR="00FB7516" w:rsidRDefault="00FB7516" w:rsidP="001F6AFA">
      <w:pPr>
        <w:spacing w:after="0" w:line="240" w:lineRule="auto"/>
      </w:pPr>
      <w:r>
        <w:separator/>
      </w:r>
    </w:p>
  </w:endnote>
  <w:endnote w:type="continuationSeparator" w:id="0">
    <w:p w14:paraId="57944564" w14:textId="77777777" w:rsidR="00FB7516" w:rsidRDefault="00FB7516" w:rsidP="001F6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CDA3B" w14:textId="77777777" w:rsidR="00FB7516" w:rsidRDefault="00FB7516" w:rsidP="001F6AFA">
      <w:pPr>
        <w:spacing w:after="0" w:line="240" w:lineRule="auto"/>
      </w:pPr>
      <w:r>
        <w:separator/>
      </w:r>
    </w:p>
  </w:footnote>
  <w:footnote w:type="continuationSeparator" w:id="0">
    <w:p w14:paraId="17AF628E" w14:textId="77777777" w:rsidR="00FB7516" w:rsidRDefault="00FB7516" w:rsidP="001F6A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AD35FA" w14:textId="058DDAA1" w:rsidR="000C5D40" w:rsidRPr="00771469" w:rsidRDefault="000C5D40">
    <w:pPr>
      <w:pStyle w:val="Header"/>
      <w:rPr>
        <w:rFonts w:ascii="Times New Roman" w:hAnsi="Times New Roman" w:cs="Times New Roman"/>
        <w:sz w:val="16"/>
        <w:szCs w:val="16"/>
      </w:rPr>
    </w:pPr>
    <w:r w:rsidRPr="00771469">
      <w:rPr>
        <w:rFonts w:ascii="Times New Roman" w:hAnsi="Times New Roman" w:cs="Times New Roman"/>
        <w:sz w:val="16"/>
        <w:szCs w:val="16"/>
      </w:rPr>
      <w:tab/>
    </w:r>
    <w:r w:rsidRPr="00771469">
      <w:rPr>
        <w:rFonts w:ascii="Times New Roman" w:hAnsi="Times New Roman" w:cs="Times New Roman"/>
        <w:sz w:val="16"/>
        <w:szCs w:val="16"/>
      </w:rPr>
      <w:tab/>
      <w:t>S</w:t>
    </w:r>
    <w:r w:rsidR="00771469" w:rsidRPr="00771469">
      <w:rPr>
        <w:rFonts w:ascii="Times New Roman" w:hAnsi="Times New Roman" w:cs="Times New Roman"/>
        <w:sz w:val="16"/>
        <w:szCs w:val="16"/>
      </w:rPr>
      <w:t>tudent no: 1706864</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925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7019A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4E0BC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8F5B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A60E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114BB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7C1A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0A52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A901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217F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6D46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EC63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1A44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D51A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1632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032F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941D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EA5EB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1900563">
    <w:abstractNumId w:val="1"/>
  </w:num>
  <w:num w:numId="2" w16cid:durableId="1763866773">
    <w:abstractNumId w:val="6"/>
  </w:num>
  <w:num w:numId="3" w16cid:durableId="1616063542">
    <w:abstractNumId w:val="3"/>
  </w:num>
  <w:num w:numId="4" w16cid:durableId="937711268">
    <w:abstractNumId w:val="14"/>
  </w:num>
  <w:num w:numId="5" w16cid:durableId="1298685789">
    <w:abstractNumId w:val="0"/>
  </w:num>
  <w:num w:numId="6" w16cid:durableId="1071124548">
    <w:abstractNumId w:val="9"/>
  </w:num>
  <w:num w:numId="7" w16cid:durableId="954750113">
    <w:abstractNumId w:val="7"/>
  </w:num>
  <w:num w:numId="8" w16cid:durableId="1320307165">
    <w:abstractNumId w:val="16"/>
  </w:num>
  <w:num w:numId="9" w16cid:durableId="86272708">
    <w:abstractNumId w:val="17"/>
  </w:num>
  <w:num w:numId="10" w16cid:durableId="2083411581">
    <w:abstractNumId w:val="8"/>
  </w:num>
  <w:num w:numId="11" w16cid:durableId="1537230731">
    <w:abstractNumId w:val="11"/>
  </w:num>
  <w:num w:numId="12" w16cid:durableId="1158812638">
    <w:abstractNumId w:val="13"/>
  </w:num>
  <w:num w:numId="13" w16cid:durableId="664623871">
    <w:abstractNumId w:val="15"/>
  </w:num>
  <w:num w:numId="14" w16cid:durableId="1434741604">
    <w:abstractNumId w:val="4"/>
  </w:num>
  <w:num w:numId="15" w16cid:durableId="2033726926">
    <w:abstractNumId w:val="5"/>
  </w:num>
  <w:num w:numId="16" w16cid:durableId="1685132151">
    <w:abstractNumId w:val="12"/>
  </w:num>
  <w:num w:numId="17" w16cid:durableId="770591428">
    <w:abstractNumId w:val="10"/>
  </w:num>
  <w:num w:numId="18" w16cid:durableId="371657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DB6"/>
    <w:rsid w:val="00006A7C"/>
    <w:rsid w:val="000107A1"/>
    <w:rsid w:val="00020B0E"/>
    <w:rsid w:val="00023DB5"/>
    <w:rsid w:val="00024206"/>
    <w:rsid w:val="00024A13"/>
    <w:rsid w:val="000308FA"/>
    <w:rsid w:val="0003158B"/>
    <w:rsid w:val="0003561C"/>
    <w:rsid w:val="00053FB8"/>
    <w:rsid w:val="0006271D"/>
    <w:rsid w:val="00070AEA"/>
    <w:rsid w:val="00074EB4"/>
    <w:rsid w:val="0008236A"/>
    <w:rsid w:val="00086B32"/>
    <w:rsid w:val="00092396"/>
    <w:rsid w:val="000B5EB3"/>
    <w:rsid w:val="000B7FBB"/>
    <w:rsid w:val="000C149A"/>
    <w:rsid w:val="000C4F86"/>
    <w:rsid w:val="000C5D40"/>
    <w:rsid w:val="000D7C14"/>
    <w:rsid w:val="000E43E9"/>
    <w:rsid w:val="000F2BEB"/>
    <w:rsid w:val="0012527E"/>
    <w:rsid w:val="00125B57"/>
    <w:rsid w:val="001335FA"/>
    <w:rsid w:val="00140CFE"/>
    <w:rsid w:val="0014107C"/>
    <w:rsid w:val="0014239F"/>
    <w:rsid w:val="00153AC4"/>
    <w:rsid w:val="001639FE"/>
    <w:rsid w:val="001657A2"/>
    <w:rsid w:val="0019233F"/>
    <w:rsid w:val="0019328A"/>
    <w:rsid w:val="001B3E16"/>
    <w:rsid w:val="001B425B"/>
    <w:rsid w:val="001C3BE5"/>
    <w:rsid w:val="001D1961"/>
    <w:rsid w:val="001D6114"/>
    <w:rsid w:val="001E4C34"/>
    <w:rsid w:val="001F6AFA"/>
    <w:rsid w:val="001F7573"/>
    <w:rsid w:val="001F7590"/>
    <w:rsid w:val="00204F9E"/>
    <w:rsid w:val="0020696F"/>
    <w:rsid w:val="002325DC"/>
    <w:rsid w:val="002334FA"/>
    <w:rsid w:val="00251426"/>
    <w:rsid w:val="00270DAF"/>
    <w:rsid w:val="00287722"/>
    <w:rsid w:val="00287C48"/>
    <w:rsid w:val="00292DA1"/>
    <w:rsid w:val="002946E9"/>
    <w:rsid w:val="002A48A6"/>
    <w:rsid w:val="002B29B1"/>
    <w:rsid w:val="002B2D06"/>
    <w:rsid w:val="002C025C"/>
    <w:rsid w:val="002C269B"/>
    <w:rsid w:val="002C3D24"/>
    <w:rsid w:val="002C4F11"/>
    <w:rsid w:val="002D07CF"/>
    <w:rsid w:val="002E5929"/>
    <w:rsid w:val="00305652"/>
    <w:rsid w:val="003120FF"/>
    <w:rsid w:val="00324174"/>
    <w:rsid w:val="00327443"/>
    <w:rsid w:val="00332617"/>
    <w:rsid w:val="003530AE"/>
    <w:rsid w:val="003561CB"/>
    <w:rsid w:val="00365E75"/>
    <w:rsid w:val="00392A6E"/>
    <w:rsid w:val="003A78E1"/>
    <w:rsid w:val="003D4A9D"/>
    <w:rsid w:val="00423CD6"/>
    <w:rsid w:val="00425E17"/>
    <w:rsid w:val="00430F2F"/>
    <w:rsid w:val="00447D5E"/>
    <w:rsid w:val="00460885"/>
    <w:rsid w:val="00463352"/>
    <w:rsid w:val="00475E65"/>
    <w:rsid w:val="00493A6E"/>
    <w:rsid w:val="004A0578"/>
    <w:rsid w:val="004C2C10"/>
    <w:rsid w:val="004D3F8B"/>
    <w:rsid w:val="004E0431"/>
    <w:rsid w:val="004E215A"/>
    <w:rsid w:val="004E298B"/>
    <w:rsid w:val="004E6A67"/>
    <w:rsid w:val="004F2455"/>
    <w:rsid w:val="004F6E64"/>
    <w:rsid w:val="00501396"/>
    <w:rsid w:val="00505A4A"/>
    <w:rsid w:val="00510A9D"/>
    <w:rsid w:val="00513C36"/>
    <w:rsid w:val="005368BB"/>
    <w:rsid w:val="00545B90"/>
    <w:rsid w:val="00546DDC"/>
    <w:rsid w:val="005475D1"/>
    <w:rsid w:val="00550B25"/>
    <w:rsid w:val="00585425"/>
    <w:rsid w:val="00585A4D"/>
    <w:rsid w:val="00594C26"/>
    <w:rsid w:val="00594F33"/>
    <w:rsid w:val="005A4ABE"/>
    <w:rsid w:val="005B2894"/>
    <w:rsid w:val="005C1A2C"/>
    <w:rsid w:val="005D4C69"/>
    <w:rsid w:val="005E2A30"/>
    <w:rsid w:val="005E38A9"/>
    <w:rsid w:val="005E3E28"/>
    <w:rsid w:val="005F53C2"/>
    <w:rsid w:val="00602F27"/>
    <w:rsid w:val="006322C7"/>
    <w:rsid w:val="006335D0"/>
    <w:rsid w:val="006374C8"/>
    <w:rsid w:val="00646D68"/>
    <w:rsid w:val="0065675E"/>
    <w:rsid w:val="00656CCF"/>
    <w:rsid w:val="00665BA0"/>
    <w:rsid w:val="006666FE"/>
    <w:rsid w:val="00672F67"/>
    <w:rsid w:val="0067484F"/>
    <w:rsid w:val="006774FA"/>
    <w:rsid w:val="006776C0"/>
    <w:rsid w:val="0068039C"/>
    <w:rsid w:val="00691EA7"/>
    <w:rsid w:val="006A1353"/>
    <w:rsid w:val="006A5132"/>
    <w:rsid w:val="006A6FCC"/>
    <w:rsid w:val="006B603A"/>
    <w:rsid w:val="006F2146"/>
    <w:rsid w:val="007169F3"/>
    <w:rsid w:val="00721814"/>
    <w:rsid w:val="00723F62"/>
    <w:rsid w:val="00725366"/>
    <w:rsid w:val="00736C9C"/>
    <w:rsid w:val="00757E0C"/>
    <w:rsid w:val="00767817"/>
    <w:rsid w:val="00771469"/>
    <w:rsid w:val="0078104A"/>
    <w:rsid w:val="00783372"/>
    <w:rsid w:val="00785629"/>
    <w:rsid w:val="007B021E"/>
    <w:rsid w:val="007B3D78"/>
    <w:rsid w:val="007C0D08"/>
    <w:rsid w:val="007C7F5D"/>
    <w:rsid w:val="007D2EFE"/>
    <w:rsid w:val="007D34E2"/>
    <w:rsid w:val="007D5006"/>
    <w:rsid w:val="007E1125"/>
    <w:rsid w:val="008052E0"/>
    <w:rsid w:val="008266B0"/>
    <w:rsid w:val="00832C1F"/>
    <w:rsid w:val="00832D26"/>
    <w:rsid w:val="0083701C"/>
    <w:rsid w:val="0083731C"/>
    <w:rsid w:val="0086575D"/>
    <w:rsid w:val="008658E4"/>
    <w:rsid w:val="0087582D"/>
    <w:rsid w:val="008863FF"/>
    <w:rsid w:val="008933CA"/>
    <w:rsid w:val="008A4ADA"/>
    <w:rsid w:val="008B4095"/>
    <w:rsid w:val="008B52C1"/>
    <w:rsid w:val="008B7934"/>
    <w:rsid w:val="008C7D77"/>
    <w:rsid w:val="008E4E2E"/>
    <w:rsid w:val="008E4E60"/>
    <w:rsid w:val="008F3554"/>
    <w:rsid w:val="008F38EE"/>
    <w:rsid w:val="008F5D94"/>
    <w:rsid w:val="0091408A"/>
    <w:rsid w:val="009362D7"/>
    <w:rsid w:val="009468DE"/>
    <w:rsid w:val="009511BA"/>
    <w:rsid w:val="00954D25"/>
    <w:rsid w:val="00971E56"/>
    <w:rsid w:val="0097612E"/>
    <w:rsid w:val="009B1412"/>
    <w:rsid w:val="009B245D"/>
    <w:rsid w:val="009C0D25"/>
    <w:rsid w:val="009C52E9"/>
    <w:rsid w:val="009D662A"/>
    <w:rsid w:val="009F371A"/>
    <w:rsid w:val="009F7CEC"/>
    <w:rsid w:val="00A10DD9"/>
    <w:rsid w:val="00A11569"/>
    <w:rsid w:val="00A2610D"/>
    <w:rsid w:val="00A26A91"/>
    <w:rsid w:val="00A44E8B"/>
    <w:rsid w:val="00A47100"/>
    <w:rsid w:val="00A53CFD"/>
    <w:rsid w:val="00A70B00"/>
    <w:rsid w:val="00A70FAC"/>
    <w:rsid w:val="00A742FC"/>
    <w:rsid w:val="00A80B7B"/>
    <w:rsid w:val="00A81B6C"/>
    <w:rsid w:val="00AB1A07"/>
    <w:rsid w:val="00AB49AF"/>
    <w:rsid w:val="00AB5BDC"/>
    <w:rsid w:val="00AC16DD"/>
    <w:rsid w:val="00AC74D6"/>
    <w:rsid w:val="00AC7DB6"/>
    <w:rsid w:val="00AD18D3"/>
    <w:rsid w:val="00AD7345"/>
    <w:rsid w:val="00AE036F"/>
    <w:rsid w:val="00AE03A8"/>
    <w:rsid w:val="00AE1A63"/>
    <w:rsid w:val="00AE7C08"/>
    <w:rsid w:val="00AE7EEE"/>
    <w:rsid w:val="00AF46C8"/>
    <w:rsid w:val="00B02812"/>
    <w:rsid w:val="00B2649E"/>
    <w:rsid w:val="00B46D3E"/>
    <w:rsid w:val="00B53664"/>
    <w:rsid w:val="00B63475"/>
    <w:rsid w:val="00B86C39"/>
    <w:rsid w:val="00B86ED4"/>
    <w:rsid w:val="00B9734A"/>
    <w:rsid w:val="00BA018E"/>
    <w:rsid w:val="00BB4781"/>
    <w:rsid w:val="00BC291F"/>
    <w:rsid w:val="00BC35A6"/>
    <w:rsid w:val="00BC6CD4"/>
    <w:rsid w:val="00BD0311"/>
    <w:rsid w:val="00BD29AC"/>
    <w:rsid w:val="00BD5EEB"/>
    <w:rsid w:val="00BD5F71"/>
    <w:rsid w:val="00BE023C"/>
    <w:rsid w:val="00BE0CDB"/>
    <w:rsid w:val="00BE51A6"/>
    <w:rsid w:val="00BF48D8"/>
    <w:rsid w:val="00C03920"/>
    <w:rsid w:val="00C20652"/>
    <w:rsid w:val="00C2162F"/>
    <w:rsid w:val="00C2578E"/>
    <w:rsid w:val="00C34200"/>
    <w:rsid w:val="00C349EC"/>
    <w:rsid w:val="00C50618"/>
    <w:rsid w:val="00C51307"/>
    <w:rsid w:val="00C53CC8"/>
    <w:rsid w:val="00C55893"/>
    <w:rsid w:val="00CC0F1E"/>
    <w:rsid w:val="00CC1B70"/>
    <w:rsid w:val="00CC7A8D"/>
    <w:rsid w:val="00CE1AC8"/>
    <w:rsid w:val="00CF324F"/>
    <w:rsid w:val="00CF5452"/>
    <w:rsid w:val="00D3149B"/>
    <w:rsid w:val="00D33016"/>
    <w:rsid w:val="00D33E05"/>
    <w:rsid w:val="00D404BF"/>
    <w:rsid w:val="00D44A80"/>
    <w:rsid w:val="00D52711"/>
    <w:rsid w:val="00D53BA9"/>
    <w:rsid w:val="00D56EAA"/>
    <w:rsid w:val="00D63E5B"/>
    <w:rsid w:val="00D7020E"/>
    <w:rsid w:val="00D74129"/>
    <w:rsid w:val="00D74ED0"/>
    <w:rsid w:val="00DB28DB"/>
    <w:rsid w:val="00DB3685"/>
    <w:rsid w:val="00DB4702"/>
    <w:rsid w:val="00DB62C6"/>
    <w:rsid w:val="00DC309C"/>
    <w:rsid w:val="00DD01AE"/>
    <w:rsid w:val="00DD6343"/>
    <w:rsid w:val="00DD65B4"/>
    <w:rsid w:val="00DE19C7"/>
    <w:rsid w:val="00DF2892"/>
    <w:rsid w:val="00E03C45"/>
    <w:rsid w:val="00E04E9F"/>
    <w:rsid w:val="00E06D06"/>
    <w:rsid w:val="00E10D03"/>
    <w:rsid w:val="00E16249"/>
    <w:rsid w:val="00E25250"/>
    <w:rsid w:val="00E34ADC"/>
    <w:rsid w:val="00E3573A"/>
    <w:rsid w:val="00E420D5"/>
    <w:rsid w:val="00E43B94"/>
    <w:rsid w:val="00E6001B"/>
    <w:rsid w:val="00E83B92"/>
    <w:rsid w:val="00EA3790"/>
    <w:rsid w:val="00EC4240"/>
    <w:rsid w:val="00ED4234"/>
    <w:rsid w:val="00EE6BA3"/>
    <w:rsid w:val="00EF3CCB"/>
    <w:rsid w:val="00F045B2"/>
    <w:rsid w:val="00F102AC"/>
    <w:rsid w:val="00F2039A"/>
    <w:rsid w:val="00F20636"/>
    <w:rsid w:val="00F309A7"/>
    <w:rsid w:val="00F36F65"/>
    <w:rsid w:val="00F46DC0"/>
    <w:rsid w:val="00F54309"/>
    <w:rsid w:val="00F62F4F"/>
    <w:rsid w:val="00F71841"/>
    <w:rsid w:val="00F72406"/>
    <w:rsid w:val="00F72A48"/>
    <w:rsid w:val="00F82AD1"/>
    <w:rsid w:val="00F869CC"/>
    <w:rsid w:val="00F87123"/>
    <w:rsid w:val="00F87F59"/>
    <w:rsid w:val="00F91AC3"/>
    <w:rsid w:val="00F91D00"/>
    <w:rsid w:val="00F920D9"/>
    <w:rsid w:val="00F92DD6"/>
    <w:rsid w:val="00F93F10"/>
    <w:rsid w:val="00FA6468"/>
    <w:rsid w:val="00FA7F0C"/>
    <w:rsid w:val="00FB7516"/>
    <w:rsid w:val="00FB7A39"/>
    <w:rsid w:val="00FC2F05"/>
    <w:rsid w:val="00FC3595"/>
    <w:rsid w:val="00FD4140"/>
    <w:rsid w:val="00FD4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B4D29"/>
  <w15:chartTrackingRefBased/>
  <w15:docId w15:val="{21D5D3D6-DA56-9048-8BE4-797496A91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7D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7D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7D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7D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7D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7D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7D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7D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7D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D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7D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7D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7D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7D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7D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7D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7D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7DB6"/>
    <w:rPr>
      <w:rFonts w:eastAsiaTheme="majorEastAsia" w:cstheme="majorBidi"/>
      <w:color w:val="272727" w:themeColor="text1" w:themeTint="D8"/>
    </w:rPr>
  </w:style>
  <w:style w:type="paragraph" w:styleId="Title">
    <w:name w:val="Title"/>
    <w:basedOn w:val="Normal"/>
    <w:next w:val="Normal"/>
    <w:link w:val="TitleChar"/>
    <w:uiPriority w:val="10"/>
    <w:qFormat/>
    <w:rsid w:val="00AC7D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7D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7D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7D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7DB6"/>
    <w:pPr>
      <w:spacing w:before="160"/>
      <w:jc w:val="center"/>
    </w:pPr>
    <w:rPr>
      <w:i/>
      <w:iCs/>
      <w:color w:val="404040" w:themeColor="text1" w:themeTint="BF"/>
    </w:rPr>
  </w:style>
  <w:style w:type="character" w:customStyle="1" w:styleId="QuoteChar">
    <w:name w:val="Quote Char"/>
    <w:basedOn w:val="DefaultParagraphFont"/>
    <w:link w:val="Quote"/>
    <w:uiPriority w:val="29"/>
    <w:rsid w:val="00AC7DB6"/>
    <w:rPr>
      <w:i/>
      <w:iCs/>
      <w:color w:val="404040" w:themeColor="text1" w:themeTint="BF"/>
    </w:rPr>
  </w:style>
  <w:style w:type="paragraph" w:styleId="ListParagraph">
    <w:name w:val="List Paragraph"/>
    <w:basedOn w:val="Normal"/>
    <w:uiPriority w:val="34"/>
    <w:qFormat/>
    <w:rsid w:val="00AC7DB6"/>
    <w:pPr>
      <w:ind w:left="720"/>
      <w:contextualSpacing/>
    </w:pPr>
  </w:style>
  <w:style w:type="character" w:styleId="IntenseEmphasis">
    <w:name w:val="Intense Emphasis"/>
    <w:basedOn w:val="DefaultParagraphFont"/>
    <w:uiPriority w:val="21"/>
    <w:qFormat/>
    <w:rsid w:val="00AC7DB6"/>
    <w:rPr>
      <w:i/>
      <w:iCs/>
      <w:color w:val="0F4761" w:themeColor="accent1" w:themeShade="BF"/>
    </w:rPr>
  </w:style>
  <w:style w:type="paragraph" w:styleId="IntenseQuote">
    <w:name w:val="Intense Quote"/>
    <w:basedOn w:val="Normal"/>
    <w:next w:val="Normal"/>
    <w:link w:val="IntenseQuoteChar"/>
    <w:uiPriority w:val="30"/>
    <w:qFormat/>
    <w:rsid w:val="00AC7D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7DB6"/>
    <w:rPr>
      <w:i/>
      <w:iCs/>
      <w:color w:val="0F4761" w:themeColor="accent1" w:themeShade="BF"/>
    </w:rPr>
  </w:style>
  <w:style w:type="character" w:styleId="IntenseReference">
    <w:name w:val="Intense Reference"/>
    <w:basedOn w:val="DefaultParagraphFont"/>
    <w:uiPriority w:val="32"/>
    <w:qFormat/>
    <w:rsid w:val="00AC7DB6"/>
    <w:rPr>
      <w:b/>
      <w:bCs/>
      <w:smallCaps/>
      <w:color w:val="0F4761" w:themeColor="accent1" w:themeShade="BF"/>
      <w:spacing w:val="5"/>
    </w:rPr>
  </w:style>
  <w:style w:type="paragraph" w:customStyle="1" w:styleId="p1">
    <w:name w:val="p1"/>
    <w:basedOn w:val="Normal"/>
    <w:rsid w:val="008F3554"/>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F3554"/>
  </w:style>
  <w:style w:type="paragraph" w:customStyle="1" w:styleId="p2">
    <w:name w:val="p2"/>
    <w:basedOn w:val="Normal"/>
    <w:rsid w:val="008F355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F3554"/>
  </w:style>
  <w:style w:type="paragraph" w:customStyle="1" w:styleId="p3">
    <w:name w:val="p3"/>
    <w:basedOn w:val="Normal"/>
    <w:rsid w:val="008F3554"/>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F3554"/>
  </w:style>
  <w:style w:type="character" w:customStyle="1" w:styleId="s4">
    <w:name w:val="s4"/>
    <w:basedOn w:val="DefaultParagraphFont"/>
    <w:rsid w:val="008F3554"/>
  </w:style>
  <w:style w:type="character" w:customStyle="1" w:styleId="apple-converted-space">
    <w:name w:val="apple-converted-space"/>
    <w:basedOn w:val="DefaultParagraphFont"/>
    <w:rsid w:val="00AD7345"/>
  </w:style>
  <w:style w:type="character" w:styleId="Hyperlink">
    <w:name w:val="Hyperlink"/>
    <w:basedOn w:val="DefaultParagraphFont"/>
    <w:uiPriority w:val="99"/>
    <w:semiHidden/>
    <w:unhideWhenUsed/>
    <w:rsid w:val="00F71841"/>
    <w:rPr>
      <w:color w:val="0000FF"/>
      <w:u w:val="single"/>
    </w:rPr>
  </w:style>
  <w:style w:type="paragraph" w:styleId="Header">
    <w:name w:val="header"/>
    <w:basedOn w:val="Normal"/>
    <w:link w:val="HeaderChar"/>
    <w:uiPriority w:val="99"/>
    <w:unhideWhenUsed/>
    <w:rsid w:val="001F6A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AFA"/>
  </w:style>
  <w:style w:type="paragraph" w:styleId="Footer">
    <w:name w:val="footer"/>
    <w:basedOn w:val="Normal"/>
    <w:link w:val="FooterChar"/>
    <w:uiPriority w:val="99"/>
    <w:unhideWhenUsed/>
    <w:rsid w:val="001F6A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AFA"/>
  </w:style>
  <w:style w:type="paragraph" w:customStyle="1" w:styleId="p4">
    <w:name w:val="p4"/>
    <w:basedOn w:val="Normal"/>
    <w:rsid w:val="00D63E5B"/>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unhideWhenUsed/>
    <w:rsid w:val="00F920D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F920D9"/>
    <w:rPr>
      <w:i/>
      <w:iCs/>
    </w:rPr>
  </w:style>
  <w:style w:type="paragraph" w:customStyle="1" w:styleId="isselectedend">
    <w:name w:val="isselectedend"/>
    <w:basedOn w:val="Normal"/>
    <w:rsid w:val="00F920D9"/>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ethics/" TargetMode="Externa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5287</Words>
  <Characters>30138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Pughsley (1706864)</dc:creator>
  <cp:keywords/>
  <dc:description/>
  <cp:lastModifiedBy>Cai Pughsley (1706864)</cp:lastModifiedBy>
  <cp:revision>2</cp:revision>
  <dcterms:created xsi:type="dcterms:W3CDTF">2026-07-24T22:50:00Z</dcterms:created>
  <dcterms:modified xsi:type="dcterms:W3CDTF">2026-07-24T22:50:00Z</dcterms:modified>
</cp:coreProperties>
</file>