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A25E8" w14:textId="77777777" w:rsidR="005F54D7" w:rsidRPr="005F54D7" w:rsidRDefault="005F54D7" w:rsidP="005F54D7">
      <w:pPr>
        <w:rPr>
          <w:rFonts w:ascii="Times New Roman" w:hAnsi="Times New Roman" w:cs="Times New Roman"/>
          <w:sz w:val="24"/>
          <w:szCs w:val="24"/>
        </w:rPr>
      </w:pPr>
      <w:r w:rsidRPr="005F54D7">
        <w:rPr>
          <w:rFonts w:ascii="Arial" w:hAnsi="Arial" w:cs="Arial"/>
          <w:color w:val="000000"/>
        </w:rPr>
        <w:t>The importance of play.</w:t>
      </w:r>
    </w:p>
    <w:p w14:paraId="7C4D0719" w14:textId="77777777" w:rsidR="005F54D7" w:rsidRPr="005F54D7" w:rsidRDefault="005F54D7" w:rsidP="005F54D7">
      <w:pPr>
        <w:rPr>
          <w:rFonts w:ascii="Times New Roman" w:eastAsia="Times New Roman" w:hAnsi="Times New Roman" w:cs="Times New Roman"/>
          <w:sz w:val="24"/>
          <w:szCs w:val="24"/>
        </w:rPr>
      </w:pPr>
    </w:p>
    <w:p w14:paraId="321657C6" w14:textId="0E2143AC" w:rsidR="005F54D7" w:rsidRPr="005F54D7" w:rsidRDefault="005F54D7" w:rsidP="005F54D7">
      <w:pPr>
        <w:rPr>
          <w:rFonts w:ascii="Times New Roman" w:hAnsi="Times New Roman" w:cs="Times New Roman"/>
          <w:sz w:val="24"/>
          <w:szCs w:val="24"/>
        </w:rPr>
      </w:pPr>
      <w:r w:rsidRPr="005F54D7">
        <w:rPr>
          <w:rFonts w:ascii="Arial" w:hAnsi="Arial" w:cs="Arial"/>
          <w:color w:val="000000"/>
        </w:rPr>
        <w:t xml:space="preserve">Whilst children’s play and work are often organised as separate activities, with work perceived as where the learning happens and play as a childlike act (Whitehead </w:t>
      </w:r>
      <w:r w:rsidRPr="005F54D7">
        <w:rPr>
          <w:rFonts w:ascii="Arial" w:hAnsi="Arial" w:cs="Arial"/>
          <w:i/>
          <w:iCs/>
          <w:color w:val="000000"/>
        </w:rPr>
        <w:t xml:space="preserve">et al. </w:t>
      </w:r>
      <w:r w:rsidRPr="005F54D7">
        <w:rPr>
          <w:rFonts w:ascii="Arial" w:hAnsi="Arial" w:cs="Arial"/>
          <w:color w:val="000000"/>
        </w:rPr>
        <w:t xml:space="preserve">2012, p. 3) Brock et al (2013, p.12) suggest that as educators it is vital to utilise </w:t>
      </w:r>
      <w:r w:rsidR="00BF021C" w:rsidRPr="005F54D7">
        <w:rPr>
          <w:rFonts w:ascii="Arial" w:hAnsi="Arial" w:cs="Arial"/>
          <w:color w:val="000000"/>
        </w:rPr>
        <w:t>children’s</w:t>
      </w:r>
      <w:r w:rsidRPr="005F54D7">
        <w:rPr>
          <w:rFonts w:ascii="Arial" w:hAnsi="Arial" w:cs="Arial"/>
          <w:color w:val="000000"/>
        </w:rPr>
        <w:t xml:space="preserve"> predisposition and desire to play in order to reach their academic potential. Likewise Early years matter (2018) supports that learning occurs through play as the child will be curious to investigate how they can interact with what they can see, feel and reach - encouraging fine motor and gross motor development as well. In addition to this Moyles (2010) states that babies learn from familiarity around them, be that a person or setting, from a very early age through playing and repeating familiar noises and voices. It is also important to note that play should not be prepared and with structure, that the children should be in control of the activities and that </w:t>
      </w:r>
      <w:r w:rsidR="00BF021C" w:rsidRPr="005F54D7">
        <w:rPr>
          <w:rFonts w:ascii="Arial" w:hAnsi="Arial" w:cs="Arial"/>
          <w:color w:val="000000"/>
        </w:rPr>
        <w:t>the</w:t>
      </w:r>
      <w:r w:rsidRPr="005F54D7">
        <w:rPr>
          <w:rFonts w:ascii="Arial" w:hAnsi="Arial" w:cs="Arial"/>
          <w:color w:val="000000"/>
        </w:rPr>
        <w:t xml:space="preserve"> importance of play can be noted as a child’s right to play is part of the United Nations Convention on the Rights of the Child. (Herrington and </w:t>
      </w:r>
      <w:proofErr w:type="spellStart"/>
      <w:r w:rsidRPr="005F54D7">
        <w:rPr>
          <w:rFonts w:ascii="Arial" w:hAnsi="Arial" w:cs="Arial"/>
          <w:color w:val="000000"/>
        </w:rPr>
        <w:t>Burssoni</w:t>
      </w:r>
      <w:proofErr w:type="spellEnd"/>
      <w:r w:rsidRPr="005F54D7">
        <w:rPr>
          <w:rFonts w:ascii="Arial" w:hAnsi="Arial" w:cs="Arial"/>
          <w:color w:val="000000"/>
        </w:rPr>
        <w:t>, 2015, p447-483)</w:t>
      </w:r>
    </w:p>
    <w:p w14:paraId="1E320CFD" w14:textId="77777777" w:rsidR="005F54D7" w:rsidRPr="005F54D7" w:rsidRDefault="005F54D7" w:rsidP="005F54D7">
      <w:pPr>
        <w:rPr>
          <w:rFonts w:ascii="Times New Roman" w:eastAsia="Times New Roman" w:hAnsi="Times New Roman" w:cs="Times New Roman"/>
          <w:sz w:val="24"/>
          <w:szCs w:val="24"/>
        </w:rPr>
      </w:pPr>
    </w:p>
    <w:p w14:paraId="01291962" w14:textId="77777777" w:rsidR="005F54D7" w:rsidRPr="005F54D7" w:rsidRDefault="005F54D7" w:rsidP="005F54D7">
      <w:pPr>
        <w:rPr>
          <w:rFonts w:ascii="Times New Roman" w:hAnsi="Times New Roman" w:cs="Times New Roman"/>
          <w:sz w:val="24"/>
          <w:szCs w:val="24"/>
        </w:rPr>
      </w:pPr>
      <w:r w:rsidRPr="005F54D7">
        <w:rPr>
          <w:rFonts w:ascii="Arial" w:hAnsi="Arial" w:cs="Arial"/>
          <w:color w:val="000000"/>
        </w:rPr>
        <w:t>Reference list: </w:t>
      </w:r>
    </w:p>
    <w:p w14:paraId="20BF856B" w14:textId="77777777" w:rsidR="005F54D7" w:rsidRPr="005F54D7" w:rsidRDefault="005F54D7" w:rsidP="005F54D7">
      <w:pPr>
        <w:rPr>
          <w:rFonts w:ascii="Times New Roman" w:eastAsia="Times New Roman" w:hAnsi="Times New Roman" w:cs="Times New Roman"/>
          <w:sz w:val="24"/>
          <w:szCs w:val="24"/>
        </w:rPr>
      </w:pPr>
    </w:p>
    <w:p w14:paraId="6E6E11EB" w14:textId="77777777" w:rsidR="005F54D7" w:rsidRPr="005F54D7" w:rsidRDefault="005F54D7" w:rsidP="005F54D7">
      <w:pPr>
        <w:rPr>
          <w:rFonts w:ascii="Times New Roman" w:hAnsi="Times New Roman" w:cs="Times New Roman"/>
          <w:sz w:val="24"/>
          <w:szCs w:val="24"/>
        </w:rPr>
      </w:pPr>
      <w:r w:rsidRPr="005F54D7">
        <w:rPr>
          <w:rFonts w:ascii="Arial" w:hAnsi="Arial" w:cs="Arial"/>
          <w:color w:val="000000"/>
        </w:rPr>
        <w:t xml:space="preserve">Brock, A. </w:t>
      </w:r>
      <w:r w:rsidRPr="005F54D7">
        <w:rPr>
          <w:rFonts w:ascii="Arial" w:hAnsi="Arial" w:cs="Arial"/>
          <w:i/>
          <w:iCs/>
          <w:color w:val="000000"/>
        </w:rPr>
        <w:t>et al.</w:t>
      </w:r>
      <w:r w:rsidRPr="005F54D7">
        <w:rPr>
          <w:rFonts w:ascii="Arial" w:hAnsi="Arial" w:cs="Arial"/>
          <w:color w:val="000000"/>
        </w:rPr>
        <w:t xml:space="preserve"> (2013) </w:t>
      </w:r>
      <w:r w:rsidRPr="005F54D7">
        <w:rPr>
          <w:rFonts w:ascii="Arial" w:hAnsi="Arial" w:cs="Arial"/>
          <w:i/>
          <w:iCs/>
          <w:color w:val="000000"/>
        </w:rPr>
        <w:t>Perspectives on Play: Learning for life</w:t>
      </w:r>
      <w:r w:rsidRPr="005F54D7">
        <w:rPr>
          <w:rFonts w:ascii="Arial" w:hAnsi="Arial" w:cs="Arial"/>
          <w:color w:val="000000"/>
        </w:rPr>
        <w:t xml:space="preserve">. Oxon: </w:t>
      </w:r>
      <w:proofErr w:type="spellStart"/>
      <w:r w:rsidRPr="005F54D7">
        <w:rPr>
          <w:rFonts w:ascii="Arial" w:hAnsi="Arial" w:cs="Arial"/>
          <w:color w:val="000000"/>
        </w:rPr>
        <w:t>Routledge</w:t>
      </w:r>
      <w:proofErr w:type="spellEnd"/>
      <w:r w:rsidRPr="005F54D7">
        <w:rPr>
          <w:rFonts w:ascii="Arial" w:hAnsi="Arial" w:cs="Arial"/>
          <w:color w:val="000000"/>
        </w:rPr>
        <w:t>.</w:t>
      </w:r>
    </w:p>
    <w:p w14:paraId="0FB2449F" w14:textId="77777777" w:rsidR="005F54D7" w:rsidRPr="005F54D7" w:rsidRDefault="005F54D7" w:rsidP="005F54D7">
      <w:pPr>
        <w:rPr>
          <w:rFonts w:ascii="Times New Roman" w:eastAsia="Times New Roman" w:hAnsi="Times New Roman" w:cs="Times New Roman"/>
          <w:sz w:val="24"/>
          <w:szCs w:val="24"/>
        </w:rPr>
      </w:pPr>
    </w:p>
    <w:p w14:paraId="44FF3458" w14:textId="77777777" w:rsidR="005F54D7" w:rsidRPr="005F54D7" w:rsidRDefault="005F54D7" w:rsidP="005F54D7">
      <w:pPr>
        <w:rPr>
          <w:rFonts w:ascii="Times New Roman" w:hAnsi="Times New Roman" w:cs="Times New Roman"/>
          <w:sz w:val="24"/>
          <w:szCs w:val="24"/>
        </w:rPr>
      </w:pPr>
      <w:r w:rsidRPr="005F54D7">
        <w:rPr>
          <w:rFonts w:ascii="Arial" w:hAnsi="Arial" w:cs="Arial"/>
          <w:color w:val="000000"/>
        </w:rPr>
        <w:t xml:space="preserve">Early Years Matters (2018) </w:t>
      </w:r>
      <w:r w:rsidRPr="005F54D7">
        <w:rPr>
          <w:rFonts w:ascii="Arial" w:hAnsi="Arial" w:cs="Arial"/>
          <w:i/>
          <w:iCs/>
          <w:color w:val="000000"/>
        </w:rPr>
        <w:t xml:space="preserve">The Importance of Play. </w:t>
      </w:r>
      <w:r w:rsidRPr="005F54D7">
        <w:rPr>
          <w:rFonts w:ascii="Arial" w:hAnsi="Arial" w:cs="Arial"/>
          <w:color w:val="000000"/>
        </w:rPr>
        <w:t xml:space="preserve">Available at: </w:t>
      </w:r>
      <w:hyperlink r:id="rId4" w:history="1">
        <w:r w:rsidRPr="005F54D7">
          <w:rPr>
            <w:rFonts w:ascii="Arial" w:hAnsi="Arial" w:cs="Arial"/>
            <w:color w:val="1155CC"/>
            <w:u w:val="single"/>
          </w:rPr>
          <w:t>http://earlyyearsmatters.co.uk/eyfs/a-unique-child/play-learning/</w:t>
        </w:r>
      </w:hyperlink>
      <w:r w:rsidRPr="005F54D7">
        <w:rPr>
          <w:rFonts w:ascii="Arial" w:hAnsi="Arial" w:cs="Arial"/>
          <w:color w:val="000000"/>
        </w:rPr>
        <w:t> </w:t>
      </w:r>
    </w:p>
    <w:p w14:paraId="0D87F0BC" w14:textId="77777777" w:rsidR="005F54D7" w:rsidRPr="005F54D7" w:rsidRDefault="005F54D7" w:rsidP="005F54D7">
      <w:pPr>
        <w:rPr>
          <w:rFonts w:ascii="Times New Roman" w:eastAsia="Times New Roman" w:hAnsi="Times New Roman" w:cs="Times New Roman"/>
          <w:sz w:val="24"/>
          <w:szCs w:val="24"/>
        </w:rPr>
      </w:pPr>
    </w:p>
    <w:p w14:paraId="332B0AD4" w14:textId="77777777" w:rsidR="005F54D7" w:rsidRPr="005F54D7" w:rsidRDefault="005F54D7" w:rsidP="005F54D7">
      <w:pPr>
        <w:rPr>
          <w:rFonts w:ascii="Times New Roman" w:hAnsi="Times New Roman" w:cs="Times New Roman"/>
          <w:sz w:val="24"/>
          <w:szCs w:val="24"/>
        </w:rPr>
      </w:pPr>
      <w:r w:rsidRPr="005F54D7">
        <w:rPr>
          <w:rFonts w:ascii="Arial" w:hAnsi="Arial" w:cs="Arial"/>
          <w:color w:val="000000"/>
        </w:rPr>
        <w:t xml:space="preserve">Herrington, S. and </w:t>
      </w:r>
      <w:proofErr w:type="spellStart"/>
      <w:r w:rsidRPr="005F54D7">
        <w:rPr>
          <w:rFonts w:ascii="Arial" w:hAnsi="Arial" w:cs="Arial"/>
          <w:color w:val="000000"/>
        </w:rPr>
        <w:t>Brussoni</w:t>
      </w:r>
      <w:proofErr w:type="spellEnd"/>
      <w:r w:rsidRPr="005F54D7">
        <w:rPr>
          <w:rFonts w:ascii="Arial" w:hAnsi="Arial" w:cs="Arial"/>
          <w:color w:val="000000"/>
        </w:rPr>
        <w:t xml:space="preserve">, M. (2015) ‘Beyond Physical Activity: The Importance of Play and Nature-Based Play Spaces for Children’s Health and Development’, </w:t>
      </w:r>
      <w:r w:rsidRPr="005F54D7">
        <w:rPr>
          <w:rFonts w:ascii="Arial" w:hAnsi="Arial" w:cs="Arial"/>
          <w:i/>
          <w:iCs/>
          <w:color w:val="000000"/>
        </w:rPr>
        <w:t xml:space="preserve">Current Obesity Reports, </w:t>
      </w:r>
      <w:r w:rsidRPr="005F54D7">
        <w:rPr>
          <w:rFonts w:ascii="Arial" w:hAnsi="Arial" w:cs="Arial"/>
          <w:color w:val="000000"/>
        </w:rPr>
        <w:t>4(4), pp. 477-483.</w:t>
      </w:r>
    </w:p>
    <w:p w14:paraId="154B3924" w14:textId="77777777" w:rsidR="005F54D7" w:rsidRPr="005F54D7" w:rsidRDefault="005F54D7" w:rsidP="005F54D7">
      <w:pPr>
        <w:rPr>
          <w:rFonts w:ascii="Times New Roman" w:eastAsia="Times New Roman" w:hAnsi="Times New Roman" w:cs="Times New Roman"/>
          <w:sz w:val="24"/>
          <w:szCs w:val="24"/>
        </w:rPr>
      </w:pPr>
    </w:p>
    <w:p w14:paraId="01DBD08E" w14:textId="77777777" w:rsidR="005F54D7" w:rsidRPr="005F54D7" w:rsidRDefault="005F54D7" w:rsidP="005F54D7">
      <w:pPr>
        <w:rPr>
          <w:rFonts w:ascii="Times New Roman" w:hAnsi="Times New Roman" w:cs="Times New Roman"/>
          <w:sz w:val="24"/>
          <w:szCs w:val="24"/>
        </w:rPr>
      </w:pPr>
      <w:r w:rsidRPr="005F54D7">
        <w:rPr>
          <w:rFonts w:ascii="Arial" w:hAnsi="Arial" w:cs="Arial"/>
          <w:color w:val="000000"/>
        </w:rPr>
        <w:t xml:space="preserve">Moyles, J. (2010) </w:t>
      </w:r>
      <w:r w:rsidRPr="005F54D7">
        <w:rPr>
          <w:rFonts w:ascii="Arial" w:hAnsi="Arial" w:cs="Arial"/>
          <w:i/>
          <w:iCs/>
          <w:color w:val="000000"/>
        </w:rPr>
        <w:t xml:space="preserve">The Excellent of Play. </w:t>
      </w:r>
      <w:r w:rsidRPr="005F54D7">
        <w:rPr>
          <w:rFonts w:ascii="Arial" w:hAnsi="Arial" w:cs="Arial"/>
          <w:color w:val="000000"/>
        </w:rPr>
        <w:t xml:space="preserve">2nd </w:t>
      </w:r>
      <w:proofErr w:type="spellStart"/>
      <w:r w:rsidRPr="005F54D7">
        <w:rPr>
          <w:rFonts w:ascii="Arial" w:hAnsi="Arial" w:cs="Arial"/>
          <w:color w:val="000000"/>
        </w:rPr>
        <w:t>edn</w:t>
      </w:r>
      <w:proofErr w:type="spellEnd"/>
      <w:r w:rsidRPr="005F54D7">
        <w:rPr>
          <w:rFonts w:ascii="Arial" w:hAnsi="Arial" w:cs="Arial"/>
          <w:color w:val="000000"/>
        </w:rPr>
        <w:t>. Berkshire: Open University Press.</w:t>
      </w:r>
    </w:p>
    <w:p w14:paraId="68DC8D15" w14:textId="77777777" w:rsidR="005F54D7" w:rsidRPr="005F54D7" w:rsidRDefault="005F54D7" w:rsidP="005F54D7">
      <w:pPr>
        <w:rPr>
          <w:rFonts w:ascii="Times New Roman" w:eastAsia="Times New Roman" w:hAnsi="Times New Roman" w:cs="Times New Roman"/>
          <w:sz w:val="24"/>
          <w:szCs w:val="24"/>
        </w:rPr>
      </w:pPr>
    </w:p>
    <w:p w14:paraId="701D52FE" w14:textId="77777777" w:rsidR="005F54D7" w:rsidRPr="005F54D7" w:rsidRDefault="005F54D7" w:rsidP="005F54D7">
      <w:pPr>
        <w:rPr>
          <w:rFonts w:ascii="Times New Roman" w:hAnsi="Times New Roman" w:cs="Times New Roman"/>
          <w:sz w:val="24"/>
          <w:szCs w:val="24"/>
        </w:rPr>
      </w:pPr>
      <w:r w:rsidRPr="005F54D7">
        <w:rPr>
          <w:rFonts w:ascii="Arial" w:hAnsi="Arial" w:cs="Arial"/>
          <w:color w:val="000000"/>
        </w:rPr>
        <w:t xml:space="preserve">Whitehead, D. </w:t>
      </w:r>
      <w:r w:rsidRPr="005F54D7">
        <w:rPr>
          <w:rFonts w:ascii="Arial" w:hAnsi="Arial" w:cs="Arial"/>
          <w:i/>
          <w:iCs/>
          <w:color w:val="000000"/>
        </w:rPr>
        <w:t xml:space="preserve">et al </w:t>
      </w:r>
      <w:r w:rsidRPr="005F54D7">
        <w:rPr>
          <w:rFonts w:ascii="Arial" w:hAnsi="Arial" w:cs="Arial"/>
          <w:color w:val="000000"/>
        </w:rPr>
        <w:t xml:space="preserve">(2012) </w:t>
      </w:r>
      <w:r w:rsidRPr="005F54D7">
        <w:rPr>
          <w:rFonts w:ascii="Arial" w:hAnsi="Arial" w:cs="Arial"/>
          <w:i/>
          <w:iCs/>
          <w:color w:val="000000"/>
        </w:rPr>
        <w:t xml:space="preserve">The importance of play. </w:t>
      </w:r>
      <w:r w:rsidRPr="005F54D7">
        <w:rPr>
          <w:rFonts w:ascii="Arial" w:hAnsi="Arial" w:cs="Arial"/>
          <w:color w:val="000000"/>
        </w:rPr>
        <w:t xml:space="preserve">Available at: </w:t>
      </w:r>
      <w:hyperlink r:id="rId5" w:history="1">
        <w:r w:rsidRPr="005F54D7">
          <w:rPr>
            <w:rFonts w:ascii="Arial" w:hAnsi="Arial" w:cs="Arial"/>
            <w:color w:val="1155CC"/>
            <w:u w:val="single"/>
          </w:rPr>
          <w:t>http://www.importanceofplay.et/IMG/pdf/dr_david_whitebread_-_the_importance_of_play.pdf</w:t>
        </w:r>
      </w:hyperlink>
    </w:p>
    <w:p w14:paraId="75C7968A" w14:textId="77777777" w:rsidR="005F54D7" w:rsidRDefault="005F54D7"/>
    <w:sectPr w:rsidR="005F54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4D7"/>
    <w:rsid w:val="005F54D7"/>
    <w:rsid w:val="00BF0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A2C7C0"/>
  <w15:chartTrackingRefBased/>
  <w15:docId w15:val="{50A33ED4-02E0-7145-BA7C-4F30286E9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F54D7"/>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5F54D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importance" TargetMode="External"/><Relationship Id="rId4" Type="http://schemas.openxmlformats.org/officeDocument/2006/relationships/hyperlink" Target="http://earlyyearsmatters.co.uk/ey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284</Words>
  <Characters>1620</Characters>
  <Application>Microsoft Office Word</Application>
  <DocSecurity>0</DocSecurity>
  <Lines>13</Lines>
  <Paragraphs>3</Paragraphs>
  <ScaleCrop>false</ScaleCrop>
  <Company/>
  <LinksUpToDate>false</LinksUpToDate>
  <CharactersWithSpaces>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dc:creator>
  <cp:keywords/>
  <dc:description/>
  <cp:lastModifiedBy>Hannah</cp:lastModifiedBy>
  <cp:revision>2</cp:revision>
  <dcterms:created xsi:type="dcterms:W3CDTF">2022-09-13T18:43:00Z</dcterms:created>
  <dcterms:modified xsi:type="dcterms:W3CDTF">2022-09-13T18:43:00Z</dcterms:modified>
</cp:coreProperties>
</file>