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3F005" w14:textId="77777777" w:rsidR="00530E16" w:rsidRPr="006B6A00" w:rsidRDefault="004468F8">
      <w:pPr>
        <w:pBdr>
          <w:top w:val="nil"/>
          <w:left w:val="nil"/>
          <w:bottom w:val="nil"/>
          <w:right w:val="nil"/>
          <w:between w:val="nil"/>
        </w:pBdr>
        <w:spacing w:after="0" w:line="240" w:lineRule="auto"/>
        <w:rPr>
          <w:rFonts w:ascii="Arial" w:eastAsia="Arial" w:hAnsi="Arial" w:cs="Arial"/>
          <w:color w:val="000000"/>
          <w:sz w:val="22"/>
          <w:szCs w:val="22"/>
        </w:rPr>
      </w:pPr>
      <w:r w:rsidRPr="006B6A00">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B7C9E01" wp14:editId="56C6720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0D2CE9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86CD37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B7C9E0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0D2CE9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86CD37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6B6A00">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611D622" wp14:editId="45508A6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97B4A4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9DD099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611D622"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97B4A4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9DD099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6ABE05B" w14:textId="77777777" w:rsidR="00530E16" w:rsidRPr="006B6A00" w:rsidRDefault="004468F8">
      <w:pPr>
        <w:rPr>
          <w:rFonts w:ascii="Arial" w:eastAsia="Arial" w:hAnsi="Arial" w:cs="Arial"/>
          <w:sz w:val="22"/>
          <w:szCs w:val="22"/>
        </w:rPr>
      </w:pPr>
      <w:r w:rsidRPr="006B6A00">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3DDB5AA7" wp14:editId="23319774">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45A6297" w14:textId="77777777" w:rsidR="00530E16" w:rsidRDefault="004468F8">
                            <w:pPr>
                              <w:spacing w:after="0" w:line="240" w:lineRule="auto"/>
                              <w:textDirection w:val="btLr"/>
                            </w:pPr>
                            <w:r>
                              <w:rPr>
                                <w:rFonts w:ascii="Play" w:eastAsia="Play" w:hAnsi="Play" w:cs="Play"/>
                                <w:color w:val="262626"/>
                                <w:sz w:val="72"/>
                              </w:rPr>
                              <w:t>Individual Report</w:t>
                            </w:r>
                          </w:p>
                          <w:p w14:paraId="6A8500FC" w14:textId="77777777" w:rsidR="00530E16" w:rsidRDefault="004468F8">
                            <w:pPr>
                              <w:spacing w:before="120" w:line="277" w:lineRule="auto"/>
                              <w:textDirection w:val="btLr"/>
                            </w:pPr>
                            <w:r>
                              <w:rPr>
                                <w:color w:val="404040"/>
                                <w:sz w:val="36"/>
                              </w:rPr>
                              <w:t>Module Name: Digital Skills and Research Methods</w:t>
                            </w:r>
                          </w:p>
                          <w:p w14:paraId="0B83C45A" w14:textId="77777777" w:rsidR="00530E16" w:rsidRDefault="004468F8">
                            <w:pPr>
                              <w:spacing w:before="120" w:line="277" w:lineRule="auto"/>
                              <w:textDirection w:val="btLr"/>
                            </w:pPr>
                            <w:r>
                              <w:rPr>
                                <w:color w:val="404040"/>
                                <w:sz w:val="36"/>
                              </w:rPr>
                              <w:t>Module Code: LCHS 4007</w:t>
                            </w:r>
                          </w:p>
                          <w:p w14:paraId="59106D63" w14:textId="74687FD7" w:rsidR="00530E16" w:rsidRDefault="004468F8">
                            <w:pPr>
                              <w:spacing w:before="120" w:line="277" w:lineRule="auto"/>
                              <w:textDirection w:val="btLr"/>
                            </w:pPr>
                            <w:r>
                              <w:rPr>
                                <w:color w:val="404040"/>
                                <w:sz w:val="36"/>
                              </w:rPr>
                              <w:t xml:space="preserve">Student name: </w:t>
                            </w:r>
                            <w:r w:rsidR="0094743D">
                              <w:rPr>
                                <w:color w:val="404040"/>
                                <w:sz w:val="36"/>
                              </w:rPr>
                              <w:t xml:space="preserve">Monica </w:t>
                            </w:r>
                            <w:proofErr w:type="spellStart"/>
                            <w:r w:rsidR="0094743D">
                              <w:rPr>
                                <w:color w:val="404040"/>
                                <w:sz w:val="36"/>
                              </w:rPr>
                              <w:t>Giesell</w:t>
                            </w:r>
                            <w:proofErr w:type="spellEnd"/>
                            <w:r w:rsidR="0094743D">
                              <w:rPr>
                                <w:color w:val="404040"/>
                                <w:sz w:val="36"/>
                              </w:rPr>
                              <w:t xml:space="preserve"> Charry Lamprea</w:t>
                            </w:r>
                          </w:p>
                          <w:p w14:paraId="66414DBF" w14:textId="25C40821" w:rsidR="00530E16" w:rsidRDefault="004468F8">
                            <w:pPr>
                              <w:spacing w:before="120" w:line="277" w:lineRule="auto"/>
                              <w:textDirection w:val="btLr"/>
                            </w:pPr>
                            <w:r>
                              <w:rPr>
                                <w:color w:val="404040"/>
                                <w:sz w:val="36"/>
                              </w:rPr>
                              <w:t>Student ID:</w:t>
                            </w:r>
                            <w:r w:rsidR="0094743D">
                              <w:rPr>
                                <w:color w:val="404040"/>
                                <w:sz w:val="36"/>
                              </w:rPr>
                              <w:t>2514548</w:t>
                            </w:r>
                          </w:p>
                          <w:p w14:paraId="72508FF8" w14:textId="04C35EA3" w:rsidR="00530E16" w:rsidRDefault="004468F8">
                            <w:pPr>
                              <w:spacing w:before="120" w:line="277" w:lineRule="auto"/>
                              <w:textDirection w:val="btLr"/>
                            </w:pPr>
                            <w:r>
                              <w:rPr>
                                <w:color w:val="404040"/>
                                <w:sz w:val="36"/>
                              </w:rPr>
                              <w:t xml:space="preserve">Lecturer’s Name: </w:t>
                            </w:r>
                            <w:r w:rsidR="0094743D">
                              <w:rPr>
                                <w:color w:val="404040"/>
                                <w:sz w:val="36"/>
                              </w:rPr>
                              <w:t>Jolly Nwankwo</w:t>
                            </w:r>
                          </w:p>
                        </w:txbxContent>
                      </wps:txbx>
                      <wps:bodyPr spcFirstLastPara="1" wrap="square" lIns="0" tIns="0" rIns="0" bIns="0" anchor="t" anchorCtr="0">
                        <a:noAutofit/>
                      </wps:bodyPr>
                    </wps:wsp>
                  </a:graphicData>
                </a:graphic>
              </wp:anchor>
            </w:drawing>
          </mc:Choice>
          <mc:Fallback>
            <w:pict>
              <v:rect w14:anchorId="3DDB5AA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45A6297" w14:textId="77777777" w:rsidR="00530E16" w:rsidRDefault="004468F8">
                      <w:pPr>
                        <w:spacing w:after="0" w:line="240" w:lineRule="auto"/>
                        <w:textDirection w:val="btLr"/>
                      </w:pPr>
                      <w:r>
                        <w:rPr>
                          <w:rFonts w:ascii="Play" w:eastAsia="Play" w:hAnsi="Play" w:cs="Play"/>
                          <w:color w:val="262626"/>
                          <w:sz w:val="72"/>
                        </w:rPr>
                        <w:t>Individual Report</w:t>
                      </w:r>
                    </w:p>
                    <w:p w14:paraId="6A8500FC" w14:textId="77777777" w:rsidR="00530E16" w:rsidRDefault="004468F8">
                      <w:pPr>
                        <w:spacing w:before="120" w:line="277" w:lineRule="auto"/>
                        <w:textDirection w:val="btLr"/>
                      </w:pPr>
                      <w:r>
                        <w:rPr>
                          <w:color w:val="404040"/>
                          <w:sz w:val="36"/>
                        </w:rPr>
                        <w:t>Module Name: Digital Skills and Research Methods</w:t>
                      </w:r>
                    </w:p>
                    <w:p w14:paraId="0B83C45A" w14:textId="77777777" w:rsidR="00530E16" w:rsidRDefault="004468F8">
                      <w:pPr>
                        <w:spacing w:before="120" w:line="277" w:lineRule="auto"/>
                        <w:textDirection w:val="btLr"/>
                      </w:pPr>
                      <w:r>
                        <w:rPr>
                          <w:color w:val="404040"/>
                          <w:sz w:val="36"/>
                        </w:rPr>
                        <w:t>Module Code: LCHS 4007</w:t>
                      </w:r>
                    </w:p>
                    <w:p w14:paraId="59106D63" w14:textId="74687FD7" w:rsidR="00530E16" w:rsidRDefault="004468F8">
                      <w:pPr>
                        <w:spacing w:before="120" w:line="277" w:lineRule="auto"/>
                        <w:textDirection w:val="btLr"/>
                      </w:pPr>
                      <w:r>
                        <w:rPr>
                          <w:color w:val="404040"/>
                          <w:sz w:val="36"/>
                        </w:rPr>
                        <w:t xml:space="preserve">Student name: </w:t>
                      </w:r>
                      <w:r w:rsidR="0094743D">
                        <w:rPr>
                          <w:color w:val="404040"/>
                          <w:sz w:val="36"/>
                        </w:rPr>
                        <w:t xml:space="preserve">Monica </w:t>
                      </w:r>
                      <w:proofErr w:type="spellStart"/>
                      <w:r w:rsidR="0094743D">
                        <w:rPr>
                          <w:color w:val="404040"/>
                          <w:sz w:val="36"/>
                        </w:rPr>
                        <w:t>Giesell</w:t>
                      </w:r>
                      <w:proofErr w:type="spellEnd"/>
                      <w:r w:rsidR="0094743D">
                        <w:rPr>
                          <w:color w:val="404040"/>
                          <w:sz w:val="36"/>
                        </w:rPr>
                        <w:t xml:space="preserve"> Charry Lamprea</w:t>
                      </w:r>
                    </w:p>
                    <w:p w14:paraId="66414DBF" w14:textId="25C40821" w:rsidR="00530E16" w:rsidRDefault="004468F8">
                      <w:pPr>
                        <w:spacing w:before="120" w:line="277" w:lineRule="auto"/>
                        <w:textDirection w:val="btLr"/>
                      </w:pPr>
                      <w:r>
                        <w:rPr>
                          <w:color w:val="404040"/>
                          <w:sz w:val="36"/>
                        </w:rPr>
                        <w:t>Student ID:</w:t>
                      </w:r>
                      <w:r w:rsidR="0094743D">
                        <w:rPr>
                          <w:color w:val="404040"/>
                          <w:sz w:val="36"/>
                        </w:rPr>
                        <w:t>2514548</w:t>
                      </w:r>
                    </w:p>
                    <w:p w14:paraId="72508FF8" w14:textId="04C35EA3" w:rsidR="00530E16" w:rsidRDefault="004468F8">
                      <w:pPr>
                        <w:spacing w:before="120" w:line="277" w:lineRule="auto"/>
                        <w:textDirection w:val="btLr"/>
                      </w:pPr>
                      <w:r>
                        <w:rPr>
                          <w:color w:val="404040"/>
                          <w:sz w:val="36"/>
                        </w:rPr>
                        <w:t xml:space="preserve">Lecturer’s Name: </w:t>
                      </w:r>
                      <w:r w:rsidR="0094743D">
                        <w:rPr>
                          <w:color w:val="404040"/>
                          <w:sz w:val="36"/>
                        </w:rPr>
                        <w:t>Jolly Nwankwo</w:t>
                      </w:r>
                    </w:p>
                  </w:txbxContent>
                </v:textbox>
                <w10:wrap anchorx="page" anchory="page"/>
              </v:rect>
            </w:pict>
          </mc:Fallback>
        </mc:AlternateContent>
      </w:r>
      <w:r w:rsidRPr="006B6A00">
        <w:rPr>
          <w:rFonts w:ascii="Arial" w:hAnsi="Arial" w:cs="Arial"/>
          <w:sz w:val="22"/>
          <w:szCs w:val="22"/>
        </w:rPr>
        <w:br w:type="page"/>
      </w:r>
    </w:p>
    <w:p w14:paraId="3ACAFCAB" w14:textId="77777777" w:rsidR="00530E16" w:rsidRPr="006B6A00" w:rsidRDefault="00530E16">
      <w:pPr>
        <w:rPr>
          <w:rFonts w:ascii="Arial" w:eastAsia="Arial" w:hAnsi="Arial" w:cs="Arial"/>
          <w:sz w:val="22"/>
          <w:szCs w:val="22"/>
        </w:rPr>
      </w:pPr>
    </w:p>
    <w:p w14:paraId="184BFE78" w14:textId="77777777" w:rsidR="00530E16" w:rsidRPr="006B6A00" w:rsidRDefault="004468F8">
      <w:pPr>
        <w:keepNext/>
        <w:keepLines/>
        <w:pBdr>
          <w:top w:val="nil"/>
          <w:left w:val="nil"/>
          <w:bottom w:val="nil"/>
          <w:right w:val="nil"/>
          <w:between w:val="nil"/>
        </w:pBdr>
        <w:spacing w:before="240" w:after="0" w:line="259" w:lineRule="auto"/>
        <w:rPr>
          <w:rFonts w:ascii="Arial" w:eastAsia="Play" w:hAnsi="Arial" w:cs="Arial"/>
          <w:color w:val="0F4761"/>
          <w:sz w:val="22"/>
          <w:szCs w:val="22"/>
        </w:rPr>
      </w:pPr>
      <w:r w:rsidRPr="006B6A00">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Content>
        <w:p w14:paraId="366E0CF9" w14:textId="22F68EE8" w:rsidR="00DB181C" w:rsidRPr="006B6A00" w:rsidRDefault="004468F8">
          <w:pPr>
            <w:pStyle w:val="TOC1"/>
            <w:tabs>
              <w:tab w:val="right" w:leader="dot" w:pos="9016"/>
            </w:tabs>
            <w:rPr>
              <w:rFonts w:ascii="Arial" w:eastAsiaTheme="minorEastAsia" w:hAnsi="Arial" w:cs="Arial"/>
              <w:noProof/>
              <w:sz w:val="22"/>
              <w:szCs w:val="22"/>
            </w:rPr>
          </w:pPr>
          <w:r w:rsidRPr="006B6A00">
            <w:rPr>
              <w:rFonts w:ascii="Arial" w:hAnsi="Arial" w:cs="Arial"/>
              <w:sz w:val="22"/>
              <w:szCs w:val="22"/>
            </w:rPr>
            <w:fldChar w:fldCharType="begin"/>
          </w:r>
          <w:r w:rsidRPr="006B6A00">
            <w:rPr>
              <w:rFonts w:ascii="Arial" w:hAnsi="Arial" w:cs="Arial"/>
              <w:sz w:val="22"/>
              <w:szCs w:val="22"/>
            </w:rPr>
            <w:instrText xml:space="preserve"> TOC \h \u \z \t "Heading 1,1,Heading 2,2,Heading 3,3,"</w:instrText>
          </w:r>
          <w:r w:rsidRPr="006B6A00">
            <w:rPr>
              <w:rFonts w:ascii="Arial" w:hAnsi="Arial" w:cs="Arial"/>
              <w:sz w:val="22"/>
              <w:szCs w:val="22"/>
            </w:rPr>
            <w:fldChar w:fldCharType="separate"/>
          </w:r>
          <w:hyperlink w:anchor="_Toc213674530" w:history="1">
            <w:r w:rsidR="00DB181C" w:rsidRPr="006B6A00">
              <w:rPr>
                <w:rStyle w:val="Hyperlink"/>
                <w:rFonts w:ascii="Arial" w:hAnsi="Arial" w:cs="Arial"/>
                <w:noProof/>
                <w:sz w:val="22"/>
                <w:szCs w:val="22"/>
              </w:rPr>
              <w:t xml:space="preserve">Research Topic: </w:t>
            </w:r>
            <w:r w:rsidR="0094743D" w:rsidRPr="006B6A00">
              <w:rPr>
                <w:rStyle w:val="Hyperlink"/>
                <w:rFonts w:ascii="Arial" w:hAnsi="Arial" w:cs="Arial"/>
                <w:noProof/>
                <w:sz w:val="22"/>
                <w:szCs w:val="22"/>
              </w:rPr>
              <w:t>Long waiting times in the NHS</w:t>
            </w:r>
            <w:r w:rsidR="00DB181C" w:rsidRPr="006B6A00">
              <w:rPr>
                <w:rFonts w:ascii="Arial" w:hAnsi="Arial" w:cs="Arial"/>
                <w:noProof/>
                <w:webHidden/>
                <w:sz w:val="22"/>
                <w:szCs w:val="22"/>
              </w:rPr>
              <w:tab/>
            </w:r>
            <w:r w:rsidR="00DB181C" w:rsidRPr="006B6A00">
              <w:rPr>
                <w:rFonts w:ascii="Arial" w:hAnsi="Arial" w:cs="Arial"/>
                <w:noProof/>
                <w:webHidden/>
                <w:sz w:val="22"/>
                <w:szCs w:val="22"/>
              </w:rPr>
              <w:fldChar w:fldCharType="begin"/>
            </w:r>
            <w:r w:rsidR="00DB181C" w:rsidRPr="006B6A00">
              <w:rPr>
                <w:rFonts w:ascii="Arial" w:hAnsi="Arial" w:cs="Arial"/>
                <w:noProof/>
                <w:webHidden/>
                <w:sz w:val="22"/>
                <w:szCs w:val="22"/>
              </w:rPr>
              <w:instrText xml:space="preserve"> PAGEREF _Toc213674530 \h </w:instrText>
            </w:r>
            <w:r w:rsidR="00DB181C" w:rsidRPr="006B6A00">
              <w:rPr>
                <w:rFonts w:ascii="Arial" w:hAnsi="Arial" w:cs="Arial"/>
                <w:noProof/>
                <w:webHidden/>
                <w:sz w:val="22"/>
                <w:szCs w:val="22"/>
              </w:rPr>
            </w:r>
            <w:r w:rsidR="00DB181C" w:rsidRPr="006B6A00">
              <w:rPr>
                <w:rFonts w:ascii="Arial" w:hAnsi="Arial" w:cs="Arial"/>
                <w:noProof/>
                <w:webHidden/>
                <w:sz w:val="22"/>
                <w:szCs w:val="22"/>
              </w:rPr>
              <w:fldChar w:fldCharType="separate"/>
            </w:r>
            <w:r w:rsidR="00DB181C" w:rsidRPr="006B6A00">
              <w:rPr>
                <w:rFonts w:ascii="Arial" w:hAnsi="Arial" w:cs="Arial"/>
                <w:noProof/>
                <w:webHidden/>
                <w:sz w:val="22"/>
                <w:szCs w:val="22"/>
              </w:rPr>
              <w:t>2</w:t>
            </w:r>
            <w:r w:rsidR="00DB181C" w:rsidRPr="006B6A00">
              <w:rPr>
                <w:rFonts w:ascii="Arial" w:hAnsi="Arial" w:cs="Arial"/>
                <w:noProof/>
                <w:webHidden/>
                <w:sz w:val="22"/>
                <w:szCs w:val="22"/>
              </w:rPr>
              <w:fldChar w:fldCharType="end"/>
            </w:r>
          </w:hyperlink>
        </w:p>
        <w:p w14:paraId="36F47BF5" w14:textId="77777777" w:rsidR="00DB181C" w:rsidRPr="006B6A00" w:rsidRDefault="00DB181C">
          <w:pPr>
            <w:pStyle w:val="TOC1"/>
            <w:tabs>
              <w:tab w:val="right" w:leader="dot" w:pos="9016"/>
            </w:tabs>
            <w:rPr>
              <w:rFonts w:ascii="Arial" w:eastAsiaTheme="minorEastAsia" w:hAnsi="Arial" w:cs="Arial"/>
              <w:noProof/>
              <w:sz w:val="22"/>
              <w:szCs w:val="22"/>
            </w:rPr>
          </w:pPr>
          <w:hyperlink w:anchor="_Toc213674531" w:history="1">
            <w:r w:rsidRPr="006B6A00">
              <w:rPr>
                <w:rStyle w:val="Hyperlink"/>
                <w:rFonts w:ascii="Arial" w:hAnsi="Arial" w:cs="Arial"/>
                <w:noProof/>
                <w:sz w:val="22"/>
                <w:szCs w:val="22"/>
              </w:rPr>
              <w:t>Introduction</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_Toc213674531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2</w:t>
            </w:r>
            <w:r w:rsidRPr="006B6A00">
              <w:rPr>
                <w:rFonts w:ascii="Arial" w:hAnsi="Arial" w:cs="Arial"/>
                <w:noProof/>
                <w:webHidden/>
                <w:sz w:val="22"/>
                <w:szCs w:val="22"/>
              </w:rPr>
              <w:fldChar w:fldCharType="end"/>
            </w:r>
          </w:hyperlink>
        </w:p>
        <w:p w14:paraId="5C443520"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32" w:history="1">
            <w:r w:rsidRPr="006B6A00">
              <w:rPr>
                <w:rStyle w:val="Hyperlink"/>
                <w:rFonts w:ascii="Arial" w:hAnsi="Arial" w:cs="Arial"/>
                <w:noProof/>
                <w:sz w:val="22"/>
                <w:szCs w:val="22"/>
              </w:rPr>
              <w:t>Problem Statement</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_Toc213674532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2</w:t>
            </w:r>
            <w:r w:rsidRPr="006B6A00">
              <w:rPr>
                <w:rFonts w:ascii="Arial" w:hAnsi="Arial" w:cs="Arial"/>
                <w:noProof/>
                <w:webHidden/>
                <w:sz w:val="22"/>
                <w:szCs w:val="22"/>
              </w:rPr>
              <w:fldChar w:fldCharType="end"/>
            </w:r>
          </w:hyperlink>
        </w:p>
        <w:p w14:paraId="3FB705A2"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33" w:history="1">
            <w:r w:rsidRPr="006B6A00">
              <w:rPr>
                <w:rStyle w:val="Hyperlink"/>
                <w:rFonts w:ascii="Arial" w:hAnsi="Arial" w:cs="Arial"/>
                <w:noProof/>
                <w:sz w:val="22"/>
                <w:szCs w:val="22"/>
              </w:rPr>
              <w:t>Justification</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_Toc213674533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2</w:t>
            </w:r>
            <w:r w:rsidRPr="006B6A00">
              <w:rPr>
                <w:rFonts w:ascii="Arial" w:hAnsi="Arial" w:cs="Arial"/>
                <w:noProof/>
                <w:webHidden/>
                <w:sz w:val="22"/>
                <w:szCs w:val="22"/>
              </w:rPr>
              <w:fldChar w:fldCharType="end"/>
            </w:r>
          </w:hyperlink>
        </w:p>
        <w:p w14:paraId="6B5FFF1A"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34" w:history="1">
            <w:r w:rsidRPr="006B6A00">
              <w:rPr>
                <w:rStyle w:val="Hyperlink"/>
                <w:rFonts w:ascii="Arial" w:hAnsi="Arial" w:cs="Arial"/>
                <w:noProof/>
                <w:sz w:val="22"/>
                <w:szCs w:val="22"/>
              </w:rPr>
              <w:t>Information Sources and Justification</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_Toc213674534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2</w:t>
            </w:r>
            <w:r w:rsidRPr="006B6A00">
              <w:rPr>
                <w:rFonts w:ascii="Arial" w:hAnsi="Arial" w:cs="Arial"/>
                <w:noProof/>
                <w:webHidden/>
                <w:sz w:val="22"/>
                <w:szCs w:val="22"/>
              </w:rPr>
              <w:fldChar w:fldCharType="end"/>
            </w:r>
          </w:hyperlink>
        </w:p>
        <w:p w14:paraId="5CCA6DD2" w14:textId="77777777" w:rsidR="00DB181C" w:rsidRPr="006B6A00" w:rsidRDefault="00DB181C">
          <w:pPr>
            <w:pStyle w:val="TOC1"/>
            <w:tabs>
              <w:tab w:val="right" w:leader="dot" w:pos="9016"/>
            </w:tabs>
            <w:rPr>
              <w:rFonts w:ascii="Arial" w:eastAsiaTheme="minorEastAsia" w:hAnsi="Arial" w:cs="Arial"/>
              <w:noProof/>
              <w:sz w:val="22"/>
              <w:szCs w:val="22"/>
            </w:rPr>
          </w:pPr>
          <w:hyperlink w:anchor="_Toc213674535" w:history="1">
            <w:r w:rsidRPr="006B6A00">
              <w:rPr>
                <w:rStyle w:val="Hyperlink"/>
                <w:rFonts w:ascii="Arial" w:hAnsi="Arial" w:cs="Arial"/>
                <w:noProof/>
                <w:sz w:val="22"/>
                <w:szCs w:val="22"/>
              </w:rPr>
              <w:t xml:space="preserve">Task 2: </w:t>
            </w:r>
            <w:r w:rsidRPr="006B6A00">
              <w:rPr>
                <w:rStyle w:val="Hyperlink"/>
                <w:rFonts w:ascii="Arial" w:hAnsi="Arial" w:cs="Arial"/>
                <w:bCs/>
                <w:noProof/>
                <w:kern w:val="2"/>
                <w:sz w:val="22"/>
                <w:szCs w:val="22"/>
                <w:lang w:eastAsia="en-US"/>
                <w14:ligatures w14:val="standardContextual"/>
              </w:rPr>
              <w:t>Research Methodologies</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_Toc213674535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2</w:t>
            </w:r>
            <w:r w:rsidRPr="006B6A00">
              <w:rPr>
                <w:rFonts w:ascii="Arial" w:hAnsi="Arial" w:cs="Arial"/>
                <w:noProof/>
                <w:webHidden/>
                <w:sz w:val="22"/>
                <w:szCs w:val="22"/>
              </w:rPr>
              <w:fldChar w:fldCharType="end"/>
            </w:r>
          </w:hyperlink>
        </w:p>
        <w:p w14:paraId="5CE40859"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36" w:history="1">
            <w:r w:rsidRPr="006B6A00">
              <w:rPr>
                <w:rStyle w:val="Hyperlink"/>
                <w:rFonts w:ascii="Arial" w:hAnsi="Arial" w:cs="Arial"/>
                <w:noProof/>
                <w:kern w:val="2"/>
                <w:sz w:val="22"/>
                <w:szCs w:val="22"/>
                <w:lang w:eastAsia="en-US"/>
                <w14:ligatures w14:val="standardContextual"/>
              </w:rPr>
              <w:t>Give a brief overview of quantitative and qualitative research.</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_Toc213674536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2</w:t>
            </w:r>
            <w:r w:rsidRPr="006B6A00">
              <w:rPr>
                <w:rFonts w:ascii="Arial" w:hAnsi="Arial" w:cs="Arial"/>
                <w:noProof/>
                <w:webHidden/>
                <w:sz w:val="22"/>
                <w:szCs w:val="22"/>
              </w:rPr>
              <w:fldChar w:fldCharType="end"/>
            </w:r>
          </w:hyperlink>
        </w:p>
        <w:p w14:paraId="33213039"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37" w:history="1">
            <w:r w:rsidRPr="006B6A00">
              <w:rPr>
                <w:rStyle w:val="Hyperlink"/>
                <w:rFonts w:ascii="Arial" w:hAnsi="Arial" w:cs="Arial"/>
                <w:noProof/>
                <w:sz w:val="22"/>
                <w:szCs w:val="22"/>
                <w:lang w:eastAsia="en-US"/>
              </w:rPr>
              <w:t>What type of research methodology will you use for your research and why?</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_Toc213674537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3</w:t>
            </w:r>
            <w:r w:rsidRPr="006B6A00">
              <w:rPr>
                <w:rFonts w:ascii="Arial" w:hAnsi="Arial" w:cs="Arial"/>
                <w:noProof/>
                <w:webHidden/>
                <w:sz w:val="22"/>
                <w:szCs w:val="22"/>
              </w:rPr>
              <w:fldChar w:fldCharType="end"/>
            </w:r>
          </w:hyperlink>
        </w:p>
        <w:p w14:paraId="1B43D825" w14:textId="77777777" w:rsidR="00DB181C" w:rsidRPr="006B6A00" w:rsidRDefault="00DB181C">
          <w:pPr>
            <w:pStyle w:val="TOC1"/>
            <w:tabs>
              <w:tab w:val="right" w:leader="dot" w:pos="9016"/>
            </w:tabs>
            <w:rPr>
              <w:rFonts w:ascii="Arial" w:eastAsiaTheme="minorEastAsia" w:hAnsi="Arial" w:cs="Arial"/>
              <w:noProof/>
              <w:sz w:val="22"/>
              <w:szCs w:val="22"/>
            </w:rPr>
          </w:pPr>
          <w:hyperlink w:anchor="_Toc213674538" w:history="1">
            <w:r w:rsidRPr="006B6A00">
              <w:rPr>
                <w:rStyle w:val="Hyperlink"/>
                <w:rFonts w:ascii="Arial" w:hAnsi="Arial" w:cs="Arial"/>
                <w:noProof/>
                <w:sz w:val="22"/>
                <w:szCs w:val="22"/>
              </w:rPr>
              <w:t>Task 3: Data Collection</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_Toc213674538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3</w:t>
            </w:r>
            <w:r w:rsidRPr="006B6A00">
              <w:rPr>
                <w:rFonts w:ascii="Arial" w:hAnsi="Arial" w:cs="Arial"/>
                <w:noProof/>
                <w:webHidden/>
                <w:sz w:val="22"/>
                <w:szCs w:val="22"/>
              </w:rPr>
              <w:fldChar w:fldCharType="end"/>
            </w:r>
          </w:hyperlink>
        </w:p>
        <w:p w14:paraId="14C7CA54"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39" w:history="1">
            <w:r w:rsidRPr="006B6A00">
              <w:rPr>
                <w:rStyle w:val="Hyperlink"/>
                <w:rFonts w:ascii="Arial" w:hAnsi="Arial" w:cs="Arial"/>
                <w:noProof/>
                <w:sz w:val="22"/>
                <w:szCs w:val="22"/>
                <w:lang w:eastAsia="en-US"/>
              </w:rPr>
              <w:t>Overview of primary and secondary data collection</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_Toc213674539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3</w:t>
            </w:r>
            <w:r w:rsidRPr="006B6A00">
              <w:rPr>
                <w:rFonts w:ascii="Arial" w:hAnsi="Arial" w:cs="Arial"/>
                <w:noProof/>
                <w:webHidden/>
                <w:sz w:val="22"/>
                <w:szCs w:val="22"/>
              </w:rPr>
              <w:fldChar w:fldCharType="end"/>
            </w:r>
          </w:hyperlink>
        </w:p>
        <w:p w14:paraId="4FA9A58C" w14:textId="77777777" w:rsidR="00DB181C" w:rsidRPr="006B6A00" w:rsidRDefault="00DB181C">
          <w:pPr>
            <w:pStyle w:val="TOC2"/>
            <w:tabs>
              <w:tab w:val="right" w:leader="dot" w:pos="9016"/>
            </w:tabs>
            <w:rPr>
              <w:rFonts w:ascii="Arial" w:eastAsiaTheme="minorEastAsia" w:hAnsi="Arial" w:cs="Arial"/>
              <w:noProof/>
              <w:sz w:val="22"/>
              <w:szCs w:val="22"/>
            </w:rPr>
          </w:pPr>
          <w:hyperlink w:anchor="_Toc213674540" w:history="1">
            <w:r w:rsidRPr="006B6A00">
              <w:rPr>
                <w:rStyle w:val="Hyperlink"/>
                <w:rFonts w:ascii="Arial" w:hAnsi="Arial" w:cs="Arial"/>
                <w:noProof/>
                <w:sz w:val="22"/>
                <w:szCs w:val="22"/>
                <w:lang w:eastAsia="en-US"/>
              </w:rPr>
              <w:t>What form of data will be used to address your research problem, and why?</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_Toc213674540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3</w:t>
            </w:r>
            <w:r w:rsidRPr="006B6A00">
              <w:rPr>
                <w:rFonts w:ascii="Arial" w:hAnsi="Arial" w:cs="Arial"/>
                <w:noProof/>
                <w:webHidden/>
                <w:sz w:val="22"/>
                <w:szCs w:val="22"/>
              </w:rPr>
              <w:fldChar w:fldCharType="end"/>
            </w:r>
          </w:hyperlink>
        </w:p>
        <w:p w14:paraId="3A40CC11" w14:textId="77777777" w:rsidR="00DB181C" w:rsidRPr="006B6A00" w:rsidRDefault="00DB181C">
          <w:pPr>
            <w:pStyle w:val="TOC1"/>
            <w:tabs>
              <w:tab w:val="right" w:leader="dot" w:pos="9016"/>
            </w:tabs>
            <w:rPr>
              <w:rFonts w:ascii="Arial" w:eastAsiaTheme="minorEastAsia" w:hAnsi="Arial" w:cs="Arial"/>
              <w:noProof/>
              <w:sz w:val="22"/>
              <w:szCs w:val="22"/>
            </w:rPr>
          </w:pPr>
          <w:hyperlink w:anchor="_Toc213674541" w:history="1">
            <w:r w:rsidRPr="006B6A00">
              <w:rPr>
                <w:rStyle w:val="Hyperlink"/>
                <w:rFonts w:ascii="Arial" w:hAnsi="Arial" w:cs="Arial"/>
                <w:noProof/>
                <w:sz w:val="22"/>
                <w:szCs w:val="22"/>
              </w:rPr>
              <w:t>Conclusion</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_Toc213674541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3</w:t>
            </w:r>
            <w:r w:rsidRPr="006B6A00">
              <w:rPr>
                <w:rFonts w:ascii="Arial" w:hAnsi="Arial" w:cs="Arial"/>
                <w:noProof/>
                <w:webHidden/>
                <w:sz w:val="22"/>
                <w:szCs w:val="22"/>
              </w:rPr>
              <w:fldChar w:fldCharType="end"/>
            </w:r>
          </w:hyperlink>
        </w:p>
        <w:p w14:paraId="62E18AB4" w14:textId="77777777" w:rsidR="00DB181C" w:rsidRPr="006B6A00" w:rsidRDefault="00DB181C">
          <w:pPr>
            <w:pStyle w:val="TOC1"/>
            <w:tabs>
              <w:tab w:val="right" w:leader="dot" w:pos="9016"/>
            </w:tabs>
            <w:rPr>
              <w:rFonts w:ascii="Arial" w:eastAsiaTheme="minorEastAsia" w:hAnsi="Arial" w:cs="Arial"/>
              <w:noProof/>
              <w:sz w:val="22"/>
              <w:szCs w:val="22"/>
            </w:rPr>
          </w:pPr>
          <w:hyperlink w:anchor="_Toc213674542" w:history="1">
            <w:r w:rsidRPr="006B6A00">
              <w:rPr>
                <w:rStyle w:val="Hyperlink"/>
                <w:rFonts w:ascii="Arial" w:hAnsi="Arial" w:cs="Arial"/>
                <w:noProof/>
                <w:sz w:val="22"/>
                <w:szCs w:val="22"/>
              </w:rPr>
              <w:t>References</w:t>
            </w:r>
            <w:r w:rsidRPr="006B6A00">
              <w:rPr>
                <w:rFonts w:ascii="Arial" w:hAnsi="Arial" w:cs="Arial"/>
                <w:noProof/>
                <w:webHidden/>
                <w:sz w:val="22"/>
                <w:szCs w:val="22"/>
              </w:rPr>
              <w:tab/>
            </w:r>
            <w:r w:rsidRPr="006B6A00">
              <w:rPr>
                <w:rFonts w:ascii="Arial" w:hAnsi="Arial" w:cs="Arial"/>
                <w:noProof/>
                <w:webHidden/>
                <w:sz w:val="22"/>
                <w:szCs w:val="22"/>
              </w:rPr>
              <w:fldChar w:fldCharType="begin"/>
            </w:r>
            <w:r w:rsidRPr="006B6A00">
              <w:rPr>
                <w:rFonts w:ascii="Arial" w:hAnsi="Arial" w:cs="Arial"/>
                <w:noProof/>
                <w:webHidden/>
                <w:sz w:val="22"/>
                <w:szCs w:val="22"/>
              </w:rPr>
              <w:instrText xml:space="preserve"> PAGEREF _Toc213674542 \h </w:instrText>
            </w:r>
            <w:r w:rsidRPr="006B6A00">
              <w:rPr>
                <w:rFonts w:ascii="Arial" w:hAnsi="Arial" w:cs="Arial"/>
                <w:noProof/>
                <w:webHidden/>
                <w:sz w:val="22"/>
                <w:szCs w:val="22"/>
              </w:rPr>
            </w:r>
            <w:r w:rsidRPr="006B6A00">
              <w:rPr>
                <w:rFonts w:ascii="Arial" w:hAnsi="Arial" w:cs="Arial"/>
                <w:noProof/>
                <w:webHidden/>
                <w:sz w:val="22"/>
                <w:szCs w:val="22"/>
              </w:rPr>
              <w:fldChar w:fldCharType="separate"/>
            </w:r>
            <w:r w:rsidRPr="006B6A00">
              <w:rPr>
                <w:rFonts w:ascii="Arial" w:hAnsi="Arial" w:cs="Arial"/>
                <w:noProof/>
                <w:webHidden/>
                <w:sz w:val="22"/>
                <w:szCs w:val="22"/>
              </w:rPr>
              <w:t>3</w:t>
            </w:r>
            <w:r w:rsidRPr="006B6A00">
              <w:rPr>
                <w:rFonts w:ascii="Arial" w:hAnsi="Arial" w:cs="Arial"/>
                <w:noProof/>
                <w:webHidden/>
                <w:sz w:val="22"/>
                <w:szCs w:val="22"/>
              </w:rPr>
              <w:fldChar w:fldCharType="end"/>
            </w:r>
          </w:hyperlink>
        </w:p>
        <w:p w14:paraId="01931621" w14:textId="77777777" w:rsidR="00530E16" w:rsidRPr="006B6A00" w:rsidRDefault="004468F8">
          <w:pPr>
            <w:rPr>
              <w:rFonts w:ascii="Arial" w:hAnsi="Arial" w:cs="Arial"/>
              <w:sz w:val="22"/>
              <w:szCs w:val="22"/>
            </w:rPr>
          </w:pPr>
          <w:r w:rsidRPr="006B6A00">
            <w:rPr>
              <w:rFonts w:ascii="Arial" w:hAnsi="Arial" w:cs="Arial"/>
              <w:sz w:val="22"/>
              <w:szCs w:val="22"/>
            </w:rPr>
            <w:fldChar w:fldCharType="end"/>
          </w:r>
        </w:p>
      </w:sdtContent>
    </w:sdt>
    <w:p w14:paraId="02C49156" w14:textId="77777777" w:rsidR="00530E16" w:rsidRPr="006B6A00" w:rsidRDefault="00530E16">
      <w:pPr>
        <w:rPr>
          <w:rFonts w:ascii="Arial" w:eastAsia="Arial" w:hAnsi="Arial" w:cs="Arial"/>
          <w:sz w:val="22"/>
          <w:szCs w:val="22"/>
        </w:rPr>
      </w:pPr>
    </w:p>
    <w:p w14:paraId="4A083D33" w14:textId="77777777" w:rsidR="00530E16" w:rsidRPr="006B6A00" w:rsidRDefault="00530E16">
      <w:pPr>
        <w:rPr>
          <w:rFonts w:ascii="Arial" w:eastAsia="Arial" w:hAnsi="Arial" w:cs="Arial"/>
          <w:sz w:val="22"/>
          <w:szCs w:val="22"/>
        </w:rPr>
      </w:pPr>
    </w:p>
    <w:p w14:paraId="3920B244" w14:textId="77777777" w:rsidR="00530E16" w:rsidRPr="006B6A00" w:rsidRDefault="00530E16">
      <w:pPr>
        <w:rPr>
          <w:rFonts w:ascii="Arial" w:eastAsia="Arial" w:hAnsi="Arial" w:cs="Arial"/>
          <w:sz w:val="22"/>
          <w:szCs w:val="22"/>
        </w:rPr>
      </w:pPr>
    </w:p>
    <w:p w14:paraId="3663B90A" w14:textId="77777777" w:rsidR="00530E16" w:rsidRPr="006B6A00" w:rsidRDefault="00530E16">
      <w:pPr>
        <w:rPr>
          <w:rFonts w:ascii="Arial" w:eastAsia="Arial" w:hAnsi="Arial" w:cs="Arial"/>
          <w:sz w:val="22"/>
          <w:szCs w:val="22"/>
        </w:rPr>
      </w:pPr>
    </w:p>
    <w:p w14:paraId="2ABE8269" w14:textId="77777777" w:rsidR="00530E16" w:rsidRPr="006B6A00" w:rsidRDefault="00530E16">
      <w:pPr>
        <w:rPr>
          <w:rFonts w:ascii="Arial" w:eastAsia="Arial" w:hAnsi="Arial" w:cs="Arial"/>
          <w:sz w:val="22"/>
          <w:szCs w:val="22"/>
        </w:rPr>
      </w:pPr>
    </w:p>
    <w:p w14:paraId="699DBE73" w14:textId="77777777" w:rsidR="00530E16" w:rsidRPr="006B6A00" w:rsidRDefault="00530E16">
      <w:pPr>
        <w:rPr>
          <w:rFonts w:ascii="Arial" w:eastAsia="Arial" w:hAnsi="Arial" w:cs="Arial"/>
          <w:sz w:val="22"/>
          <w:szCs w:val="22"/>
        </w:rPr>
      </w:pPr>
    </w:p>
    <w:p w14:paraId="63A0267B" w14:textId="77777777" w:rsidR="00530E16" w:rsidRPr="006B6A00" w:rsidRDefault="00530E16">
      <w:pPr>
        <w:rPr>
          <w:rFonts w:ascii="Arial" w:eastAsia="Arial" w:hAnsi="Arial" w:cs="Arial"/>
          <w:sz w:val="22"/>
          <w:szCs w:val="22"/>
        </w:rPr>
      </w:pPr>
    </w:p>
    <w:p w14:paraId="11F11B52" w14:textId="77777777" w:rsidR="00530E16" w:rsidRPr="006B6A00" w:rsidRDefault="00530E16">
      <w:pPr>
        <w:rPr>
          <w:rFonts w:ascii="Arial" w:eastAsia="Arial" w:hAnsi="Arial" w:cs="Arial"/>
          <w:sz w:val="22"/>
          <w:szCs w:val="22"/>
        </w:rPr>
      </w:pPr>
    </w:p>
    <w:p w14:paraId="69B1DC13" w14:textId="77777777" w:rsidR="00530E16" w:rsidRPr="006B6A00" w:rsidRDefault="00530E16">
      <w:pPr>
        <w:rPr>
          <w:rFonts w:ascii="Arial" w:eastAsia="Arial" w:hAnsi="Arial" w:cs="Arial"/>
          <w:sz w:val="22"/>
          <w:szCs w:val="22"/>
        </w:rPr>
      </w:pPr>
    </w:p>
    <w:p w14:paraId="6754A316" w14:textId="77777777" w:rsidR="00530E16" w:rsidRPr="006B6A00" w:rsidRDefault="00530E16">
      <w:pPr>
        <w:rPr>
          <w:rFonts w:ascii="Arial" w:eastAsia="Arial" w:hAnsi="Arial" w:cs="Arial"/>
          <w:sz w:val="22"/>
          <w:szCs w:val="22"/>
        </w:rPr>
      </w:pPr>
    </w:p>
    <w:p w14:paraId="35016932" w14:textId="77777777" w:rsidR="00530E16" w:rsidRPr="006B6A00" w:rsidRDefault="00530E16">
      <w:pPr>
        <w:rPr>
          <w:rFonts w:ascii="Arial" w:eastAsia="Arial" w:hAnsi="Arial" w:cs="Arial"/>
          <w:sz w:val="22"/>
          <w:szCs w:val="22"/>
        </w:rPr>
      </w:pPr>
    </w:p>
    <w:p w14:paraId="122D73B7" w14:textId="77777777" w:rsidR="00530E16" w:rsidRPr="006B6A00" w:rsidRDefault="00530E16">
      <w:pPr>
        <w:rPr>
          <w:rFonts w:ascii="Arial" w:eastAsia="Arial" w:hAnsi="Arial" w:cs="Arial"/>
          <w:sz w:val="22"/>
          <w:szCs w:val="22"/>
        </w:rPr>
      </w:pPr>
    </w:p>
    <w:p w14:paraId="74BCF112" w14:textId="77777777" w:rsidR="00530E16" w:rsidRPr="006B6A00" w:rsidRDefault="00530E16">
      <w:pPr>
        <w:rPr>
          <w:rFonts w:ascii="Arial" w:eastAsia="Arial" w:hAnsi="Arial" w:cs="Arial"/>
          <w:sz w:val="22"/>
          <w:szCs w:val="22"/>
        </w:rPr>
      </w:pPr>
    </w:p>
    <w:p w14:paraId="0F792538" w14:textId="77777777" w:rsidR="00530E16" w:rsidRPr="006B6A00" w:rsidRDefault="00530E16">
      <w:pPr>
        <w:rPr>
          <w:rFonts w:ascii="Arial" w:eastAsia="Arial" w:hAnsi="Arial" w:cs="Arial"/>
          <w:sz w:val="22"/>
          <w:szCs w:val="22"/>
        </w:rPr>
      </w:pPr>
    </w:p>
    <w:p w14:paraId="35959B8D" w14:textId="77777777" w:rsidR="002A1842" w:rsidRPr="006B6A00" w:rsidRDefault="002A1842">
      <w:pPr>
        <w:rPr>
          <w:rFonts w:ascii="Arial" w:eastAsia="Arial" w:hAnsi="Arial" w:cs="Arial"/>
          <w:sz w:val="22"/>
          <w:szCs w:val="22"/>
        </w:rPr>
        <w:sectPr w:rsidR="002A1842" w:rsidRPr="006B6A00">
          <w:footerReference w:type="default" r:id="rId9"/>
          <w:pgSz w:w="11906" w:h="16838"/>
          <w:pgMar w:top="1440" w:right="1440" w:bottom="1440" w:left="1440" w:header="708" w:footer="708" w:gutter="0"/>
          <w:pgNumType w:start="0"/>
          <w:cols w:space="720"/>
          <w:titlePg/>
        </w:sectPr>
      </w:pPr>
    </w:p>
    <w:p w14:paraId="477D51A1" w14:textId="77777777" w:rsidR="00530E16" w:rsidRPr="006B6A00" w:rsidRDefault="00530E16">
      <w:pPr>
        <w:rPr>
          <w:rFonts w:ascii="Arial" w:eastAsia="Arial" w:hAnsi="Arial" w:cs="Arial"/>
          <w:sz w:val="22"/>
          <w:szCs w:val="22"/>
        </w:rPr>
      </w:pPr>
    </w:p>
    <w:p w14:paraId="2DB16C6D" w14:textId="5D5CD9EE" w:rsidR="00530E16" w:rsidRPr="006B6A00" w:rsidRDefault="004468F8" w:rsidP="00113578">
      <w:pPr>
        <w:pStyle w:val="Heading1"/>
        <w:spacing w:line="360" w:lineRule="auto"/>
        <w:rPr>
          <w:rFonts w:ascii="Arial" w:hAnsi="Arial" w:cs="Arial"/>
          <w:sz w:val="22"/>
          <w:szCs w:val="22"/>
        </w:rPr>
      </w:pPr>
      <w:bookmarkStart w:id="0" w:name="_Toc213674530"/>
      <w:r w:rsidRPr="006B6A00">
        <w:rPr>
          <w:rFonts w:ascii="Arial" w:hAnsi="Arial" w:cs="Arial"/>
          <w:sz w:val="22"/>
          <w:szCs w:val="22"/>
        </w:rPr>
        <w:lastRenderedPageBreak/>
        <w:t xml:space="preserve">Research Topic: </w:t>
      </w:r>
      <w:r w:rsidR="0094743D" w:rsidRPr="006B6A00">
        <w:rPr>
          <w:rFonts w:ascii="Arial" w:hAnsi="Arial" w:cs="Arial"/>
          <w:sz w:val="22"/>
          <w:szCs w:val="22"/>
        </w:rPr>
        <w:t>Long waiting times in the NHS</w:t>
      </w:r>
      <w:bookmarkEnd w:id="0"/>
    </w:p>
    <w:p w14:paraId="05F5AB5F" w14:textId="4E2154A7" w:rsidR="004468F8" w:rsidRPr="006B6A00" w:rsidRDefault="00BA0043" w:rsidP="00113578">
      <w:pPr>
        <w:pStyle w:val="Heading1"/>
        <w:spacing w:line="360" w:lineRule="auto"/>
        <w:rPr>
          <w:rFonts w:ascii="Arial" w:hAnsi="Arial" w:cs="Arial"/>
          <w:sz w:val="22"/>
          <w:szCs w:val="22"/>
        </w:rPr>
      </w:pPr>
      <w:bookmarkStart w:id="1" w:name="_Toc213674531"/>
      <w:r w:rsidRPr="006B6A00">
        <w:rPr>
          <w:rFonts w:ascii="Arial" w:hAnsi="Arial" w:cs="Arial"/>
          <w:sz w:val="22"/>
          <w:szCs w:val="22"/>
        </w:rPr>
        <w:t>Introduction</w:t>
      </w:r>
      <w:bookmarkEnd w:id="1"/>
    </w:p>
    <w:p w14:paraId="668A8211" w14:textId="4CAD43A1" w:rsidR="004468F8" w:rsidRPr="006B6A00" w:rsidRDefault="0094743D" w:rsidP="00113578">
      <w:pPr>
        <w:spacing w:line="360" w:lineRule="auto"/>
        <w:rPr>
          <w:rFonts w:ascii="Arial" w:hAnsi="Arial" w:cs="Arial"/>
          <w:sz w:val="22"/>
          <w:szCs w:val="22"/>
        </w:rPr>
      </w:pPr>
      <w:r w:rsidRPr="006B6A00">
        <w:rPr>
          <w:rFonts w:ascii="Arial" w:hAnsi="Arial" w:cs="Arial"/>
          <w:sz w:val="22"/>
          <w:szCs w:val="22"/>
        </w:rPr>
        <w:t>Long waiting times within the National Health Service (NHS) represent one of the most urgent and highly controversial issues in contemporary UK health and social care provision. This report examines the problem of prolonged patient hold times and its causes, effects, and the most disadvantaged segments. Report Scope: The report spans the background on the problem, reviews three existing scholarly and academic sources, outlines the research method to be used and reasons as to why the data collection approach is appropriate. The report is based on reputable academic literature which serves to support its arguments and in fact makes significant contributions to knowledge of this multi-facet problem of public health concern.</w:t>
      </w:r>
    </w:p>
    <w:p w14:paraId="6AACAA81" w14:textId="77777777" w:rsidR="00530E16" w:rsidRPr="006B6A00" w:rsidRDefault="004468F8" w:rsidP="00113578">
      <w:pPr>
        <w:pStyle w:val="Heading2"/>
        <w:spacing w:line="360" w:lineRule="auto"/>
        <w:jc w:val="both"/>
        <w:rPr>
          <w:rFonts w:ascii="Arial" w:hAnsi="Arial" w:cs="Arial"/>
          <w:sz w:val="22"/>
          <w:szCs w:val="22"/>
        </w:rPr>
      </w:pPr>
      <w:bookmarkStart w:id="2" w:name="_Toc213674532"/>
      <w:r w:rsidRPr="006B6A00">
        <w:rPr>
          <w:rFonts w:ascii="Arial" w:hAnsi="Arial" w:cs="Arial"/>
          <w:sz w:val="22"/>
          <w:szCs w:val="22"/>
        </w:rPr>
        <w:t>Problem Statement</w:t>
      </w:r>
      <w:bookmarkEnd w:id="2"/>
    </w:p>
    <w:p w14:paraId="319A0980" w14:textId="06C6F653" w:rsidR="004468F8" w:rsidRPr="006B6A00" w:rsidRDefault="00C1538B" w:rsidP="00113578">
      <w:pPr>
        <w:spacing w:line="360" w:lineRule="auto"/>
        <w:rPr>
          <w:rFonts w:ascii="Arial" w:hAnsi="Arial" w:cs="Arial"/>
          <w:sz w:val="22"/>
          <w:szCs w:val="22"/>
        </w:rPr>
      </w:pPr>
      <w:r w:rsidRPr="006B6A00">
        <w:rPr>
          <w:rFonts w:ascii="Arial" w:hAnsi="Arial" w:cs="Arial"/>
          <w:sz w:val="22"/>
          <w:szCs w:val="22"/>
        </w:rPr>
        <w:t xml:space="preserve">The issue under investigation is the </w:t>
      </w:r>
      <w:proofErr w:type="gramStart"/>
      <w:r w:rsidRPr="006B6A00">
        <w:rPr>
          <w:rFonts w:ascii="Arial" w:hAnsi="Arial" w:cs="Arial"/>
          <w:sz w:val="22"/>
          <w:szCs w:val="22"/>
        </w:rPr>
        <w:t>ever prolonged</w:t>
      </w:r>
      <w:proofErr w:type="gramEnd"/>
      <w:r w:rsidRPr="006B6A00">
        <w:rPr>
          <w:rFonts w:ascii="Arial" w:hAnsi="Arial" w:cs="Arial"/>
          <w:sz w:val="22"/>
          <w:szCs w:val="22"/>
        </w:rPr>
        <w:t xml:space="preserve"> delays that plague patients receiving service from the NHS in England. Waiting times describe the time from when a patient was referred to the health service or when the patient first contacts the service until the time when a patient receives treatment or specialized treatment. The NHS has specific waiting time targets; patients are to be treated for elective conditions within 18 weeks of being referred, emergency department needs to meet their first call within four hours (NHS England, 2023). However these targets have been systematically breached during the last decade, and the problem has worsened dramatically in the wake of the COVID-19 pandemic. NHS England reported in 2024 that as of early 2024, over 7.5 million people were on the elective care waiting list - the highest figure ever recorded. Of those, some 350,000 patients had been waiting longer than 52 weeks for therapy. It is a broader and more significant systemic failure whose impact is not only at the individual level of hindrance but rather as a great public health crisis with significant social, psychological, and economic impacts. It is a multi-layered issue which impacts different actors in the health and social care system. The patients suffer the misery of extended periods of suffering, worse conditions, increased anxiety and a lower quality of life. For instance, vulnerable persons- older people, those with chronic diseases, those with long-term illnesses, and those who belong to lower socio-economic groups- are especially hard hit, as they are found to have less economic capital to invest as alternatives (Ewbank et al., 2021). This crisis places pressure on care staff, care workers, NHS staff, and so on, causing them to work much more heavily on a much higher workload, and experience moral dispiritedness and burn out as they attempt to keep up with an overwhelming load with a less generous set of resources. Healthcare institutions are under reputational, financial and regulatory pressures to deliver to </w:t>
      </w:r>
      <w:r w:rsidRPr="006B6A00">
        <w:rPr>
          <w:rFonts w:ascii="Arial" w:hAnsi="Arial" w:cs="Arial"/>
          <w:sz w:val="22"/>
          <w:szCs w:val="22"/>
        </w:rPr>
        <w:lastRenderedPageBreak/>
        <w:t xml:space="preserve">performance targets. What's more, it affects the overall economy since unmanaged forms of health conditions are taking a toll on workforce productivity, contributing to rising chronic care costs. Long waiting times in NHS are complex with many causes. The crisis has been exacerbated by structural </w:t>
      </w:r>
      <w:proofErr w:type="spellStart"/>
      <w:r w:rsidRPr="006B6A00">
        <w:rPr>
          <w:rFonts w:ascii="Arial" w:hAnsi="Arial" w:cs="Arial"/>
          <w:sz w:val="22"/>
          <w:szCs w:val="22"/>
        </w:rPr>
        <w:t>underinvestments</w:t>
      </w:r>
      <w:proofErr w:type="spellEnd"/>
      <w:r w:rsidRPr="006B6A00">
        <w:rPr>
          <w:rFonts w:ascii="Arial" w:hAnsi="Arial" w:cs="Arial"/>
          <w:sz w:val="22"/>
          <w:szCs w:val="22"/>
        </w:rPr>
        <w:t>, a workforce gap, a need to service an ageing population, operational failures, and the legacy backlog created by the COVID-19 pandemic (The King's Fund, 2023). This interplay between these factors makes the problem timely and multifaceted; robust research is needed for effective policy and practice responses.</w:t>
      </w:r>
    </w:p>
    <w:p w14:paraId="7D6B4E76" w14:textId="77777777" w:rsidR="00530E16" w:rsidRPr="006B6A00" w:rsidRDefault="004468F8" w:rsidP="00113578">
      <w:pPr>
        <w:pStyle w:val="Heading2"/>
        <w:spacing w:line="360" w:lineRule="auto"/>
        <w:jc w:val="both"/>
        <w:rPr>
          <w:rFonts w:ascii="Arial" w:hAnsi="Arial" w:cs="Arial"/>
          <w:sz w:val="22"/>
          <w:szCs w:val="22"/>
        </w:rPr>
      </w:pPr>
      <w:bookmarkStart w:id="3" w:name="_Toc213674533"/>
      <w:r w:rsidRPr="006B6A00">
        <w:rPr>
          <w:rFonts w:ascii="Arial" w:hAnsi="Arial" w:cs="Arial"/>
          <w:sz w:val="22"/>
          <w:szCs w:val="22"/>
        </w:rPr>
        <w:t>Justification</w:t>
      </w:r>
      <w:bookmarkEnd w:id="3"/>
    </w:p>
    <w:p w14:paraId="3C45ECC8" w14:textId="77777777" w:rsidR="00C1538B" w:rsidRPr="006B6A00" w:rsidRDefault="00C1538B" w:rsidP="00113578">
      <w:pPr>
        <w:spacing w:line="360" w:lineRule="auto"/>
        <w:rPr>
          <w:rFonts w:ascii="Arial" w:hAnsi="Arial" w:cs="Arial"/>
          <w:sz w:val="22"/>
          <w:szCs w:val="22"/>
        </w:rPr>
      </w:pPr>
      <w:r w:rsidRPr="006B6A00">
        <w:rPr>
          <w:rFonts w:ascii="Arial" w:hAnsi="Arial" w:cs="Arial"/>
          <w:sz w:val="22"/>
          <w:szCs w:val="22"/>
        </w:rPr>
        <w:t>The study of NHS waiting times is not only timely, but also critically necessary. Knowing the underlying causes, patterns and effects of waiting times will be critical for health policymakers, commissioners and frontline practitioners who want to devise and develop successful interventions. Without evidence-based insight, policy responses risk being misaligned with the lived experiences of patients and staff. In addition, the scale of the issue — affecting millions of individuals and costing billions in lost productivity and escalating treatment costs — demands a systematic approach. Research in this area can determine which populations are most at risk, assess existing improvement strategies, and highlight gaps in provision that require urgent attention.</w:t>
      </w:r>
    </w:p>
    <w:p w14:paraId="2FEAAE59" w14:textId="77777777" w:rsidR="00530E16" w:rsidRPr="006B6A00" w:rsidRDefault="004468F8" w:rsidP="00113578">
      <w:pPr>
        <w:pStyle w:val="Heading2"/>
        <w:spacing w:line="360" w:lineRule="auto"/>
        <w:jc w:val="both"/>
        <w:rPr>
          <w:rFonts w:ascii="Arial" w:hAnsi="Arial" w:cs="Arial"/>
          <w:sz w:val="22"/>
          <w:szCs w:val="22"/>
        </w:rPr>
      </w:pPr>
      <w:bookmarkStart w:id="4" w:name="_Toc213674534"/>
      <w:r w:rsidRPr="006B6A00">
        <w:rPr>
          <w:rFonts w:ascii="Arial" w:hAnsi="Arial" w:cs="Arial"/>
          <w:sz w:val="22"/>
          <w:szCs w:val="22"/>
        </w:rPr>
        <w:t>Information Sources and Justification</w:t>
      </w:r>
      <w:bookmarkEnd w:id="4"/>
    </w:p>
    <w:p w14:paraId="1E77160B" w14:textId="77777777" w:rsidR="00C1538B" w:rsidRPr="006B6A00" w:rsidRDefault="00C1538B" w:rsidP="00113578">
      <w:pPr>
        <w:pStyle w:val="Heading2"/>
        <w:spacing w:before="300" w:after="160" w:line="360" w:lineRule="auto"/>
        <w:rPr>
          <w:rFonts w:ascii="Arial" w:hAnsi="Arial" w:cs="Arial"/>
          <w:sz w:val="22"/>
          <w:szCs w:val="22"/>
        </w:rPr>
      </w:pPr>
      <w:r w:rsidRPr="006B6A00">
        <w:rPr>
          <w:rFonts w:ascii="Arial" w:eastAsia="Arial" w:hAnsi="Arial" w:cs="Arial"/>
          <w:b/>
          <w:bCs/>
          <w:sz w:val="22"/>
          <w:szCs w:val="22"/>
        </w:rPr>
        <w:t>Source 1: NHS England (2024) – Consultant-led Referral to Treatment Waiting Times Data</w:t>
      </w:r>
    </w:p>
    <w:p w14:paraId="59955659" w14:textId="77777777" w:rsidR="00C1538B" w:rsidRPr="006B6A00" w:rsidRDefault="00C1538B" w:rsidP="00113578">
      <w:pPr>
        <w:spacing w:line="360" w:lineRule="auto"/>
        <w:rPr>
          <w:rFonts w:ascii="Arial" w:hAnsi="Arial" w:cs="Arial"/>
          <w:sz w:val="22"/>
          <w:szCs w:val="22"/>
        </w:rPr>
      </w:pPr>
      <w:r w:rsidRPr="006B6A00">
        <w:rPr>
          <w:rFonts w:ascii="Arial" w:hAnsi="Arial" w:cs="Arial"/>
          <w:sz w:val="22"/>
          <w:szCs w:val="22"/>
        </w:rPr>
        <w:t>NHS England offers monthly data on referral-to-treatment (RTT) waiting times, including waiting list size, the proportion of patients waiting beyond 18 or 52 weeks, and trends over time. This source is specifically relevant to my research project because it provides quantitative, government-produced, real-time information on the issue being studied. It is a solid empirical ground for assessing the magnitude of the existing challenge. Because of its authority as an official NHS publication, it was selected. Moreover, it allows for detailed analysis by region, specialty, and waiting duration. As a primary source of statistics, the research can be based on verified, nationally representative information rather than anecdotal reporting that has little to no basis.</w:t>
      </w:r>
    </w:p>
    <w:p w14:paraId="511E7091" w14:textId="77777777" w:rsidR="00C1538B" w:rsidRPr="006B6A00" w:rsidRDefault="00C1538B" w:rsidP="00113578">
      <w:pPr>
        <w:pStyle w:val="Heading2"/>
        <w:spacing w:before="300" w:after="160" w:line="360" w:lineRule="auto"/>
        <w:rPr>
          <w:rFonts w:ascii="Arial" w:hAnsi="Arial" w:cs="Arial"/>
          <w:sz w:val="22"/>
          <w:szCs w:val="22"/>
        </w:rPr>
      </w:pPr>
      <w:r w:rsidRPr="006B6A00">
        <w:rPr>
          <w:rFonts w:ascii="Arial" w:eastAsia="Arial" w:hAnsi="Arial" w:cs="Arial"/>
          <w:b/>
          <w:bCs/>
          <w:sz w:val="22"/>
          <w:szCs w:val="22"/>
        </w:rPr>
        <w:t>Source 2: The King's Fund (2023) – NHS Performance: July 2023 Quarterly Monitoring Report</w:t>
      </w:r>
    </w:p>
    <w:p w14:paraId="17D15B85" w14:textId="77777777" w:rsidR="00C1538B" w:rsidRPr="006B6A00" w:rsidRDefault="00C1538B" w:rsidP="00113578">
      <w:pPr>
        <w:spacing w:line="360" w:lineRule="auto"/>
        <w:rPr>
          <w:rFonts w:ascii="Arial" w:hAnsi="Arial" w:cs="Arial"/>
          <w:sz w:val="22"/>
          <w:szCs w:val="22"/>
        </w:rPr>
      </w:pPr>
      <w:r w:rsidRPr="006B6A00">
        <w:rPr>
          <w:rFonts w:ascii="Arial" w:hAnsi="Arial" w:cs="Arial"/>
          <w:sz w:val="22"/>
          <w:szCs w:val="22"/>
        </w:rPr>
        <w:t xml:space="preserve">The King’s Fund is an independent health policy think-tank. Its quarterly monitoring reports synthesise NHS performance data and provide expert commentary on trends, challenges, </w:t>
      </w:r>
      <w:r w:rsidRPr="006B6A00">
        <w:rPr>
          <w:rFonts w:ascii="Arial" w:hAnsi="Arial" w:cs="Arial"/>
          <w:sz w:val="22"/>
          <w:szCs w:val="22"/>
        </w:rPr>
        <w:lastRenderedPageBreak/>
        <w:t>and policy implications. This source is key as it situates waiting time data within wider discussion of NHS resourcing, workforce capacity, and structural reform. The report describes the intersection of waiting time pressures with staff shortages, social care delays, and financial constraints — providing a nuanced, policy-focused take. It was chosen because of the organisation’s established reputation for rigorous, independent analysis and accessibility to practitioners, policymakers, and researchers. The source helps bridge the gap between raw data and policy interpretation, making it invaluable for a research report that aims to go beyond description to explanation.</w:t>
      </w:r>
    </w:p>
    <w:p w14:paraId="55B0C5EC" w14:textId="77777777" w:rsidR="00C1538B" w:rsidRPr="006B6A00" w:rsidRDefault="00C1538B" w:rsidP="00113578">
      <w:pPr>
        <w:pStyle w:val="Heading2"/>
        <w:spacing w:before="300" w:after="160" w:line="360" w:lineRule="auto"/>
        <w:rPr>
          <w:rFonts w:ascii="Arial" w:hAnsi="Arial" w:cs="Arial"/>
          <w:sz w:val="22"/>
          <w:szCs w:val="22"/>
        </w:rPr>
      </w:pPr>
      <w:r w:rsidRPr="006B6A00">
        <w:rPr>
          <w:rFonts w:ascii="Arial" w:eastAsia="Arial" w:hAnsi="Arial" w:cs="Arial"/>
          <w:b/>
          <w:bCs/>
          <w:sz w:val="22"/>
          <w:szCs w:val="22"/>
        </w:rPr>
        <w:t>Source 3: Ewbank et al. (2021) – NHS Hospital Bed Numbers: Past, Present, Future</w:t>
      </w:r>
    </w:p>
    <w:p w14:paraId="79A5C8F2" w14:textId="77777777" w:rsidR="00C1538B" w:rsidRPr="006B6A00" w:rsidRDefault="00C1538B" w:rsidP="00113578">
      <w:pPr>
        <w:spacing w:line="360" w:lineRule="auto"/>
        <w:rPr>
          <w:rFonts w:ascii="Arial" w:hAnsi="Arial" w:cs="Arial"/>
          <w:sz w:val="22"/>
          <w:szCs w:val="22"/>
        </w:rPr>
      </w:pPr>
      <w:r w:rsidRPr="006B6A00">
        <w:rPr>
          <w:rFonts w:ascii="Arial" w:hAnsi="Arial" w:cs="Arial"/>
          <w:sz w:val="22"/>
          <w:szCs w:val="22"/>
        </w:rPr>
        <w:t xml:space="preserve">Its impact on patient flow and waiting times is long-term. Ewbank et </w:t>
      </w:r>
      <w:proofErr w:type="spellStart"/>
      <w:r w:rsidRPr="006B6A00">
        <w:rPr>
          <w:rFonts w:ascii="Arial" w:hAnsi="Arial" w:cs="Arial"/>
          <w:sz w:val="22"/>
          <w:szCs w:val="22"/>
        </w:rPr>
        <w:t>al's</w:t>
      </w:r>
      <w:proofErr w:type="spellEnd"/>
      <w:r w:rsidRPr="006B6A00">
        <w:rPr>
          <w:rFonts w:ascii="Arial" w:hAnsi="Arial" w:cs="Arial"/>
          <w:sz w:val="22"/>
          <w:szCs w:val="22"/>
        </w:rPr>
        <w:t xml:space="preserve"> peer-reviewed report was published by The King's Fund. It provides historical context. It gives an account of how structural capacity reductions have contributed today to increasing pressures, including extended waiting times and delayed discharges. It was chosen because it provides a longitudinal, evidence-based study supported by NHS data that gives academic legitimacy to the study. The emphasis on organisational and structural factors, alongside the statistical and policy considerations offered by the remaining two sources, provides a comprehensive evidence base.</w:t>
      </w:r>
    </w:p>
    <w:p w14:paraId="096CCECD" w14:textId="77777777" w:rsidR="00172AD1" w:rsidRPr="006B6A00" w:rsidRDefault="00172AD1" w:rsidP="00113578">
      <w:pPr>
        <w:spacing w:line="360" w:lineRule="auto"/>
        <w:rPr>
          <w:rFonts w:ascii="Arial" w:hAnsi="Arial" w:cs="Arial"/>
          <w:sz w:val="22"/>
          <w:szCs w:val="22"/>
        </w:rPr>
      </w:pPr>
    </w:p>
    <w:p w14:paraId="2E464360" w14:textId="77777777" w:rsidR="004468F8" w:rsidRPr="006B6A00" w:rsidRDefault="004468F8" w:rsidP="00113578">
      <w:pPr>
        <w:pStyle w:val="Heading1"/>
        <w:spacing w:line="360" w:lineRule="auto"/>
        <w:jc w:val="both"/>
        <w:rPr>
          <w:rFonts w:ascii="Arial" w:hAnsi="Arial" w:cs="Arial"/>
          <w:sz w:val="22"/>
          <w:szCs w:val="22"/>
        </w:rPr>
      </w:pPr>
      <w:bookmarkStart w:id="5" w:name="_Toc213674535"/>
      <w:r w:rsidRPr="006B6A00">
        <w:rPr>
          <w:rFonts w:ascii="Arial" w:hAnsi="Arial" w:cs="Arial"/>
          <w:sz w:val="22"/>
          <w:szCs w:val="22"/>
        </w:rPr>
        <w:t xml:space="preserve">Task 2: </w:t>
      </w:r>
      <w:r w:rsidR="00172AD1" w:rsidRPr="006B6A00">
        <w:rPr>
          <w:rFonts w:ascii="Arial" w:eastAsia="Aptos" w:hAnsi="Arial" w:cs="Arial"/>
          <w:bCs/>
          <w:kern w:val="2"/>
          <w:sz w:val="22"/>
          <w:szCs w:val="22"/>
          <w:lang w:eastAsia="en-US"/>
          <w14:ligatures w14:val="standardContextual"/>
        </w:rPr>
        <w:t>Research M</w:t>
      </w:r>
      <w:r w:rsidRPr="006B6A00">
        <w:rPr>
          <w:rFonts w:ascii="Arial" w:eastAsia="Aptos" w:hAnsi="Arial" w:cs="Arial"/>
          <w:bCs/>
          <w:kern w:val="2"/>
          <w:sz w:val="22"/>
          <w:szCs w:val="22"/>
          <w:lang w:eastAsia="en-US"/>
          <w14:ligatures w14:val="standardContextual"/>
        </w:rPr>
        <w:t>ethodologies</w:t>
      </w:r>
      <w:bookmarkEnd w:id="5"/>
    </w:p>
    <w:p w14:paraId="5893767E" w14:textId="77777777" w:rsidR="004468F8" w:rsidRPr="006B6A00" w:rsidRDefault="004468F8" w:rsidP="00113578">
      <w:pPr>
        <w:pStyle w:val="Heading2"/>
        <w:spacing w:line="360" w:lineRule="auto"/>
        <w:jc w:val="both"/>
        <w:rPr>
          <w:rFonts w:ascii="Arial" w:eastAsia="Aptos" w:hAnsi="Arial" w:cs="Arial"/>
          <w:kern w:val="2"/>
          <w:sz w:val="22"/>
          <w:szCs w:val="22"/>
          <w:lang w:eastAsia="en-US"/>
          <w14:ligatures w14:val="standardContextual"/>
        </w:rPr>
      </w:pPr>
      <w:bookmarkStart w:id="6" w:name="_Toc213674536"/>
      <w:r w:rsidRPr="006B6A00">
        <w:rPr>
          <w:rFonts w:ascii="Arial" w:eastAsia="Aptos" w:hAnsi="Arial" w:cs="Arial"/>
          <w:kern w:val="2"/>
          <w:sz w:val="22"/>
          <w:szCs w:val="22"/>
          <w:lang w:eastAsia="en-US"/>
          <w14:ligatures w14:val="standardContextual"/>
        </w:rPr>
        <w:t>Give a brief overview of quantitative and qualitative research.</w:t>
      </w:r>
      <w:bookmarkEnd w:id="6"/>
    </w:p>
    <w:p w14:paraId="500E2BE9" w14:textId="50B072FF" w:rsidR="004468F8" w:rsidRPr="006B6A00" w:rsidRDefault="00C1538B" w:rsidP="00113578">
      <w:pPr>
        <w:spacing w:line="360" w:lineRule="auto"/>
        <w:rPr>
          <w:rFonts w:ascii="Arial" w:hAnsi="Arial" w:cs="Arial"/>
          <w:sz w:val="22"/>
          <w:szCs w:val="22"/>
        </w:rPr>
      </w:pPr>
      <w:r w:rsidRPr="006B6A00">
        <w:rPr>
          <w:rFonts w:ascii="Arial" w:hAnsi="Arial" w:cs="Arial"/>
          <w:sz w:val="22"/>
          <w:szCs w:val="22"/>
        </w:rPr>
        <w:t xml:space="preserve">The subject of quantitative research is collecting, determining, and </w:t>
      </w:r>
      <w:proofErr w:type="spellStart"/>
      <w:r w:rsidRPr="006B6A00">
        <w:rPr>
          <w:rFonts w:ascii="Arial" w:hAnsi="Arial" w:cs="Arial"/>
          <w:sz w:val="22"/>
          <w:szCs w:val="22"/>
        </w:rPr>
        <w:t>analyzing</w:t>
      </w:r>
      <w:proofErr w:type="spellEnd"/>
      <w:r w:rsidRPr="006B6A00">
        <w:rPr>
          <w:rFonts w:ascii="Arial" w:hAnsi="Arial" w:cs="Arial"/>
          <w:sz w:val="22"/>
          <w:szCs w:val="22"/>
        </w:rPr>
        <w:t xml:space="preserve"> numerical values of numerical variables that the researcher can use to quantify characteristics and examine </w:t>
      </w:r>
      <w:proofErr w:type="spellStart"/>
      <w:r w:rsidRPr="006B6A00">
        <w:rPr>
          <w:rFonts w:ascii="Arial" w:hAnsi="Arial" w:cs="Arial"/>
          <w:sz w:val="22"/>
          <w:szCs w:val="22"/>
        </w:rPr>
        <w:t>behavior</w:t>
      </w:r>
      <w:proofErr w:type="spellEnd"/>
      <w:r w:rsidRPr="006B6A00">
        <w:rPr>
          <w:rFonts w:ascii="Arial" w:hAnsi="Arial" w:cs="Arial"/>
          <w:sz w:val="22"/>
          <w:szCs w:val="22"/>
        </w:rPr>
        <w:t xml:space="preserve"> patterns and test hypotheses. It has qualities of objectivity, replicability and statistical methods. Quantitative methods are appropriate for the purpose of studies interested in scaling up, downscaling or distributing a phenomenon —, for instance, the number of patients waiting beyond a target threshold (Bryman, 2016). Conversely, qualitative research engages the exploration of meaning, experience, and context through non-numeric methods, including interviews, focus groups, and observations. It is interpretive, exploratory, and exploratory of the way people understand their experiences and, therefore, valuable for understanding the nuanced and human dimensions of large social problems. A mixed-methods approach utilizes both paradigms to explore depth by examining depth and size (quantitative data on the breadth of the problem and qualitative data, on depth), providing a more holistic approach to the research topic (Creswell &amp; Creswell, 2018).</w:t>
      </w:r>
    </w:p>
    <w:p w14:paraId="4AB768E1" w14:textId="77777777" w:rsidR="004468F8" w:rsidRPr="006B6A00" w:rsidRDefault="004468F8" w:rsidP="00113578">
      <w:pPr>
        <w:pStyle w:val="Heading2"/>
        <w:spacing w:line="360" w:lineRule="auto"/>
        <w:rPr>
          <w:rFonts w:ascii="Arial" w:eastAsia="Aptos" w:hAnsi="Arial" w:cs="Arial"/>
          <w:b/>
          <w:bCs/>
          <w:sz w:val="22"/>
          <w:szCs w:val="22"/>
          <w:lang w:eastAsia="en-US"/>
        </w:rPr>
      </w:pPr>
      <w:bookmarkStart w:id="7" w:name="_Toc213674537"/>
      <w:r w:rsidRPr="006B6A00">
        <w:rPr>
          <w:rFonts w:ascii="Arial" w:eastAsia="Aptos" w:hAnsi="Arial" w:cs="Arial"/>
          <w:sz w:val="22"/>
          <w:szCs w:val="22"/>
          <w:lang w:eastAsia="en-US"/>
        </w:rPr>
        <w:lastRenderedPageBreak/>
        <w:t>What type of research methodology will you use for your research and why?</w:t>
      </w:r>
      <w:bookmarkEnd w:id="7"/>
    </w:p>
    <w:p w14:paraId="3F68D8DA" w14:textId="686DB474" w:rsidR="00C1538B" w:rsidRPr="006B6A00" w:rsidRDefault="00C1538B" w:rsidP="00113578">
      <w:pPr>
        <w:spacing w:line="360" w:lineRule="auto"/>
        <w:rPr>
          <w:rFonts w:ascii="Arial" w:hAnsi="Arial" w:cs="Arial"/>
          <w:sz w:val="22"/>
          <w:szCs w:val="22"/>
        </w:rPr>
      </w:pPr>
      <w:r w:rsidRPr="006B6A00">
        <w:rPr>
          <w:rFonts w:ascii="Arial" w:hAnsi="Arial" w:cs="Arial"/>
          <w:sz w:val="22"/>
          <w:szCs w:val="22"/>
        </w:rPr>
        <w:t>The research for this study will be conducted using a mixed-methods approach. NHS waiting times have both measurable, quantitative dimensions (the number of patients waiting, average waiting durations, and changes over time) and deeply personal, qualitative dimensions (the psychological impact of waiting on patients and the professional experiences of NHS staff). A purely quantitative approach would fail to capture the lived experiences of those affected, while a purely qualitative approach would lack the statistical robustness needed to assess the scale of the problem. The study can gain an integrated insight that is both empirically grounded and experientially rich by integrating both, and thus ensure the findings are relevant and actionable to healthcare policymakers and practitioners (Mertens, 2014).</w:t>
      </w:r>
    </w:p>
    <w:p w14:paraId="4FB81469" w14:textId="686DB474" w:rsidR="00530E16" w:rsidRPr="006B6A00" w:rsidRDefault="004468F8" w:rsidP="00113578">
      <w:pPr>
        <w:pStyle w:val="Heading1"/>
        <w:spacing w:line="360" w:lineRule="auto"/>
        <w:jc w:val="both"/>
        <w:rPr>
          <w:rFonts w:ascii="Arial" w:hAnsi="Arial" w:cs="Arial"/>
          <w:sz w:val="22"/>
          <w:szCs w:val="22"/>
        </w:rPr>
      </w:pPr>
      <w:bookmarkStart w:id="8" w:name="_Toc213674538"/>
      <w:r w:rsidRPr="006B6A00">
        <w:rPr>
          <w:rFonts w:ascii="Arial" w:hAnsi="Arial" w:cs="Arial"/>
          <w:sz w:val="22"/>
          <w:szCs w:val="22"/>
        </w:rPr>
        <w:t>Task 3: Data Collection</w:t>
      </w:r>
      <w:bookmarkEnd w:id="8"/>
      <w:r w:rsidRPr="006B6A00">
        <w:rPr>
          <w:rFonts w:ascii="Arial" w:hAnsi="Arial" w:cs="Arial"/>
          <w:sz w:val="22"/>
          <w:szCs w:val="22"/>
        </w:rPr>
        <w:t xml:space="preserve"> </w:t>
      </w:r>
    </w:p>
    <w:p w14:paraId="63F3D9C2" w14:textId="77777777" w:rsidR="004468F8" w:rsidRPr="006B6A00" w:rsidRDefault="00BA0043" w:rsidP="00113578">
      <w:pPr>
        <w:pStyle w:val="Heading2"/>
        <w:spacing w:line="360" w:lineRule="auto"/>
        <w:rPr>
          <w:rFonts w:ascii="Arial" w:eastAsia="Aptos" w:hAnsi="Arial" w:cs="Arial"/>
          <w:sz w:val="22"/>
          <w:szCs w:val="22"/>
          <w:lang w:eastAsia="en-US"/>
        </w:rPr>
      </w:pPr>
      <w:bookmarkStart w:id="9" w:name="_Toc213674539"/>
      <w:r w:rsidRPr="006B6A00">
        <w:rPr>
          <w:rFonts w:ascii="Arial" w:eastAsia="Aptos" w:hAnsi="Arial" w:cs="Arial"/>
          <w:sz w:val="22"/>
          <w:szCs w:val="22"/>
          <w:lang w:eastAsia="en-US"/>
        </w:rPr>
        <w:t>Overview of primary and secondary data collection</w:t>
      </w:r>
      <w:bookmarkEnd w:id="9"/>
    </w:p>
    <w:p w14:paraId="20BB2354" w14:textId="6CFF3031" w:rsidR="004468F8" w:rsidRPr="006B6A00" w:rsidRDefault="00C1538B" w:rsidP="00113578">
      <w:pPr>
        <w:spacing w:line="360" w:lineRule="auto"/>
        <w:rPr>
          <w:rFonts w:ascii="Arial" w:hAnsi="Arial" w:cs="Arial"/>
          <w:sz w:val="22"/>
          <w:szCs w:val="22"/>
        </w:rPr>
      </w:pPr>
      <w:r w:rsidRPr="006B6A00">
        <w:rPr>
          <w:rFonts w:ascii="Arial" w:hAnsi="Arial" w:cs="Arial"/>
          <w:sz w:val="22"/>
          <w:szCs w:val="22"/>
        </w:rPr>
        <w:t xml:space="preserve">Primary data collection is the researcher acquiring original data directly from participants or sources and is essential </w:t>
      </w:r>
      <w:proofErr w:type="gramStart"/>
      <w:r w:rsidRPr="006B6A00">
        <w:rPr>
          <w:rFonts w:ascii="Arial" w:hAnsi="Arial" w:cs="Arial"/>
          <w:sz w:val="22"/>
          <w:szCs w:val="22"/>
        </w:rPr>
        <w:t>in order to</w:t>
      </w:r>
      <w:proofErr w:type="gramEnd"/>
      <w:r w:rsidRPr="006B6A00">
        <w:rPr>
          <w:rFonts w:ascii="Arial" w:hAnsi="Arial" w:cs="Arial"/>
          <w:sz w:val="22"/>
          <w:szCs w:val="22"/>
        </w:rPr>
        <w:t xml:space="preserve"> provide information for studies that are specific to a single research objective or a specific topic. Methods can include interviews, surveys, observations, and focus groups. Primary data has the added benefit of being closely related to the research question and is personalized to the </w:t>
      </w:r>
      <w:proofErr w:type="gramStart"/>
      <w:r w:rsidRPr="006B6A00">
        <w:rPr>
          <w:rFonts w:ascii="Arial" w:hAnsi="Arial" w:cs="Arial"/>
          <w:sz w:val="22"/>
          <w:szCs w:val="22"/>
        </w:rPr>
        <w:t>researcher, but</w:t>
      </w:r>
      <w:proofErr w:type="gramEnd"/>
      <w:r w:rsidRPr="006B6A00">
        <w:rPr>
          <w:rFonts w:ascii="Arial" w:hAnsi="Arial" w:cs="Arial"/>
          <w:sz w:val="22"/>
          <w:szCs w:val="22"/>
        </w:rPr>
        <w:t xml:space="preserve"> may be resource-intensive and time-consuming and raises questions of ethical practice (Bowling, 2014). On the other hand, secondary data collection is using existing data collected from other sources (government statistics, published research, organisational reports, clinical databases). It can also be less challenging to gather secondary data, as secondary data has less to lose between the researcher and the needs (which may limit the currency or scope of the research) and is readily available and cost-effective.</w:t>
      </w:r>
    </w:p>
    <w:p w14:paraId="4606CC4F" w14:textId="14E8A683" w:rsidR="004468F8" w:rsidRPr="006B6A00" w:rsidRDefault="004468F8" w:rsidP="00113578">
      <w:pPr>
        <w:pStyle w:val="Heading2"/>
        <w:spacing w:line="360" w:lineRule="auto"/>
        <w:rPr>
          <w:rFonts w:ascii="Arial" w:eastAsia="Aptos" w:hAnsi="Arial" w:cs="Arial"/>
          <w:sz w:val="22"/>
          <w:szCs w:val="22"/>
          <w:lang w:eastAsia="en-US"/>
        </w:rPr>
      </w:pPr>
      <w:bookmarkStart w:id="10" w:name="_Toc213674540"/>
      <w:r w:rsidRPr="006B6A00">
        <w:rPr>
          <w:rFonts w:ascii="Arial" w:eastAsia="Aptos" w:hAnsi="Arial" w:cs="Arial"/>
          <w:sz w:val="22"/>
          <w:szCs w:val="22"/>
          <w:lang w:eastAsia="en-US"/>
        </w:rPr>
        <w:t>What form of data will be used to address your research problem, and why?</w:t>
      </w:r>
      <w:bookmarkEnd w:id="10"/>
    </w:p>
    <w:p w14:paraId="50DDFF4C" w14:textId="6F2854D5" w:rsidR="004468F8" w:rsidRPr="006B6A00" w:rsidRDefault="00C1538B" w:rsidP="00113578">
      <w:pPr>
        <w:spacing w:line="360" w:lineRule="auto"/>
        <w:rPr>
          <w:rFonts w:ascii="Arial" w:hAnsi="Arial" w:cs="Arial"/>
          <w:sz w:val="22"/>
          <w:szCs w:val="22"/>
        </w:rPr>
      </w:pPr>
      <w:r w:rsidRPr="006B6A00">
        <w:rPr>
          <w:rFonts w:ascii="Arial" w:hAnsi="Arial" w:cs="Arial"/>
          <w:sz w:val="22"/>
          <w:szCs w:val="22"/>
        </w:rPr>
        <w:t xml:space="preserve">Primarily, this research will include secondary data collection. Given that existing NHS datasets are vast and complex – from monthly RTT statistics published by NHS England (2024) to performance analyses from organisations such as The King's Fund (2023) – there is ample evidence to make quantitative analysis. The use of secondary sources in the study will enable the investigation to study national trends in relation to time without the logistical and ethical difficulties of primary data collection in clinical settings. To accompany this, a focused search of qualitative secondary sources — in this case published patient experience reports and staff survey results from NHS Staff Survey data — will shed light on the experiential aspects of waiting times. This multilayered secondary research approach follows </w:t>
      </w:r>
      <w:r w:rsidRPr="006B6A00">
        <w:rPr>
          <w:rFonts w:ascii="Arial" w:hAnsi="Arial" w:cs="Arial"/>
          <w:sz w:val="22"/>
          <w:szCs w:val="22"/>
        </w:rPr>
        <w:lastRenderedPageBreak/>
        <w:t xml:space="preserve">the mixed-methods methodology outlined in Task 2 and </w:t>
      </w:r>
      <w:proofErr w:type="gramStart"/>
      <w:r w:rsidRPr="006B6A00">
        <w:rPr>
          <w:rFonts w:ascii="Arial" w:hAnsi="Arial" w:cs="Arial"/>
          <w:sz w:val="22"/>
          <w:szCs w:val="22"/>
        </w:rPr>
        <w:t>is considered to be</w:t>
      </w:r>
      <w:proofErr w:type="gramEnd"/>
      <w:r w:rsidRPr="006B6A00">
        <w:rPr>
          <w:rFonts w:ascii="Arial" w:hAnsi="Arial" w:cs="Arial"/>
          <w:sz w:val="22"/>
          <w:szCs w:val="22"/>
        </w:rPr>
        <w:t xml:space="preserve"> both a well-rounded and morally rigorous piece of work (Bryman, 2016).</w:t>
      </w:r>
    </w:p>
    <w:p w14:paraId="6F97DC2D" w14:textId="77777777" w:rsidR="00530E16" w:rsidRPr="006B6A00" w:rsidRDefault="004468F8" w:rsidP="00113578">
      <w:pPr>
        <w:pStyle w:val="Heading1"/>
        <w:spacing w:line="360" w:lineRule="auto"/>
        <w:jc w:val="both"/>
        <w:rPr>
          <w:rFonts w:ascii="Arial" w:hAnsi="Arial" w:cs="Arial"/>
          <w:sz w:val="22"/>
          <w:szCs w:val="22"/>
        </w:rPr>
      </w:pPr>
      <w:bookmarkStart w:id="11" w:name="_Toc213674541"/>
      <w:r w:rsidRPr="006B6A00">
        <w:rPr>
          <w:rFonts w:ascii="Arial" w:hAnsi="Arial" w:cs="Arial"/>
          <w:sz w:val="22"/>
          <w:szCs w:val="22"/>
        </w:rPr>
        <w:t>Conclusion</w:t>
      </w:r>
      <w:bookmarkEnd w:id="11"/>
    </w:p>
    <w:p w14:paraId="3BE81A79" w14:textId="1DDFD545" w:rsidR="004468F8" w:rsidRPr="006B6A00" w:rsidRDefault="00C1538B" w:rsidP="00113578">
      <w:pPr>
        <w:spacing w:line="360" w:lineRule="auto"/>
        <w:rPr>
          <w:rFonts w:ascii="Arial" w:hAnsi="Arial" w:cs="Arial"/>
          <w:sz w:val="22"/>
          <w:szCs w:val="22"/>
        </w:rPr>
      </w:pPr>
      <w:r w:rsidRPr="006B6A00">
        <w:rPr>
          <w:rFonts w:ascii="Arial" w:hAnsi="Arial" w:cs="Arial"/>
          <w:sz w:val="22"/>
          <w:szCs w:val="22"/>
        </w:rPr>
        <w:t>This report has explored long NHS waiting times as a pressing issue in the UK health and social care sector. It has shown how widespread the problem is, impacting millions of patients and putting a considerable strain on NHS staff and organisations. This paper utilises three strong sources that have been extracted and grounded in official NHS statistics, independent policy analysis, and academic literature published in peer-reviewed journals. I have chosen a mixed-methods research design that allows for a mix of the quantitative scale and qualitative human impact of the issue, using secondary data collection as the primary data strategy, given the rich existing evidence base. These methodological choices will, taken together, facilitate a robust, extensive, and ethically sound investigation, a study that may play a critical role in informing the development of policy and practical evidence-led work about reducing waiting times and improving patient outcomes nationwide in the NHS.</w:t>
      </w:r>
    </w:p>
    <w:p w14:paraId="524C7A29" w14:textId="77777777" w:rsidR="00530E16" w:rsidRPr="006B6A00" w:rsidRDefault="004468F8" w:rsidP="00113578">
      <w:pPr>
        <w:pStyle w:val="Heading1"/>
        <w:spacing w:line="360" w:lineRule="auto"/>
        <w:rPr>
          <w:rFonts w:ascii="Arial" w:hAnsi="Arial" w:cs="Arial"/>
          <w:sz w:val="22"/>
          <w:szCs w:val="22"/>
        </w:rPr>
      </w:pPr>
      <w:bookmarkStart w:id="12" w:name="_Toc213674542"/>
      <w:r w:rsidRPr="006B6A00">
        <w:rPr>
          <w:rFonts w:ascii="Arial" w:hAnsi="Arial" w:cs="Arial"/>
          <w:sz w:val="22"/>
          <w:szCs w:val="22"/>
        </w:rPr>
        <w:t>References</w:t>
      </w:r>
      <w:bookmarkEnd w:id="12"/>
    </w:p>
    <w:p w14:paraId="34DE7A09"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Bowling, A. (2014) </w:t>
      </w:r>
      <w:r w:rsidRPr="006B6A00">
        <w:rPr>
          <w:rFonts w:ascii="Arial" w:eastAsia="Arial" w:hAnsi="Arial" w:cs="Arial"/>
          <w:i/>
          <w:iCs/>
          <w:sz w:val="22"/>
          <w:szCs w:val="22"/>
        </w:rPr>
        <w:t>Research Methods in Health: Investigating Health and Health Services.</w:t>
      </w:r>
      <w:r w:rsidRPr="006B6A00">
        <w:rPr>
          <w:rFonts w:ascii="Arial" w:eastAsia="Arial" w:hAnsi="Arial" w:cs="Arial"/>
          <w:sz w:val="22"/>
          <w:szCs w:val="22"/>
        </w:rPr>
        <w:t xml:space="preserve"> 4th </w:t>
      </w:r>
      <w:proofErr w:type="spellStart"/>
      <w:r w:rsidRPr="006B6A00">
        <w:rPr>
          <w:rFonts w:ascii="Arial" w:eastAsia="Arial" w:hAnsi="Arial" w:cs="Arial"/>
          <w:sz w:val="22"/>
          <w:szCs w:val="22"/>
        </w:rPr>
        <w:t>edn</w:t>
      </w:r>
      <w:proofErr w:type="spellEnd"/>
      <w:r w:rsidRPr="006B6A00">
        <w:rPr>
          <w:rFonts w:ascii="Arial" w:eastAsia="Arial" w:hAnsi="Arial" w:cs="Arial"/>
          <w:sz w:val="22"/>
          <w:szCs w:val="22"/>
        </w:rPr>
        <w:t>. Maidenhead: Open University Press.</w:t>
      </w:r>
    </w:p>
    <w:p w14:paraId="55FC6843"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Bryman, A. (2016) </w:t>
      </w:r>
      <w:r w:rsidRPr="006B6A00">
        <w:rPr>
          <w:rFonts w:ascii="Arial" w:eastAsia="Arial" w:hAnsi="Arial" w:cs="Arial"/>
          <w:i/>
          <w:iCs/>
          <w:sz w:val="22"/>
          <w:szCs w:val="22"/>
        </w:rPr>
        <w:t>Social Research Methods.</w:t>
      </w:r>
      <w:r w:rsidRPr="006B6A00">
        <w:rPr>
          <w:rFonts w:ascii="Arial" w:eastAsia="Arial" w:hAnsi="Arial" w:cs="Arial"/>
          <w:sz w:val="22"/>
          <w:szCs w:val="22"/>
        </w:rPr>
        <w:t xml:space="preserve"> 5th </w:t>
      </w:r>
      <w:proofErr w:type="spellStart"/>
      <w:r w:rsidRPr="006B6A00">
        <w:rPr>
          <w:rFonts w:ascii="Arial" w:eastAsia="Arial" w:hAnsi="Arial" w:cs="Arial"/>
          <w:sz w:val="22"/>
          <w:szCs w:val="22"/>
        </w:rPr>
        <w:t>edn</w:t>
      </w:r>
      <w:proofErr w:type="spellEnd"/>
      <w:r w:rsidRPr="006B6A00">
        <w:rPr>
          <w:rFonts w:ascii="Arial" w:eastAsia="Arial" w:hAnsi="Arial" w:cs="Arial"/>
          <w:sz w:val="22"/>
          <w:szCs w:val="22"/>
        </w:rPr>
        <w:t>. Oxford: Oxford University Press.</w:t>
      </w:r>
    </w:p>
    <w:p w14:paraId="4F38A6A2"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Creswell, J.W. and Creswell, J.D. (2018) </w:t>
      </w:r>
      <w:r w:rsidRPr="006B6A00">
        <w:rPr>
          <w:rFonts w:ascii="Arial" w:eastAsia="Arial" w:hAnsi="Arial" w:cs="Arial"/>
          <w:i/>
          <w:iCs/>
          <w:sz w:val="22"/>
          <w:szCs w:val="22"/>
        </w:rPr>
        <w:t>Research Design: Qualitative, Quantitative, and Mixed Methods Approaches.</w:t>
      </w:r>
      <w:r w:rsidRPr="006B6A00">
        <w:rPr>
          <w:rFonts w:ascii="Arial" w:eastAsia="Arial" w:hAnsi="Arial" w:cs="Arial"/>
          <w:sz w:val="22"/>
          <w:szCs w:val="22"/>
        </w:rPr>
        <w:t xml:space="preserve"> 5th </w:t>
      </w:r>
      <w:proofErr w:type="spellStart"/>
      <w:r w:rsidRPr="006B6A00">
        <w:rPr>
          <w:rFonts w:ascii="Arial" w:eastAsia="Arial" w:hAnsi="Arial" w:cs="Arial"/>
          <w:sz w:val="22"/>
          <w:szCs w:val="22"/>
        </w:rPr>
        <w:t>edn</w:t>
      </w:r>
      <w:proofErr w:type="spellEnd"/>
      <w:r w:rsidRPr="006B6A00">
        <w:rPr>
          <w:rFonts w:ascii="Arial" w:eastAsia="Arial" w:hAnsi="Arial" w:cs="Arial"/>
          <w:sz w:val="22"/>
          <w:szCs w:val="22"/>
        </w:rPr>
        <w:t>. London: SAGE Publications.</w:t>
      </w:r>
    </w:p>
    <w:p w14:paraId="4B5D7BF4"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Ewbank, L., Thompson, J., McKenna, H. and </w:t>
      </w:r>
      <w:proofErr w:type="spellStart"/>
      <w:r w:rsidRPr="006B6A00">
        <w:rPr>
          <w:rFonts w:ascii="Arial" w:eastAsia="Arial" w:hAnsi="Arial" w:cs="Arial"/>
          <w:sz w:val="22"/>
          <w:szCs w:val="22"/>
        </w:rPr>
        <w:t>Anandaciva</w:t>
      </w:r>
      <w:proofErr w:type="spellEnd"/>
      <w:r w:rsidRPr="006B6A00">
        <w:rPr>
          <w:rFonts w:ascii="Arial" w:eastAsia="Arial" w:hAnsi="Arial" w:cs="Arial"/>
          <w:sz w:val="22"/>
          <w:szCs w:val="22"/>
        </w:rPr>
        <w:t xml:space="preserve">, S. (2021) </w:t>
      </w:r>
      <w:r w:rsidRPr="006B6A00">
        <w:rPr>
          <w:rFonts w:ascii="Arial" w:eastAsia="Arial" w:hAnsi="Arial" w:cs="Arial"/>
          <w:i/>
          <w:iCs/>
          <w:sz w:val="22"/>
          <w:szCs w:val="22"/>
        </w:rPr>
        <w:t>NHS Hospital Bed Numbers: Past, Present, Future.</w:t>
      </w:r>
      <w:r w:rsidRPr="006B6A00">
        <w:rPr>
          <w:rFonts w:ascii="Arial" w:eastAsia="Arial" w:hAnsi="Arial" w:cs="Arial"/>
          <w:sz w:val="22"/>
          <w:szCs w:val="22"/>
        </w:rPr>
        <w:t xml:space="preserve"> London: The King's Fund. Available at: https://www.kingsfund.org.uk/publications/nhs-hospital-bed-numbers (Accessed: 10 April 2025).</w:t>
      </w:r>
    </w:p>
    <w:p w14:paraId="5C691715"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Mertens, D.M. (2014) </w:t>
      </w:r>
      <w:r w:rsidRPr="006B6A00">
        <w:rPr>
          <w:rFonts w:ascii="Arial" w:eastAsia="Arial" w:hAnsi="Arial" w:cs="Arial"/>
          <w:i/>
          <w:iCs/>
          <w:sz w:val="22"/>
          <w:szCs w:val="22"/>
        </w:rPr>
        <w:t>Research and Evaluation in Education and Psychology.</w:t>
      </w:r>
      <w:r w:rsidRPr="006B6A00">
        <w:rPr>
          <w:rFonts w:ascii="Arial" w:eastAsia="Arial" w:hAnsi="Arial" w:cs="Arial"/>
          <w:sz w:val="22"/>
          <w:szCs w:val="22"/>
        </w:rPr>
        <w:t xml:space="preserve"> 4th </w:t>
      </w:r>
      <w:proofErr w:type="spellStart"/>
      <w:r w:rsidRPr="006B6A00">
        <w:rPr>
          <w:rFonts w:ascii="Arial" w:eastAsia="Arial" w:hAnsi="Arial" w:cs="Arial"/>
          <w:sz w:val="22"/>
          <w:szCs w:val="22"/>
        </w:rPr>
        <w:t>edn</w:t>
      </w:r>
      <w:proofErr w:type="spellEnd"/>
      <w:r w:rsidRPr="006B6A00">
        <w:rPr>
          <w:rFonts w:ascii="Arial" w:eastAsia="Arial" w:hAnsi="Arial" w:cs="Arial"/>
          <w:sz w:val="22"/>
          <w:szCs w:val="22"/>
        </w:rPr>
        <w:t>. London: SAGE Publications.</w:t>
      </w:r>
    </w:p>
    <w:p w14:paraId="46A7597E"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NHS England (2023) </w:t>
      </w:r>
      <w:r w:rsidRPr="006B6A00">
        <w:rPr>
          <w:rFonts w:ascii="Arial" w:eastAsia="Arial" w:hAnsi="Arial" w:cs="Arial"/>
          <w:i/>
          <w:iCs/>
          <w:sz w:val="22"/>
          <w:szCs w:val="22"/>
        </w:rPr>
        <w:t>Referral to Treatment (RTT) Waiting Times Rules Suite.</w:t>
      </w:r>
      <w:r w:rsidRPr="006B6A00">
        <w:rPr>
          <w:rFonts w:ascii="Arial" w:eastAsia="Arial" w:hAnsi="Arial" w:cs="Arial"/>
          <w:sz w:val="22"/>
          <w:szCs w:val="22"/>
        </w:rPr>
        <w:t xml:space="preserve"> London: NHS England. Available at: https://www.england.nhs.uk/statistics/statistical-work-areas/rtt-waiting-times/ (Accessed: 10 April 2025).</w:t>
      </w:r>
    </w:p>
    <w:p w14:paraId="1D2120F3"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t xml:space="preserve">NHS England (2024) </w:t>
      </w:r>
      <w:r w:rsidRPr="006B6A00">
        <w:rPr>
          <w:rFonts w:ascii="Arial" w:eastAsia="Arial" w:hAnsi="Arial" w:cs="Arial"/>
          <w:i/>
          <w:iCs/>
          <w:sz w:val="22"/>
          <w:szCs w:val="22"/>
        </w:rPr>
        <w:t>Consultant-led Referral to Treatment Waiting Times Data.</w:t>
      </w:r>
      <w:r w:rsidRPr="006B6A00">
        <w:rPr>
          <w:rFonts w:ascii="Arial" w:eastAsia="Arial" w:hAnsi="Arial" w:cs="Arial"/>
          <w:sz w:val="22"/>
          <w:szCs w:val="22"/>
        </w:rPr>
        <w:t xml:space="preserve"> London: NHS England. Available at: https://www.england.nhs.uk/statistics/statistical-work-areas/rtt-waiting-times/ (Accessed: 10 April 2025).</w:t>
      </w:r>
    </w:p>
    <w:p w14:paraId="1AF9CC84" w14:textId="77777777" w:rsidR="00C1538B" w:rsidRPr="006B6A00" w:rsidRDefault="00C1538B" w:rsidP="00113578">
      <w:pPr>
        <w:spacing w:line="360" w:lineRule="auto"/>
        <w:rPr>
          <w:rFonts w:ascii="Arial" w:hAnsi="Arial" w:cs="Arial"/>
          <w:sz w:val="22"/>
          <w:szCs w:val="22"/>
        </w:rPr>
      </w:pPr>
      <w:r w:rsidRPr="006B6A00">
        <w:rPr>
          <w:rFonts w:ascii="Arial" w:eastAsia="Arial" w:hAnsi="Arial" w:cs="Arial"/>
          <w:sz w:val="22"/>
          <w:szCs w:val="22"/>
        </w:rPr>
        <w:lastRenderedPageBreak/>
        <w:t xml:space="preserve">The King's Fund (2023) </w:t>
      </w:r>
      <w:r w:rsidRPr="006B6A00">
        <w:rPr>
          <w:rFonts w:ascii="Arial" w:eastAsia="Arial" w:hAnsi="Arial" w:cs="Arial"/>
          <w:i/>
          <w:iCs/>
          <w:sz w:val="22"/>
          <w:szCs w:val="22"/>
        </w:rPr>
        <w:t>NHS Performance: July 2023 Quarterly Monitoring Report.</w:t>
      </w:r>
      <w:r w:rsidRPr="006B6A00">
        <w:rPr>
          <w:rFonts w:ascii="Arial" w:eastAsia="Arial" w:hAnsi="Arial" w:cs="Arial"/>
          <w:sz w:val="22"/>
          <w:szCs w:val="22"/>
        </w:rPr>
        <w:t xml:space="preserve"> London: The King's Fund. Available at: https://www.kingsfund.org.uk/publications/quarterly-monitoring-report (Accessed: 10 April 2025).</w:t>
      </w:r>
    </w:p>
    <w:p w14:paraId="5AF74771" w14:textId="45A3B834" w:rsidR="00530E16" w:rsidRPr="007637E9" w:rsidRDefault="00530E16" w:rsidP="00113578">
      <w:pPr>
        <w:spacing w:line="360" w:lineRule="auto"/>
        <w:rPr>
          <w:rFonts w:ascii="Arial" w:eastAsia="Arial" w:hAnsi="Arial" w:cs="Arial"/>
          <w:color w:val="FF0000"/>
          <w:sz w:val="22"/>
          <w:szCs w:val="22"/>
        </w:rPr>
      </w:pP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9DDC4" w14:textId="77777777" w:rsidR="00147322" w:rsidRDefault="00147322" w:rsidP="002A1842">
      <w:pPr>
        <w:spacing w:after="0" w:line="240" w:lineRule="auto"/>
      </w:pPr>
      <w:r>
        <w:separator/>
      </w:r>
    </w:p>
  </w:endnote>
  <w:endnote w:type="continuationSeparator" w:id="0">
    <w:p w14:paraId="5B6D9FF7" w14:textId="77777777" w:rsidR="00147322" w:rsidRDefault="0014732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8DCFD78"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40F4BD3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20066C6"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473A88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02452" w14:textId="77777777" w:rsidR="00147322" w:rsidRDefault="00147322" w:rsidP="002A1842">
      <w:pPr>
        <w:spacing w:after="0" w:line="240" w:lineRule="auto"/>
      </w:pPr>
      <w:r>
        <w:separator/>
      </w:r>
    </w:p>
  </w:footnote>
  <w:footnote w:type="continuationSeparator" w:id="0">
    <w:p w14:paraId="15AC3F03" w14:textId="77777777" w:rsidR="00147322" w:rsidRDefault="0014732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07832918">
    <w:abstractNumId w:val="5"/>
  </w:num>
  <w:num w:numId="2" w16cid:durableId="762725078">
    <w:abstractNumId w:val="3"/>
  </w:num>
  <w:num w:numId="3" w16cid:durableId="919824923">
    <w:abstractNumId w:val="2"/>
  </w:num>
  <w:num w:numId="4" w16cid:durableId="1891763607">
    <w:abstractNumId w:val="1"/>
  </w:num>
  <w:num w:numId="5" w16cid:durableId="327561294">
    <w:abstractNumId w:val="4"/>
  </w:num>
  <w:num w:numId="6" w16cid:durableId="802578521">
    <w:abstractNumId w:val="0"/>
  </w:num>
  <w:num w:numId="7" w16cid:durableId="1312519152">
    <w:abstractNumId w:val="7"/>
  </w:num>
  <w:num w:numId="8" w16cid:durableId="2405298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13578"/>
    <w:rsid w:val="0012770E"/>
    <w:rsid w:val="00147322"/>
    <w:rsid w:val="00172AD1"/>
    <w:rsid w:val="001813E7"/>
    <w:rsid w:val="002A1842"/>
    <w:rsid w:val="004468F8"/>
    <w:rsid w:val="00530E16"/>
    <w:rsid w:val="006B6A00"/>
    <w:rsid w:val="00722EFE"/>
    <w:rsid w:val="007637E9"/>
    <w:rsid w:val="008E7834"/>
    <w:rsid w:val="0094743D"/>
    <w:rsid w:val="009F60D1"/>
    <w:rsid w:val="00A75B15"/>
    <w:rsid w:val="00AE06EA"/>
    <w:rsid w:val="00B65ED6"/>
    <w:rsid w:val="00BA0043"/>
    <w:rsid w:val="00C1538B"/>
    <w:rsid w:val="00CF650B"/>
    <w:rsid w:val="00D62A9C"/>
    <w:rsid w:val="00D941CD"/>
    <w:rsid w:val="00DB181C"/>
    <w:rsid w:val="00F618F2"/>
    <w:rsid w:val="00FA7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B4D6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2151</Words>
  <Characters>12696</Characters>
  <Application>Microsoft Office Word</Application>
  <DocSecurity>0</DocSecurity>
  <Lines>230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Nicolas charry lamprea</cp:lastModifiedBy>
  <cp:revision>2</cp:revision>
  <dcterms:created xsi:type="dcterms:W3CDTF">2026-05-02T04:12:00Z</dcterms:created>
  <dcterms:modified xsi:type="dcterms:W3CDTF">2026-05-02T04:12:00Z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c800ce3c-a76a-4bd0-8c61-cb0baac522b8</vt:lpwstr>
  </property>
</Properties>
</file>