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995EF6" w14:textId="70151ACC" w:rsidR="008A0AA0" w:rsidRDefault="00841626" w:rsidP="008A0AA0">
      <w:pPr>
        <w:spacing w:line="360" w:lineRule="auto"/>
        <w:ind w:left="4320" w:hanging="2880"/>
        <w:jc w:val="center"/>
        <w:rPr>
          <w:rFonts w:ascii="Arial" w:hAnsi="Arial" w:cs="Arial"/>
          <w:b/>
          <w:bCs/>
          <w:color w:val="000000" w:themeColor="text1"/>
        </w:rPr>
      </w:pPr>
      <w:r>
        <w:rPr>
          <w:rFonts w:ascii="Arial" w:hAnsi="Arial" w:cs="Arial"/>
          <w:b/>
          <w:bCs/>
          <w:noProof/>
          <w:color w:val="000000" w:themeColor="text1"/>
          <w:lang w:val="en-GB" w:eastAsia="en-GB"/>
        </w:rPr>
        <w:drawing>
          <wp:inline distT="0" distB="0" distL="0" distR="0" wp14:anchorId="74B1E810" wp14:editId="00236860">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6">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14:paraId="72DCCC58" w14:textId="77777777" w:rsidR="008A0AA0" w:rsidRDefault="008A0AA0" w:rsidP="008A0AA0">
      <w:pPr>
        <w:spacing w:line="360" w:lineRule="auto"/>
        <w:ind w:left="4320" w:hanging="2880"/>
        <w:rPr>
          <w:rFonts w:ascii="Arial" w:hAnsi="Arial" w:cs="Arial"/>
          <w:b/>
          <w:bCs/>
          <w:color w:val="000000" w:themeColor="text1"/>
        </w:rPr>
      </w:pPr>
    </w:p>
    <w:p w14:paraId="1B984907" w14:textId="101FB530"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4320" w:hanging="2880"/>
        <w:rPr>
          <w:rFonts w:ascii="Arial" w:hAnsi="Arial" w:cs="Arial"/>
          <w:b/>
          <w:bCs/>
          <w:color w:val="000000" w:themeColor="text1"/>
        </w:rPr>
      </w:pPr>
      <w:r>
        <w:rPr>
          <w:rFonts w:ascii="Arial" w:hAnsi="Arial" w:cs="Arial"/>
          <w:b/>
          <w:bCs/>
          <w:color w:val="000000" w:themeColor="text1"/>
        </w:rPr>
        <w:t xml:space="preserve">Assignment Title: </w:t>
      </w:r>
      <w:r>
        <w:rPr>
          <w:rFonts w:ascii="Arial" w:hAnsi="Arial" w:cs="Arial"/>
          <w:b/>
          <w:bCs/>
          <w:color w:val="000000" w:themeColor="text1"/>
        </w:rPr>
        <w:tab/>
      </w:r>
      <w:r w:rsidR="00F547E8" w:rsidRPr="00392297">
        <w:rPr>
          <w:rFonts w:ascii="Arial" w:hAnsi="Arial" w:cs="Arial"/>
          <w:b/>
          <w:bCs/>
          <w:color w:val="000000" w:themeColor="text1"/>
        </w:rPr>
        <w:t>Reform of Homicide</w:t>
      </w:r>
    </w:p>
    <w:p w14:paraId="3C364B2A" w14:textId="77777777"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Criminal Law</w:t>
      </w:r>
    </w:p>
    <w:p w14:paraId="09EE57E3" w14:textId="77777777"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Pr>
          <w:rFonts w:ascii="Arial" w:eastAsia="Arial" w:hAnsi="Arial" w:cs="Arial"/>
          <w:b/>
          <w:sz w:val="22"/>
        </w:rPr>
        <w:t>BMPL4009</w:t>
      </w:r>
    </w:p>
    <w:p w14:paraId="17AE59D6" w14:textId="77777777"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 xml:space="preserve">Law Portfolio  </w:t>
      </w:r>
    </w:p>
    <w:p w14:paraId="16B92D54" w14:textId="6C27A0D2"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M</w:t>
      </w:r>
      <w:r w:rsidR="00347C0D">
        <w:rPr>
          <w:rFonts w:ascii="Arial" w:hAnsi="Arial" w:cs="Arial"/>
          <w:b/>
          <w:bCs/>
          <w:color w:val="000000" w:themeColor="text1"/>
        </w:rPr>
        <w:t>o</w:t>
      </w:r>
      <w:r>
        <w:rPr>
          <w:rFonts w:ascii="Arial" w:hAnsi="Arial" w:cs="Arial"/>
          <w:b/>
          <w:bCs/>
          <w:color w:val="000000" w:themeColor="text1"/>
        </w:rPr>
        <w:t xml:space="preserve">hammed </w:t>
      </w:r>
      <w:proofErr w:type="spellStart"/>
      <w:r>
        <w:rPr>
          <w:rFonts w:ascii="Arial" w:hAnsi="Arial" w:cs="Arial"/>
          <w:b/>
          <w:bCs/>
          <w:color w:val="000000" w:themeColor="text1"/>
        </w:rPr>
        <w:t>Zahoor</w:t>
      </w:r>
      <w:proofErr w:type="spellEnd"/>
    </w:p>
    <w:p w14:paraId="590CA709" w14:textId="43BDC6C7"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00347C0D">
        <w:rPr>
          <w:rFonts w:ascii="Arial" w:hAnsi="Arial" w:cs="Arial"/>
          <w:b/>
          <w:bCs/>
          <w:color w:val="000000" w:themeColor="text1"/>
        </w:rPr>
        <w:t>2243573</w:t>
      </w:r>
      <w:bookmarkStart w:id="0" w:name="_GoBack"/>
      <w:bookmarkEnd w:id="0"/>
    </w:p>
    <w:p w14:paraId="5570F4F6" w14:textId="77777777" w:rsidR="008A0AA0" w:rsidRDefault="008A0AA0" w:rsidP="008A0AA0">
      <w:pPr>
        <w:pBdr>
          <w:top w:val="thinThickSmallGap" w:sz="24" w:space="1" w:color="auto"/>
          <w:left w:val="thinThickSmallGap" w:sz="24" w:space="31" w:color="auto"/>
          <w:bottom w:val="thinThickSmallGap" w:sz="24" w:space="1" w:color="auto"/>
          <w:right w:val="thinThickSmallGap" w:sz="24" w:space="4" w:color="auto"/>
          <w:between w:val="thinThickSmallGap" w:sz="24" w:space="1" w:color="auto"/>
        </w:pBdr>
        <w:spacing w:line="360" w:lineRule="auto"/>
        <w:ind w:left="1440"/>
        <w:rPr>
          <w:rFonts w:ascii="Arial" w:hAnsi="Arial" w:cs="Arial"/>
          <w:color w:val="000000" w:themeColor="text1"/>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t>Ms. Zita Draper</w:t>
      </w:r>
    </w:p>
    <w:p w14:paraId="5FB554C2" w14:textId="13B4172D" w:rsidR="00841626" w:rsidRPr="004272AA" w:rsidRDefault="008A0AA0" w:rsidP="004272AA">
      <w:pPr>
        <w:rPr>
          <w:rFonts w:ascii="Arial" w:hAnsi="Arial" w:cs="Arial"/>
        </w:rPr>
      </w:pPr>
      <w:r>
        <w:rPr>
          <w:rFonts w:ascii="Arial" w:hAnsi="Arial" w:cs="Arial"/>
          <w:kern w:val="0"/>
          <w14:ligatures w14:val="none"/>
        </w:rPr>
        <w:br w:type="page"/>
      </w:r>
    </w:p>
    <w:p w14:paraId="7DF3951C" w14:textId="7EE9C40E" w:rsidR="00105081" w:rsidRPr="008A0AA0" w:rsidRDefault="00105081">
      <w:pPr>
        <w:rPr>
          <w:rFonts w:ascii="Arial" w:hAnsi="Arial" w:cs="Arial"/>
          <w:szCs w:val="24"/>
        </w:rPr>
      </w:pPr>
    </w:p>
    <w:p w14:paraId="1951C6AF" w14:textId="77777777" w:rsidR="00105081" w:rsidRPr="008A0AA0" w:rsidRDefault="00105081" w:rsidP="008A0AA0">
      <w:pPr>
        <w:pStyle w:val="Title"/>
        <w:spacing w:line="360" w:lineRule="auto"/>
        <w:jc w:val="both"/>
        <w:rPr>
          <w:rFonts w:ascii="Arial" w:hAnsi="Arial" w:cs="Arial"/>
          <w:sz w:val="24"/>
          <w:szCs w:val="24"/>
        </w:rPr>
      </w:pPr>
      <w:r w:rsidRPr="008A0AA0">
        <w:rPr>
          <w:rFonts w:ascii="Arial" w:hAnsi="Arial" w:cs="Arial"/>
          <w:sz w:val="24"/>
          <w:szCs w:val="24"/>
        </w:rPr>
        <w:t xml:space="preserve">Title: </w:t>
      </w:r>
    </w:p>
    <w:p w14:paraId="713FEDB4" w14:textId="5B9A59C8" w:rsidR="00105081" w:rsidRPr="008A0AA0" w:rsidRDefault="00841626" w:rsidP="008A0AA0">
      <w:pPr>
        <w:pStyle w:val="Title"/>
        <w:spacing w:line="360" w:lineRule="auto"/>
        <w:ind w:firstLine="720"/>
        <w:jc w:val="both"/>
        <w:rPr>
          <w:rFonts w:ascii="Arial" w:hAnsi="Arial" w:cs="Arial"/>
          <w:sz w:val="24"/>
          <w:szCs w:val="24"/>
        </w:rPr>
      </w:pPr>
      <w:r>
        <w:rPr>
          <w:rFonts w:ascii="Arial" w:hAnsi="Arial" w:cs="Arial"/>
          <w:sz w:val="24"/>
          <w:szCs w:val="24"/>
        </w:rPr>
        <w:t>The Need for Reform of</w:t>
      </w:r>
      <w:r w:rsidR="00105081" w:rsidRPr="008A0AA0">
        <w:rPr>
          <w:rFonts w:ascii="Arial" w:hAnsi="Arial" w:cs="Arial"/>
          <w:sz w:val="24"/>
          <w:szCs w:val="24"/>
        </w:rPr>
        <w:t xml:space="preserve"> the Law Governing Homicide in England and Wales</w:t>
      </w:r>
    </w:p>
    <w:p w14:paraId="57E021EE" w14:textId="366885D5" w:rsidR="005F2BB9" w:rsidRPr="008A0AA0" w:rsidRDefault="00F4329C" w:rsidP="008A0AA0">
      <w:pPr>
        <w:pStyle w:val="Heading1"/>
        <w:spacing w:line="360" w:lineRule="auto"/>
        <w:jc w:val="both"/>
        <w:rPr>
          <w:rFonts w:ascii="Arial" w:hAnsi="Arial" w:cs="Arial"/>
          <w:sz w:val="24"/>
          <w:szCs w:val="24"/>
        </w:rPr>
      </w:pPr>
      <w:bookmarkStart w:id="1" w:name="_Toc139485062"/>
      <w:bookmarkStart w:id="2" w:name="_Toc139480076"/>
      <w:r w:rsidRPr="008A0AA0">
        <w:rPr>
          <w:rFonts w:ascii="Arial" w:hAnsi="Arial" w:cs="Arial"/>
          <w:sz w:val="24"/>
          <w:szCs w:val="24"/>
        </w:rPr>
        <w:t>Introduction</w:t>
      </w:r>
      <w:bookmarkEnd w:id="1"/>
      <w:bookmarkEnd w:id="2"/>
    </w:p>
    <w:p w14:paraId="3DFD66D3" w14:textId="1B954F47" w:rsidR="00F4329C" w:rsidRPr="008A0AA0" w:rsidRDefault="00F4329C" w:rsidP="008A0AA0">
      <w:pPr>
        <w:spacing w:line="360" w:lineRule="auto"/>
        <w:jc w:val="both"/>
        <w:rPr>
          <w:rFonts w:ascii="Arial" w:hAnsi="Arial" w:cs="Arial"/>
          <w:szCs w:val="24"/>
        </w:rPr>
      </w:pPr>
      <w:r w:rsidRPr="008A0AA0">
        <w:rPr>
          <w:rFonts w:ascii="Arial" w:hAnsi="Arial" w:cs="Arial"/>
          <w:szCs w:val="24"/>
        </w:rPr>
        <w:t>The statement from the Law Commission in 2005, characterizing the law governing homicide in England and Wales as a "rickety structure set upon shaky foundations," raises crucial questions about the adequacy and efficacy of current legislation. This essay will critically evaluate the existing law governing homicide, identifying key issues such as partial defenses to murder, controversies surrounding the intent required for murder, and the breadth of manslaughter. Furthermore, it will examine the proposals for reform put forward by the Law Commission and other bodies, the government's response to these proposals, and the arguments both for and against reform.</w:t>
      </w:r>
    </w:p>
    <w:p w14:paraId="709229A9" w14:textId="7F3809F7" w:rsidR="00617D0E" w:rsidRPr="008A0AA0" w:rsidRDefault="00841626" w:rsidP="008A0AA0">
      <w:pPr>
        <w:pStyle w:val="Heading1"/>
        <w:spacing w:line="360" w:lineRule="auto"/>
        <w:jc w:val="both"/>
        <w:rPr>
          <w:rFonts w:ascii="Arial" w:hAnsi="Arial" w:cs="Arial"/>
          <w:sz w:val="24"/>
          <w:szCs w:val="24"/>
        </w:rPr>
      </w:pPr>
      <w:bookmarkStart w:id="3" w:name="_Toc139485063"/>
      <w:bookmarkStart w:id="4" w:name="_Toc139480077"/>
      <w:r>
        <w:rPr>
          <w:rFonts w:ascii="Arial" w:hAnsi="Arial" w:cs="Arial"/>
          <w:sz w:val="24"/>
          <w:szCs w:val="24"/>
        </w:rPr>
        <w:t>Current Law of</w:t>
      </w:r>
      <w:r w:rsidR="00F4329C" w:rsidRPr="008A0AA0">
        <w:rPr>
          <w:rFonts w:ascii="Arial" w:hAnsi="Arial" w:cs="Arial"/>
          <w:sz w:val="24"/>
          <w:szCs w:val="24"/>
        </w:rPr>
        <w:t xml:space="preserve"> Homicide in England and Wales</w:t>
      </w:r>
      <w:bookmarkEnd w:id="3"/>
      <w:bookmarkEnd w:id="4"/>
    </w:p>
    <w:p w14:paraId="1868D9FD" w14:textId="39E383AB" w:rsidR="00617D0E" w:rsidRPr="008A0AA0" w:rsidRDefault="00617D0E" w:rsidP="008A0AA0">
      <w:pPr>
        <w:spacing w:line="360" w:lineRule="auto"/>
        <w:jc w:val="both"/>
        <w:rPr>
          <w:rFonts w:ascii="Arial" w:hAnsi="Arial" w:cs="Arial"/>
          <w:szCs w:val="24"/>
        </w:rPr>
      </w:pPr>
      <w:r w:rsidRPr="008A0AA0">
        <w:rPr>
          <w:rFonts w:ascii="Arial" w:hAnsi="Arial" w:cs="Arial"/>
          <w:szCs w:val="24"/>
        </w:rPr>
        <w:t xml:space="preserve">In England and Wales, the law governing homicide is primarily defined by the common law and statute. The law governing homicide in England and Wales is primarily governed by the common law and the Homicide Act 1957 </w:t>
      </w:r>
      <w:r w:rsidR="00841626">
        <w:rPr>
          <w:rFonts w:ascii="Arial" w:hAnsi="Arial" w:cs="Arial"/>
          <w:noProof/>
          <w:szCs w:val="24"/>
        </w:rPr>
        <w:t>(Legislation.Gov.UK</w:t>
      </w:r>
      <w:r w:rsidR="008A0AA0" w:rsidRPr="008A0AA0">
        <w:rPr>
          <w:rFonts w:ascii="Arial" w:hAnsi="Arial" w:cs="Arial"/>
          <w:noProof/>
          <w:szCs w:val="24"/>
        </w:rPr>
        <w:t>, 1957)</w:t>
      </w:r>
      <w:r w:rsidRPr="008A0AA0">
        <w:rPr>
          <w:rFonts w:ascii="Arial" w:hAnsi="Arial" w:cs="Arial"/>
          <w:szCs w:val="24"/>
        </w:rPr>
        <w:t>. The common law distinguishes between murder and manslaughter, with murder constituting the unlawful killing of a human being with malice aforethought, while manslaughter encompasses unlawful killings that lack the required intent for murder.</w:t>
      </w:r>
    </w:p>
    <w:p w14:paraId="47D84546" w14:textId="77777777" w:rsidR="00617D0E" w:rsidRPr="008A0AA0" w:rsidRDefault="00617D0E" w:rsidP="008A0AA0">
      <w:pPr>
        <w:pStyle w:val="Heading2"/>
        <w:spacing w:line="360" w:lineRule="auto"/>
        <w:jc w:val="both"/>
        <w:rPr>
          <w:rFonts w:ascii="Arial" w:hAnsi="Arial" w:cs="Arial"/>
          <w:sz w:val="24"/>
          <w:szCs w:val="24"/>
        </w:rPr>
      </w:pPr>
      <w:bookmarkStart w:id="5" w:name="_Toc139485064"/>
      <w:bookmarkStart w:id="6" w:name="_Toc139480078"/>
      <w:r w:rsidRPr="008A0AA0">
        <w:rPr>
          <w:rFonts w:ascii="Arial" w:hAnsi="Arial" w:cs="Arial"/>
          <w:sz w:val="24"/>
          <w:szCs w:val="24"/>
        </w:rPr>
        <w:t>Key Issues</w:t>
      </w:r>
      <w:bookmarkEnd w:id="5"/>
      <w:bookmarkEnd w:id="6"/>
    </w:p>
    <w:p w14:paraId="39FA235D" w14:textId="1AA815F7" w:rsidR="00617D0E" w:rsidRPr="008A0AA0" w:rsidRDefault="00617D0E" w:rsidP="008A0AA0">
      <w:pPr>
        <w:spacing w:line="360" w:lineRule="auto"/>
        <w:jc w:val="both"/>
        <w:rPr>
          <w:rFonts w:ascii="Arial" w:hAnsi="Arial" w:cs="Arial"/>
          <w:szCs w:val="24"/>
        </w:rPr>
      </w:pPr>
      <w:r w:rsidRPr="008A0AA0">
        <w:rPr>
          <w:rFonts w:ascii="Arial" w:hAnsi="Arial" w:cs="Arial"/>
          <w:szCs w:val="24"/>
        </w:rPr>
        <w:t>Now we will discuss some of the most prominent and major key issues in the current law governing homicide in the UK.</w:t>
      </w:r>
    </w:p>
    <w:p w14:paraId="02E3AF00" w14:textId="77777777" w:rsidR="00064F62" w:rsidRPr="004272AA" w:rsidRDefault="00617D0E" w:rsidP="004272AA">
      <w:pPr>
        <w:rPr>
          <w:b/>
          <w:bCs/>
        </w:rPr>
      </w:pPr>
      <w:bookmarkStart w:id="7" w:name="_Toc139485065"/>
      <w:bookmarkStart w:id="8" w:name="_Toc139480079"/>
      <w:r w:rsidRPr="004272AA">
        <w:rPr>
          <w:b/>
          <w:bCs/>
        </w:rPr>
        <w:t>Partial Defense to Murder</w:t>
      </w:r>
      <w:bookmarkEnd w:id="7"/>
      <w:bookmarkEnd w:id="8"/>
    </w:p>
    <w:p w14:paraId="2808CEAC" w14:textId="77777777" w:rsidR="004272AA" w:rsidRDefault="00064F62" w:rsidP="008A0AA0">
      <w:pPr>
        <w:spacing w:line="360" w:lineRule="auto"/>
        <w:jc w:val="both"/>
        <w:rPr>
          <w:rFonts w:ascii="Arial" w:hAnsi="Arial" w:cs="Arial"/>
          <w:szCs w:val="24"/>
        </w:rPr>
      </w:pPr>
      <w:r w:rsidRPr="008A0AA0">
        <w:rPr>
          <w:rFonts w:ascii="Arial" w:hAnsi="Arial" w:cs="Arial"/>
          <w:szCs w:val="24"/>
        </w:rPr>
        <w:t xml:space="preserve">Partially effective defenses, such as decreased responsibility and loss of control, allow defendants to have their charges of murder reduced to manslaughter. Due to their intricacy, subjectivity, and varied implementation, these defenses have drawn criticism. It might be challenging to identify and consistently apply the requirements for establishing diminished responsibility, such as </w:t>
      </w:r>
      <w:r w:rsidR="00841626">
        <w:rPr>
          <w:rFonts w:ascii="Arial" w:hAnsi="Arial" w:cs="Arial"/>
          <w:szCs w:val="24"/>
        </w:rPr>
        <w:t xml:space="preserve">an </w:t>
      </w:r>
      <w:r w:rsidRPr="008A0AA0">
        <w:rPr>
          <w:rFonts w:ascii="Arial" w:hAnsi="Arial" w:cs="Arial"/>
          <w:szCs w:val="24"/>
        </w:rPr>
        <w:t xml:space="preserve">abnormality of mental functioning. </w:t>
      </w:r>
    </w:p>
    <w:p w14:paraId="52F2B611" w14:textId="0E0C38C3" w:rsidR="004272AA" w:rsidRDefault="004272AA" w:rsidP="008A0AA0">
      <w:pPr>
        <w:spacing w:line="360" w:lineRule="auto"/>
        <w:jc w:val="both"/>
        <w:rPr>
          <w:rFonts w:ascii="Arial" w:hAnsi="Arial" w:cs="Arial"/>
          <w:szCs w:val="24"/>
        </w:rPr>
      </w:pPr>
      <w:r w:rsidRPr="004272AA">
        <w:rPr>
          <w:rFonts w:ascii="Arial" w:hAnsi="Arial" w:cs="Arial"/>
          <w:szCs w:val="24"/>
        </w:rPr>
        <w:lastRenderedPageBreak/>
        <w:t xml:space="preserve">Various court cases have demonstrated the complex and inconsistent application of partial </w:t>
      </w:r>
      <w:r>
        <w:rPr>
          <w:rFonts w:ascii="Arial" w:hAnsi="Arial" w:cs="Arial"/>
          <w:szCs w:val="24"/>
        </w:rPr>
        <w:t>defenses</w:t>
      </w:r>
      <w:r w:rsidRPr="004272AA">
        <w:rPr>
          <w:rFonts w:ascii="Arial" w:hAnsi="Arial" w:cs="Arial"/>
          <w:szCs w:val="24"/>
        </w:rPr>
        <w:t>. For example, the case of R v. Dowds (2012)</w:t>
      </w:r>
      <w:sdt>
        <w:sdtPr>
          <w:rPr>
            <w:rFonts w:ascii="Arial" w:hAnsi="Arial" w:cs="Arial"/>
            <w:szCs w:val="24"/>
          </w:rPr>
          <w:id w:val="-1481758986"/>
          <w:citation/>
        </w:sdtPr>
        <w:sdtEndPr/>
        <w:sdtContent>
          <w:r>
            <w:rPr>
              <w:rFonts w:ascii="Arial" w:hAnsi="Arial" w:cs="Arial"/>
              <w:szCs w:val="24"/>
            </w:rPr>
            <w:fldChar w:fldCharType="begin"/>
          </w:r>
          <w:r>
            <w:rPr>
              <w:rFonts w:ascii="Arial" w:hAnsi="Arial" w:cs="Arial"/>
              <w:szCs w:val="24"/>
            </w:rPr>
            <w:instrText xml:space="preserve"> CITATION Law12 \l 1033 </w:instrText>
          </w:r>
          <w:r>
            <w:rPr>
              <w:rFonts w:ascii="Arial" w:hAnsi="Arial" w:cs="Arial"/>
              <w:szCs w:val="24"/>
            </w:rPr>
            <w:fldChar w:fldCharType="separate"/>
          </w:r>
          <w:r>
            <w:rPr>
              <w:rFonts w:ascii="Arial" w:hAnsi="Arial" w:cs="Arial"/>
              <w:noProof/>
              <w:szCs w:val="24"/>
            </w:rPr>
            <w:t xml:space="preserve"> </w:t>
          </w:r>
          <w:r w:rsidRPr="004272AA">
            <w:rPr>
              <w:rFonts w:ascii="Arial" w:hAnsi="Arial" w:cs="Arial"/>
              <w:noProof/>
              <w:szCs w:val="24"/>
            </w:rPr>
            <w:t>(Law Teacher, 2012)</w:t>
          </w:r>
          <w:r>
            <w:rPr>
              <w:rFonts w:ascii="Arial" w:hAnsi="Arial" w:cs="Arial"/>
              <w:szCs w:val="24"/>
            </w:rPr>
            <w:fldChar w:fldCharType="end"/>
          </w:r>
        </w:sdtContent>
      </w:sdt>
      <w:r w:rsidRPr="004272AA">
        <w:rPr>
          <w:rFonts w:ascii="Arial" w:hAnsi="Arial" w:cs="Arial"/>
          <w:szCs w:val="24"/>
        </w:rPr>
        <w:t xml:space="preserve"> highlighted the difficulty in applying the loss of control </w:t>
      </w:r>
      <w:r>
        <w:rPr>
          <w:rFonts w:ascii="Arial" w:hAnsi="Arial" w:cs="Arial"/>
          <w:szCs w:val="24"/>
        </w:rPr>
        <w:t>defense</w:t>
      </w:r>
      <w:r w:rsidRPr="004272AA">
        <w:rPr>
          <w:rFonts w:ascii="Arial" w:hAnsi="Arial" w:cs="Arial"/>
          <w:szCs w:val="24"/>
        </w:rPr>
        <w:t xml:space="preserve"> consistently, leading to uncertainty and disparity in outcomes.</w:t>
      </w:r>
    </w:p>
    <w:p w14:paraId="321A1742" w14:textId="74ED696F" w:rsidR="00064F62" w:rsidRPr="008A0AA0" w:rsidRDefault="00064F62" w:rsidP="008A0AA0">
      <w:pPr>
        <w:spacing w:line="360" w:lineRule="auto"/>
        <w:jc w:val="both"/>
        <w:rPr>
          <w:rFonts w:ascii="Arial" w:hAnsi="Arial" w:cs="Arial"/>
          <w:szCs w:val="24"/>
        </w:rPr>
      </w:pPr>
      <w:r w:rsidRPr="008A0AA0">
        <w:rPr>
          <w:rFonts w:ascii="Arial" w:hAnsi="Arial" w:cs="Arial"/>
          <w:szCs w:val="24"/>
        </w:rPr>
        <w:t xml:space="preserve">Depending on how experts and judges understand the situation, different results result. Similar criticism has been leveled at the loss of control defense due to its subjective components and the need to demonstrate a "qualifying trigger" for the loss of self-control. The justice and transparency of the law are undermined by the ambiguity and inconsistent application of these defenses. </w:t>
      </w:r>
    </w:p>
    <w:p w14:paraId="6AAE9986" w14:textId="77777777" w:rsidR="00064F62" w:rsidRPr="004272AA" w:rsidRDefault="00064F62" w:rsidP="004272AA">
      <w:pPr>
        <w:rPr>
          <w:b/>
          <w:bCs/>
        </w:rPr>
      </w:pPr>
      <w:bookmarkStart w:id="9" w:name="_Toc139485066"/>
      <w:bookmarkStart w:id="10" w:name="_Toc139480080"/>
      <w:r w:rsidRPr="004272AA">
        <w:rPr>
          <w:b/>
          <w:bCs/>
        </w:rPr>
        <w:t>Controversy Surrounding the Intent Required for Murder:</w:t>
      </w:r>
      <w:bookmarkEnd w:id="9"/>
      <w:bookmarkEnd w:id="10"/>
      <w:r w:rsidRPr="004272AA">
        <w:rPr>
          <w:b/>
          <w:bCs/>
        </w:rPr>
        <w:t xml:space="preserve"> </w:t>
      </w:r>
    </w:p>
    <w:p w14:paraId="6F5D6BB6" w14:textId="77777777" w:rsidR="00064F62" w:rsidRDefault="00064F62" w:rsidP="008A0AA0">
      <w:pPr>
        <w:spacing w:line="360" w:lineRule="auto"/>
        <w:jc w:val="both"/>
        <w:rPr>
          <w:rFonts w:ascii="Arial" w:hAnsi="Arial" w:cs="Arial"/>
          <w:szCs w:val="24"/>
        </w:rPr>
      </w:pPr>
      <w:r w:rsidRPr="008A0AA0">
        <w:rPr>
          <w:rFonts w:ascii="Arial" w:hAnsi="Arial" w:cs="Arial"/>
          <w:szCs w:val="24"/>
        </w:rPr>
        <w:t xml:space="preserve">Currently, a murder conviction must be supported by evidence of an intent to kill or cause great bodily harm (GBH). However, the arbitrary and out-of-date "year and a day" criterion, which restricts murder trials to fatalities occurring within a year and a day of the act causing the fatal injury, has received heavy criticism. Because the causal relationship between an act and a death that results may frequently be demonstrated outside of the conventional time frame, advancements in medical science and technology have made this criterion outdated. Furthermore, there has been discussion surrounding the requirement of a GBH rather than the criterion of substantial injury. Critics argue that this narrow definition fails to capture cases where the defendant should be held responsible for causing death even if the intention was not to cause GBH. There is a need for a more flexible approach that considers the seriousness of the harm caused and the level of culpability involved. </w:t>
      </w:r>
    </w:p>
    <w:p w14:paraId="0AD2407E" w14:textId="5B82A87E" w:rsidR="004272AA" w:rsidRDefault="004272AA" w:rsidP="008A0AA0">
      <w:pPr>
        <w:spacing w:line="360" w:lineRule="auto"/>
        <w:jc w:val="both"/>
        <w:rPr>
          <w:rFonts w:ascii="Arial" w:hAnsi="Arial" w:cs="Arial"/>
          <w:szCs w:val="24"/>
        </w:rPr>
      </w:pPr>
      <w:r>
        <w:rPr>
          <w:rFonts w:ascii="Arial" w:hAnsi="Arial" w:cs="Arial"/>
          <w:szCs w:val="24"/>
        </w:rPr>
        <w:t>One of the major issues here is the o</w:t>
      </w:r>
      <w:r w:rsidRPr="004272AA">
        <w:rPr>
          <w:rFonts w:ascii="Arial" w:hAnsi="Arial" w:cs="Arial"/>
          <w:szCs w:val="24"/>
        </w:rPr>
        <w:t>utdated "year and a day" rule</w:t>
      </w:r>
      <w:r>
        <w:rPr>
          <w:rFonts w:ascii="Arial" w:hAnsi="Arial" w:cs="Arial"/>
          <w:szCs w:val="24"/>
        </w:rPr>
        <w:t>.</w:t>
      </w:r>
      <w:r w:rsidRPr="004272AA">
        <w:rPr>
          <w:rFonts w:ascii="Arial" w:hAnsi="Arial" w:cs="Arial"/>
          <w:szCs w:val="24"/>
        </w:rPr>
        <w:t xml:space="preserve"> The arbitrary nature of the "year and a day" rule is evident from cases such as R v. Kennedy (2007)</w:t>
      </w:r>
      <w:r w:rsidR="00DA21FD">
        <w:rPr>
          <w:rFonts w:ascii="Arial" w:hAnsi="Arial" w:cs="Arial"/>
          <w:noProof/>
          <w:szCs w:val="24"/>
        </w:rPr>
        <w:t xml:space="preserve"> </w:t>
      </w:r>
      <w:r w:rsidR="00DA21FD" w:rsidRPr="004272AA">
        <w:rPr>
          <w:rFonts w:ascii="Arial" w:hAnsi="Arial" w:cs="Arial"/>
          <w:noProof/>
          <w:szCs w:val="24"/>
        </w:rPr>
        <w:t>(The Law Teacher, 2021)</w:t>
      </w:r>
      <w:r w:rsidRPr="004272AA">
        <w:rPr>
          <w:rFonts w:ascii="Arial" w:hAnsi="Arial" w:cs="Arial"/>
          <w:szCs w:val="24"/>
        </w:rPr>
        <w:t>, where advances in medical science and technology rendered the rule irrelevant. The case highlighted the need to update the law to reflect modern understandings of causation.</w:t>
      </w:r>
    </w:p>
    <w:p w14:paraId="748334C4" w14:textId="77777777" w:rsidR="003A562F" w:rsidRDefault="003A562F" w:rsidP="008A0AA0">
      <w:pPr>
        <w:spacing w:line="360" w:lineRule="auto"/>
        <w:jc w:val="both"/>
        <w:rPr>
          <w:rFonts w:ascii="Arial" w:hAnsi="Arial" w:cs="Arial"/>
          <w:szCs w:val="24"/>
        </w:rPr>
      </w:pPr>
    </w:p>
    <w:p w14:paraId="688C2C07" w14:textId="77777777" w:rsidR="003A562F" w:rsidRPr="008A0AA0" w:rsidRDefault="003A562F" w:rsidP="008A0AA0">
      <w:pPr>
        <w:spacing w:line="360" w:lineRule="auto"/>
        <w:jc w:val="both"/>
        <w:rPr>
          <w:rFonts w:ascii="Arial" w:hAnsi="Arial" w:cs="Arial"/>
          <w:szCs w:val="24"/>
        </w:rPr>
      </w:pPr>
    </w:p>
    <w:p w14:paraId="5A07A297" w14:textId="77777777" w:rsidR="00064F62" w:rsidRPr="004272AA" w:rsidRDefault="00064F62" w:rsidP="004272AA">
      <w:pPr>
        <w:rPr>
          <w:b/>
          <w:bCs/>
        </w:rPr>
      </w:pPr>
      <w:bookmarkStart w:id="11" w:name="_Toc139485067"/>
      <w:bookmarkStart w:id="12" w:name="_Toc139480081"/>
      <w:r w:rsidRPr="004272AA">
        <w:rPr>
          <w:b/>
          <w:bCs/>
        </w:rPr>
        <w:lastRenderedPageBreak/>
        <w:t>Breadth of Manslaughter:</w:t>
      </w:r>
      <w:bookmarkEnd w:id="11"/>
      <w:bookmarkEnd w:id="12"/>
      <w:r w:rsidRPr="004272AA">
        <w:rPr>
          <w:b/>
          <w:bCs/>
        </w:rPr>
        <w:t xml:space="preserve"> </w:t>
      </w:r>
    </w:p>
    <w:p w14:paraId="617B8A51" w14:textId="77777777" w:rsidR="004272AA" w:rsidRDefault="00064F62" w:rsidP="008A0AA0">
      <w:pPr>
        <w:spacing w:line="360" w:lineRule="auto"/>
        <w:jc w:val="both"/>
        <w:rPr>
          <w:rFonts w:ascii="Arial" w:hAnsi="Arial" w:cs="Arial"/>
          <w:szCs w:val="24"/>
        </w:rPr>
      </w:pPr>
      <w:r w:rsidRPr="008A0AA0">
        <w:rPr>
          <w:rFonts w:ascii="Arial" w:hAnsi="Arial" w:cs="Arial"/>
          <w:szCs w:val="24"/>
        </w:rPr>
        <w:t xml:space="preserve">Manslaughter can take many different forms, such as constructive manslaughter, voluntary manslaughter, and involuntary manslaughter. The broad definition of manslaughter has led to inconsistent sentencing practices and uncertainty. Involuntary manslaughter, which involves unintentional deaths brought on by criminal activity or egregious negligence, has come under fire for its broad definition and lack of defined parameters. </w:t>
      </w:r>
    </w:p>
    <w:p w14:paraId="5DAE6478" w14:textId="05299430" w:rsidR="004272AA" w:rsidRDefault="004272AA" w:rsidP="008A0AA0">
      <w:pPr>
        <w:spacing w:line="360" w:lineRule="auto"/>
        <w:jc w:val="both"/>
        <w:rPr>
          <w:rFonts w:ascii="Arial" w:hAnsi="Arial" w:cs="Arial"/>
          <w:szCs w:val="24"/>
        </w:rPr>
      </w:pPr>
      <w:r w:rsidRPr="004272AA">
        <w:rPr>
          <w:rFonts w:ascii="Arial" w:hAnsi="Arial" w:cs="Arial"/>
          <w:szCs w:val="24"/>
        </w:rPr>
        <w:t>Various cases have demonstrated inconsistencies in sentencing for different forms of manslaughter. For instance, R v. Rose (2017)</w:t>
      </w:r>
      <w:r>
        <w:rPr>
          <w:rFonts w:ascii="Arial" w:hAnsi="Arial" w:cs="Arial"/>
          <w:szCs w:val="24"/>
        </w:rPr>
        <w:t xml:space="preserve"> </w:t>
      </w:r>
      <w:r w:rsidR="00DA21FD" w:rsidRPr="004272AA">
        <w:rPr>
          <w:rFonts w:ascii="Arial" w:hAnsi="Arial" w:cs="Arial"/>
          <w:noProof/>
          <w:szCs w:val="24"/>
        </w:rPr>
        <w:t>(Anzar, 2020)</w:t>
      </w:r>
      <w:r w:rsidRPr="004272AA">
        <w:rPr>
          <w:rFonts w:ascii="Arial" w:hAnsi="Arial" w:cs="Arial"/>
          <w:szCs w:val="24"/>
        </w:rPr>
        <w:t xml:space="preserve"> highlighted the disparity between sentences for involuntary manslaughter and constructive manslaughter, leading to concerns about proportionality and fairness.</w:t>
      </w:r>
    </w:p>
    <w:p w14:paraId="050F080C" w14:textId="5B761FCA" w:rsidR="00064F62" w:rsidRPr="008A0AA0" w:rsidRDefault="00064F62" w:rsidP="008A0AA0">
      <w:pPr>
        <w:spacing w:line="360" w:lineRule="auto"/>
        <w:jc w:val="both"/>
        <w:rPr>
          <w:rFonts w:ascii="Arial" w:hAnsi="Arial" w:cs="Arial"/>
          <w:szCs w:val="24"/>
        </w:rPr>
      </w:pPr>
      <w:r w:rsidRPr="008A0AA0">
        <w:rPr>
          <w:rFonts w:ascii="Arial" w:hAnsi="Arial" w:cs="Arial"/>
          <w:szCs w:val="24"/>
        </w:rPr>
        <w:t>Due to the challenges in defining and judging an acceptable provocation, voluntary manslaughter, which is frequently connected to provocation cases, has been the subject of debate. Constructive manslaughter, in which a person dies while committing illegal conduct, has also sparked debate over whether the crime must be intrinsically harmful in order to result in a conviction. The wide range of manslaughter offenses erodes the concepts of proportionality and fairness in the criminal justice system and contributes to varied sentence results.</w:t>
      </w:r>
    </w:p>
    <w:p w14:paraId="483BFE96" w14:textId="77777777" w:rsidR="00064F62" w:rsidRPr="008A0AA0" w:rsidRDefault="00064F62" w:rsidP="008A0AA0">
      <w:pPr>
        <w:pStyle w:val="Heading1"/>
        <w:spacing w:line="360" w:lineRule="auto"/>
        <w:jc w:val="both"/>
        <w:rPr>
          <w:rFonts w:ascii="Arial" w:hAnsi="Arial" w:cs="Arial"/>
          <w:sz w:val="24"/>
          <w:szCs w:val="24"/>
        </w:rPr>
      </w:pPr>
      <w:bookmarkStart w:id="13" w:name="_Toc139485068"/>
      <w:bookmarkStart w:id="14" w:name="_Toc139480082"/>
      <w:r w:rsidRPr="008A0AA0">
        <w:rPr>
          <w:rFonts w:ascii="Arial" w:hAnsi="Arial" w:cs="Arial"/>
          <w:sz w:val="24"/>
          <w:szCs w:val="24"/>
        </w:rPr>
        <w:t>Proposals for Reform:</w:t>
      </w:r>
      <w:bookmarkEnd w:id="13"/>
      <w:bookmarkEnd w:id="14"/>
    </w:p>
    <w:p w14:paraId="0C0DFAA3" w14:textId="1D1FE4FF" w:rsidR="008A0AA0" w:rsidRDefault="00064F62" w:rsidP="008A0AA0">
      <w:pPr>
        <w:spacing w:line="360" w:lineRule="auto"/>
        <w:jc w:val="both"/>
        <w:rPr>
          <w:rFonts w:ascii="Arial" w:hAnsi="Arial" w:cs="Arial"/>
          <w:szCs w:val="24"/>
        </w:rPr>
      </w:pPr>
      <w:r w:rsidRPr="008A0AA0">
        <w:rPr>
          <w:rFonts w:ascii="Arial" w:hAnsi="Arial" w:cs="Arial"/>
          <w:szCs w:val="24"/>
        </w:rPr>
        <w:t xml:space="preserve">The Law Commission and other bodies have proposed several reforms to address the issues within the law governing homicide. The Law Commission, in its 2005 </w:t>
      </w:r>
      <w:r w:rsidR="00DA21FD" w:rsidRPr="008A0AA0">
        <w:rPr>
          <w:rFonts w:ascii="Arial" w:hAnsi="Arial" w:cs="Arial"/>
          <w:noProof/>
          <w:szCs w:val="24"/>
        </w:rPr>
        <w:t>(Law Commission UK, 2013)</w:t>
      </w:r>
      <w:r w:rsidRPr="008A0AA0">
        <w:rPr>
          <w:rFonts w:ascii="Arial" w:hAnsi="Arial" w:cs="Arial"/>
          <w:szCs w:val="24"/>
        </w:rPr>
        <w:t xml:space="preserve"> report, made several proposals for reforming the law governing homicide. These proposals include replacing partial defenses with a new statutory defense of "culpable homicide," reformulating the intent requirement for murder, and simplifying and refining the offense of manslaughter.</w:t>
      </w:r>
    </w:p>
    <w:p w14:paraId="3B1599AA" w14:textId="49A739B2" w:rsidR="00064F62" w:rsidRPr="004272AA" w:rsidRDefault="00064F62" w:rsidP="004272AA">
      <w:pPr>
        <w:rPr>
          <w:b/>
          <w:bCs/>
        </w:rPr>
      </w:pPr>
      <w:r w:rsidRPr="004272AA">
        <w:rPr>
          <w:b/>
          <w:bCs/>
        </w:rPr>
        <w:t>Some of the important proposals to note here are</w:t>
      </w:r>
    </w:p>
    <w:p w14:paraId="4509A7AF" w14:textId="441BCBF2" w:rsidR="00064F62" w:rsidRPr="004272AA" w:rsidRDefault="00064F62" w:rsidP="004272AA">
      <w:pPr>
        <w:rPr>
          <w:b/>
          <w:bCs/>
        </w:rPr>
      </w:pPr>
      <w:bookmarkStart w:id="15" w:name="_Toc139485069"/>
      <w:bookmarkStart w:id="16" w:name="_Toc139480083"/>
      <w:r w:rsidRPr="004272AA">
        <w:rPr>
          <w:b/>
          <w:bCs/>
        </w:rPr>
        <w:t xml:space="preserve">Replacement of Partial </w:t>
      </w:r>
      <w:r w:rsidR="00035341" w:rsidRPr="004272AA">
        <w:rPr>
          <w:b/>
          <w:bCs/>
        </w:rPr>
        <w:t>Defenses</w:t>
      </w:r>
      <w:r w:rsidRPr="004272AA">
        <w:rPr>
          <w:b/>
          <w:bCs/>
        </w:rPr>
        <w:t xml:space="preserve"> with "Culpable Homicide":</w:t>
      </w:r>
      <w:bookmarkEnd w:id="15"/>
      <w:bookmarkEnd w:id="16"/>
    </w:p>
    <w:p w14:paraId="26153E79" w14:textId="665E73C5" w:rsidR="00064F62" w:rsidRPr="008A0AA0" w:rsidRDefault="00064F62" w:rsidP="008A0AA0">
      <w:pPr>
        <w:spacing w:line="360" w:lineRule="auto"/>
        <w:jc w:val="both"/>
        <w:rPr>
          <w:rFonts w:ascii="Arial" w:hAnsi="Arial" w:cs="Arial"/>
          <w:szCs w:val="24"/>
        </w:rPr>
      </w:pPr>
      <w:r w:rsidRPr="008A0AA0">
        <w:rPr>
          <w:rFonts w:ascii="Arial" w:hAnsi="Arial" w:cs="Arial"/>
          <w:szCs w:val="24"/>
        </w:rPr>
        <w:t xml:space="preserve">One key recommendation made by the Law Commission is to create a new legal </w:t>
      </w:r>
      <w:r w:rsidR="00035341" w:rsidRPr="008A0AA0">
        <w:rPr>
          <w:rFonts w:ascii="Arial" w:hAnsi="Arial" w:cs="Arial"/>
          <w:szCs w:val="24"/>
        </w:rPr>
        <w:t>defense</w:t>
      </w:r>
      <w:r w:rsidRPr="008A0AA0">
        <w:rPr>
          <w:rFonts w:ascii="Arial" w:hAnsi="Arial" w:cs="Arial"/>
          <w:szCs w:val="24"/>
        </w:rPr>
        <w:t xml:space="preserve"> known as "culpable homicide" in place of partial </w:t>
      </w:r>
      <w:r w:rsidR="00035341" w:rsidRPr="008A0AA0">
        <w:rPr>
          <w:rFonts w:ascii="Arial" w:hAnsi="Arial" w:cs="Arial"/>
          <w:szCs w:val="24"/>
        </w:rPr>
        <w:t>defenses</w:t>
      </w:r>
      <w:r w:rsidRPr="008A0AA0">
        <w:rPr>
          <w:rFonts w:ascii="Arial" w:hAnsi="Arial" w:cs="Arial"/>
          <w:szCs w:val="24"/>
        </w:rPr>
        <w:t xml:space="preserve"> like reduced culpability and </w:t>
      </w:r>
      <w:r w:rsidRPr="008A0AA0">
        <w:rPr>
          <w:rFonts w:ascii="Arial" w:hAnsi="Arial" w:cs="Arial"/>
          <w:szCs w:val="24"/>
        </w:rPr>
        <w:lastRenderedPageBreak/>
        <w:t>loss of control. With this change, the law will be ma</w:t>
      </w:r>
      <w:r w:rsidR="009A298D">
        <w:rPr>
          <w:rFonts w:ascii="Arial" w:hAnsi="Arial" w:cs="Arial"/>
          <w:szCs w:val="24"/>
        </w:rPr>
        <w:t>de simpler and more consistent</w:t>
      </w:r>
      <w:r w:rsidRPr="008A0AA0">
        <w:rPr>
          <w:rFonts w:ascii="Arial" w:hAnsi="Arial" w:cs="Arial"/>
          <w:szCs w:val="24"/>
        </w:rPr>
        <w:t xml:space="preserve"> applied to situations when the offender is guilty of more than manslaughter but less than murder. As a compromise between murder and manslaughter, culpable homicide would enable a more complex evaluation of the defendant's level of accountability.</w:t>
      </w:r>
    </w:p>
    <w:p w14:paraId="5D05A642" w14:textId="2E4B1ADA" w:rsidR="005F2BB9" w:rsidRPr="004272AA" w:rsidRDefault="00064F62" w:rsidP="004272AA">
      <w:pPr>
        <w:rPr>
          <w:b/>
          <w:bCs/>
        </w:rPr>
      </w:pPr>
      <w:bookmarkStart w:id="17" w:name="_Toc139485070"/>
      <w:bookmarkStart w:id="18" w:name="_Toc139480084"/>
      <w:r w:rsidRPr="004272AA">
        <w:rPr>
          <w:b/>
          <w:bCs/>
        </w:rPr>
        <w:t>Reformulation of the Intent Requirement for Murder:</w:t>
      </w:r>
      <w:bookmarkEnd w:id="17"/>
      <w:bookmarkEnd w:id="18"/>
    </w:p>
    <w:p w14:paraId="6B31A073" w14:textId="66CFC12D" w:rsidR="00064F62" w:rsidRPr="008A0AA0" w:rsidRDefault="00064F62" w:rsidP="008A0AA0">
      <w:pPr>
        <w:spacing w:line="360" w:lineRule="auto"/>
        <w:jc w:val="both"/>
        <w:rPr>
          <w:rFonts w:ascii="Arial" w:hAnsi="Arial" w:cs="Arial"/>
          <w:szCs w:val="24"/>
        </w:rPr>
      </w:pPr>
      <w:r w:rsidRPr="008A0AA0">
        <w:rPr>
          <w:rFonts w:ascii="Arial" w:hAnsi="Arial" w:cs="Arial"/>
          <w:szCs w:val="24"/>
        </w:rPr>
        <w:t>Another proposal is to reformulate the intent requirement for murder. The Law Commission suggests replacing the requirement of an intention to cause grievous bodily harm (GBH) with a broader concept of an intention to cause serious harm. This change aims to capture cases where a defendant's intention to cause serious harm results in death, even if the specific intent was not to cause GBH. This reform would provide a more flexible and realistic approach to determining culpability for murder.</w:t>
      </w:r>
    </w:p>
    <w:p w14:paraId="53BB5AE4" w14:textId="55EB19CF" w:rsidR="00064F62" w:rsidRPr="004272AA" w:rsidRDefault="00064F62" w:rsidP="004272AA">
      <w:pPr>
        <w:rPr>
          <w:b/>
          <w:bCs/>
        </w:rPr>
      </w:pPr>
      <w:bookmarkStart w:id="19" w:name="_Toc139485071"/>
      <w:bookmarkStart w:id="20" w:name="_Toc139480085"/>
      <w:r w:rsidRPr="004272AA">
        <w:rPr>
          <w:b/>
          <w:bCs/>
        </w:rPr>
        <w:t>Simplification and Refinement of Manslaughter:</w:t>
      </w:r>
      <w:bookmarkEnd w:id="19"/>
      <w:bookmarkEnd w:id="20"/>
    </w:p>
    <w:p w14:paraId="65963343" w14:textId="062672C7" w:rsidR="00105081" w:rsidRPr="008A0AA0" w:rsidRDefault="00064F62" w:rsidP="008A0AA0">
      <w:pPr>
        <w:spacing w:line="360" w:lineRule="auto"/>
        <w:jc w:val="both"/>
        <w:rPr>
          <w:rFonts w:ascii="Arial" w:hAnsi="Arial" w:cs="Arial"/>
          <w:szCs w:val="24"/>
        </w:rPr>
      </w:pPr>
      <w:r w:rsidRPr="008A0AA0">
        <w:rPr>
          <w:rFonts w:ascii="Arial" w:hAnsi="Arial" w:cs="Arial"/>
          <w:szCs w:val="24"/>
        </w:rPr>
        <w:t xml:space="preserve">The Law Commission suggests streamlining and improving the criminal charge of manslaughter. The definitions and components of various forms of manslaughter, such as involuntary manslaughter, voluntary manslaughter, and constructive manslaughter, may need to be clarified. The purpose is to give judges and </w:t>
      </w:r>
      <w:r w:rsidR="008A0AA0" w:rsidRPr="008A0AA0">
        <w:rPr>
          <w:rFonts w:ascii="Arial" w:hAnsi="Arial" w:cs="Arial"/>
          <w:szCs w:val="24"/>
        </w:rPr>
        <w:t>jurors’</w:t>
      </w:r>
      <w:r w:rsidRPr="008A0AA0">
        <w:rPr>
          <w:rFonts w:ascii="Arial" w:hAnsi="Arial" w:cs="Arial"/>
          <w:szCs w:val="24"/>
        </w:rPr>
        <w:t xml:space="preserve"> clearer instructions, lessen inconsistent sentencing results, and guarantee that the severity of the offense is accurately represented in the punishment meted out.</w:t>
      </w:r>
    </w:p>
    <w:p w14:paraId="698B2E2B" w14:textId="31C49DCA" w:rsidR="00064F62" w:rsidRPr="004272AA" w:rsidRDefault="00064F62" w:rsidP="004272AA">
      <w:pPr>
        <w:rPr>
          <w:b/>
          <w:bCs/>
        </w:rPr>
      </w:pPr>
      <w:bookmarkStart w:id="21" w:name="_Toc139485072"/>
      <w:bookmarkStart w:id="22" w:name="_Toc139480086"/>
      <w:r w:rsidRPr="004272AA">
        <w:rPr>
          <w:b/>
          <w:bCs/>
        </w:rPr>
        <w:t>Introduction of a New Offense of Reckless Manslaughter:</w:t>
      </w:r>
      <w:bookmarkEnd w:id="21"/>
      <w:bookmarkEnd w:id="22"/>
    </w:p>
    <w:p w14:paraId="75A11DDF" w14:textId="508C468D" w:rsidR="00064F62" w:rsidRPr="008A0AA0" w:rsidRDefault="00064F62" w:rsidP="008A0AA0">
      <w:pPr>
        <w:spacing w:line="360" w:lineRule="auto"/>
        <w:jc w:val="both"/>
        <w:rPr>
          <w:rFonts w:ascii="Arial" w:hAnsi="Arial" w:cs="Arial"/>
          <w:szCs w:val="24"/>
        </w:rPr>
      </w:pPr>
      <w:r w:rsidRPr="008A0AA0">
        <w:rPr>
          <w:rFonts w:ascii="Arial" w:hAnsi="Arial" w:cs="Arial"/>
          <w:szCs w:val="24"/>
        </w:rPr>
        <w:t>Additionally, the Law Commission has advocated for the creation of a new crime called careless manslaughter. This crime would deal with situations where a defendant's careless action result in death but lack the necessary intent for murder. The law would be better prepared to handle circumstances when the defendant's extreme disregard for the risks involved justifies criminal responsibility for manslaughter by creating this offense.</w:t>
      </w:r>
    </w:p>
    <w:p w14:paraId="3AB99163" w14:textId="2D319F44" w:rsidR="00064F62" w:rsidRPr="008A0AA0" w:rsidRDefault="00064F62" w:rsidP="008A0AA0">
      <w:pPr>
        <w:spacing w:line="360" w:lineRule="auto"/>
        <w:jc w:val="both"/>
        <w:rPr>
          <w:rFonts w:ascii="Arial" w:hAnsi="Arial" w:cs="Arial"/>
          <w:szCs w:val="24"/>
        </w:rPr>
      </w:pPr>
      <w:r w:rsidRPr="008A0AA0">
        <w:rPr>
          <w:rFonts w:ascii="Arial" w:hAnsi="Arial" w:cs="Arial"/>
          <w:szCs w:val="24"/>
        </w:rPr>
        <w:t>By addressing the issues and flaws of the existing legal system, these suggested amendments seek to modernize and simplify the legislation governing homicide. The main objective is to establish a clearer, more equitable, and more consistent method for assigning criminal responsibility for unlawful killings while making sure that the proper penalties are meted out in accordance with the gravity of the offense.</w:t>
      </w:r>
    </w:p>
    <w:p w14:paraId="5BD75BDA" w14:textId="2C20C106" w:rsidR="00035341" w:rsidRPr="008A0AA0" w:rsidRDefault="00064F62" w:rsidP="008A0AA0">
      <w:pPr>
        <w:pStyle w:val="Heading1"/>
        <w:spacing w:line="360" w:lineRule="auto"/>
        <w:jc w:val="both"/>
        <w:rPr>
          <w:rFonts w:ascii="Arial" w:hAnsi="Arial" w:cs="Arial"/>
          <w:sz w:val="24"/>
          <w:szCs w:val="24"/>
        </w:rPr>
      </w:pPr>
      <w:bookmarkStart w:id="23" w:name="_Toc139485073"/>
      <w:bookmarkStart w:id="24" w:name="_Toc139480087"/>
      <w:r w:rsidRPr="008A0AA0">
        <w:rPr>
          <w:rFonts w:ascii="Arial" w:hAnsi="Arial" w:cs="Arial"/>
          <w:sz w:val="24"/>
          <w:szCs w:val="24"/>
        </w:rPr>
        <w:lastRenderedPageBreak/>
        <w:t>Government Response</w:t>
      </w:r>
      <w:r w:rsidR="00035341" w:rsidRPr="008A0AA0">
        <w:rPr>
          <w:rFonts w:ascii="Arial" w:hAnsi="Arial" w:cs="Arial"/>
          <w:sz w:val="24"/>
          <w:szCs w:val="24"/>
        </w:rPr>
        <w:t>:</w:t>
      </w:r>
      <w:bookmarkEnd w:id="23"/>
      <w:bookmarkEnd w:id="24"/>
    </w:p>
    <w:p w14:paraId="09C0CA0B" w14:textId="725EE1D1" w:rsidR="00035341" w:rsidRPr="008A0AA0" w:rsidRDefault="00035341" w:rsidP="008A0AA0">
      <w:pPr>
        <w:spacing w:line="360" w:lineRule="auto"/>
        <w:jc w:val="both"/>
        <w:rPr>
          <w:rFonts w:ascii="Arial" w:hAnsi="Arial" w:cs="Arial"/>
          <w:szCs w:val="24"/>
        </w:rPr>
      </w:pPr>
      <w:r w:rsidRPr="008A0AA0">
        <w:rPr>
          <w:rFonts w:ascii="Arial" w:hAnsi="Arial" w:cs="Arial"/>
          <w:szCs w:val="24"/>
        </w:rPr>
        <w:t>Now we will summarize the government’s reaction and response to the above-discussed proposals.</w:t>
      </w:r>
      <w:r w:rsidRPr="008A0AA0">
        <w:rPr>
          <w:rFonts w:ascii="Arial" w:hAnsi="Arial" w:cs="Arial"/>
          <w:szCs w:val="24"/>
        </w:rPr>
        <w:br/>
      </w:r>
      <w:r w:rsidRPr="004272AA">
        <w:rPr>
          <w:b/>
          <w:bCs/>
        </w:rPr>
        <w:t>Acceptance of Proposals:</w:t>
      </w:r>
    </w:p>
    <w:p w14:paraId="3DDDD123" w14:textId="41581745" w:rsidR="00064F62" w:rsidRPr="008A0AA0" w:rsidRDefault="00064F62" w:rsidP="008A0AA0">
      <w:pPr>
        <w:spacing w:line="360" w:lineRule="auto"/>
        <w:jc w:val="both"/>
        <w:rPr>
          <w:rFonts w:ascii="Arial" w:hAnsi="Arial" w:cs="Arial"/>
          <w:szCs w:val="24"/>
        </w:rPr>
      </w:pPr>
      <w:r w:rsidRPr="008A0AA0">
        <w:rPr>
          <w:rFonts w:ascii="Arial" w:hAnsi="Arial" w:cs="Arial"/>
          <w:szCs w:val="24"/>
        </w:rPr>
        <w:t xml:space="preserve">The government has accepted some proposals for reform, demonstrating a recognition of the need for change. For instance, the Law Commission's proposal to replace partial </w:t>
      </w:r>
      <w:r w:rsidR="00035341" w:rsidRPr="008A0AA0">
        <w:rPr>
          <w:rFonts w:ascii="Arial" w:hAnsi="Arial" w:cs="Arial"/>
          <w:szCs w:val="24"/>
        </w:rPr>
        <w:t>defenses</w:t>
      </w:r>
      <w:r w:rsidRPr="008A0AA0">
        <w:rPr>
          <w:rFonts w:ascii="Arial" w:hAnsi="Arial" w:cs="Arial"/>
          <w:szCs w:val="24"/>
        </w:rPr>
        <w:t xml:space="preserve"> with a new defense of "culpable homicide" has been accepted and formed the basis for the Homicide Act 1957</w:t>
      </w:r>
      <w:r w:rsidR="00035341" w:rsidRPr="008A0AA0">
        <w:rPr>
          <w:rFonts w:ascii="Arial" w:hAnsi="Arial" w:cs="Arial"/>
          <w:szCs w:val="24"/>
        </w:rPr>
        <w:t xml:space="preserve"> </w:t>
      </w:r>
      <w:r w:rsidR="008A0AA0">
        <w:rPr>
          <w:rFonts w:ascii="Arial" w:hAnsi="Arial" w:cs="Arial"/>
          <w:noProof/>
          <w:szCs w:val="24"/>
        </w:rPr>
        <w:t>(Legislation.Gov.UK</w:t>
      </w:r>
      <w:r w:rsidR="008A0AA0" w:rsidRPr="008A0AA0">
        <w:rPr>
          <w:rFonts w:ascii="Arial" w:hAnsi="Arial" w:cs="Arial"/>
          <w:noProof/>
          <w:szCs w:val="24"/>
        </w:rPr>
        <w:t>, 1957)</w:t>
      </w:r>
      <w:r w:rsidRPr="008A0AA0">
        <w:rPr>
          <w:rFonts w:ascii="Arial" w:hAnsi="Arial" w:cs="Arial"/>
          <w:szCs w:val="24"/>
        </w:rPr>
        <w:t>. This acceptance reflects an acknowledgment of the deficiencies in the current law and a commitment to addressing them.</w:t>
      </w:r>
    </w:p>
    <w:p w14:paraId="6170DBC0" w14:textId="5DFC45A5" w:rsidR="00035341" w:rsidRPr="004272AA" w:rsidRDefault="00035341" w:rsidP="004272AA">
      <w:pPr>
        <w:rPr>
          <w:b/>
          <w:bCs/>
        </w:rPr>
      </w:pPr>
      <w:bookmarkStart w:id="25" w:name="_Toc139485074"/>
      <w:bookmarkStart w:id="26" w:name="_Toc139480088"/>
      <w:r w:rsidRPr="004272AA">
        <w:rPr>
          <w:b/>
          <w:bCs/>
        </w:rPr>
        <w:t>Rejection of Proposals and Government's Justification:</w:t>
      </w:r>
      <w:bookmarkEnd w:id="25"/>
      <w:bookmarkEnd w:id="26"/>
    </w:p>
    <w:p w14:paraId="4883C66F" w14:textId="48785BD0" w:rsidR="00035341" w:rsidRPr="008A0AA0" w:rsidRDefault="00035341" w:rsidP="008A0AA0">
      <w:pPr>
        <w:spacing w:line="360" w:lineRule="auto"/>
        <w:jc w:val="both"/>
        <w:rPr>
          <w:rFonts w:ascii="Arial" w:hAnsi="Arial" w:cs="Arial"/>
          <w:szCs w:val="24"/>
        </w:rPr>
      </w:pPr>
      <w:r w:rsidRPr="008A0AA0">
        <w:rPr>
          <w:rFonts w:ascii="Arial" w:hAnsi="Arial" w:cs="Arial"/>
          <w:szCs w:val="24"/>
        </w:rPr>
        <w:t>While the government has accepted certain proposals for reform in the law governing homicide, it has also rejected others. The government's decision to reject particular proposals is often influenced by a range of factors, including concerns over legal principles, public opinion, and practical implementation. The government's justifications for rejection must be carefully examined to determine whether they are reasonable and balanced, considering the broader implications for the criminal justice system and society.</w:t>
      </w:r>
    </w:p>
    <w:p w14:paraId="7D918B73" w14:textId="333653A4" w:rsidR="00035341" w:rsidRPr="004272AA" w:rsidRDefault="00035341" w:rsidP="004272AA">
      <w:pPr>
        <w:rPr>
          <w:b/>
          <w:bCs/>
        </w:rPr>
      </w:pPr>
      <w:bookmarkStart w:id="27" w:name="_Toc139485075"/>
      <w:bookmarkStart w:id="28" w:name="_Toc139480089"/>
      <w:r w:rsidRPr="004272AA">
        <w:rPr>
          <w:b/>
          <w:bCs/>
        </w:rPr>
        <w:t>Preservation of Legal Principles:</w:t>
      </w:r>
      <w:bookmarkEnd w:id="27"/>
      <w:bookmarkEnd w:id="28"/>
    </w:p>
    <w:p w14:paraId="11F614D4" w14:textId="25A58592" w:rsidR="00035341" w:rsidRPr="008A0AA0" w:rsidRDefault="00035341" w:rsidP="008A0AA0">
      <w:pPr>
        <w:spacing w:line="360" w:lineRule="auto"/>
        <w:jc w:val="both"/>
        <w:rPr>
          <w:rFonts w:ascii="Arial" w:hAnsi="Arial" w:cs="Arial"/>
          <w:szCs w:val="24"/>
        </w:rPr>
      </w:pPr>
      <w:r w:rsidRPr="008A0AA0">
        <w:rPr>
          <w:rFonts w:ascii="Arial" w:hAnsi="Arial" w:cs="Arial"/>
          <w:szCs w:val="24"/>
        </w:rPr>
        <w:t>The preservation of crucial legal concepts is a common argument for rejecting proposals. Some measures, according to critics, could jeopardize essential values like consistency, predictability, and safeguarding the lives of the defenseless. The administration can claim that some suggestions stray too far from accepted legal norms or run the risk of making the law murky and unpredictable.</w:t>
      </w:r>
    </w:p>
    <w:p w14:paraId="17448551" w14:textId="4D4FFDC7" w:rsidR="00035341" w:rsidRPr="004272AA" w:rsidRDefault="00035341" w:rsidP="004272AA">
      <w:pPr>
        <w:rPr>
          <w:b/>
          <w:bCs/>
        </w:rPr>
      </w:pPr>
      <w:bookmarkStart w:id="29" w:name="_Toc139485076"/>
      <w:bookmarkStart w:id="30" w:name="_Toc139480090"/>
      <w:r w:rsidRPr="004272AA">
        <w:rPr>
          <w:b/>
          <w:bCs/>
        </w:rPr>
        <w:t>Public Opinion and Sentiment:</w:t>
      </w:r>
      <w:bookmarkEnd w:id="29"/>
      <w:bookmarkEnd w:id="30"/>
    </w:p>
    <w:p w14:paraId="7D1A1789" w14:textId="60E422A7" w:rsidR="00035341" w:rsidRDefault="00035341" w:rsidP="008A0AA0">
      <w:pPr>
        <w:spacing w:line="360" w:lineRule="auto"/>
        <w:jc w:val="both"/>
        <w:rPr>
          <w:rFonts w:ascii="Arial" w:hAnsi="Arial" w:cs="Arial"/>
          <w:szCs w:val="24"/>
        </w:rPr>
      </w:pPr>
      <w:r w:rsidRPr="008A0AA0">
        <w:rPr>
          <w:rFonts w:ascii="Arial" w:hAnsi="Arial" w:cs="Arial"/>
          <w:szCs w:val="24"/>
        </w:rPr>
        <w:t>The government's decision-making process is also influenced by public opinion and sentiment. Public perception and attitudes towards certain reforms play a significant role in shaping the government's response. Reforms that are perceived as being too lenient or not reflective of public expectations may face resistance and eventual rejection.</w:t>
      </w:r>
    </w:p>
    <w:p w14:paraId="6BA0D497" w14:textId="77777777" w:rsidR="00DA21FD" w:rsidRPr="008A0AA0" w:rsidRDefault="00DA21FD" w:rsidP="008A0AA0">
      <w:pPr>
        <w:spacing w:line="360" w:lineRule="auto"/>
        <w:jc w:val="both"/>
        <w:rPr>
          <w:rFonts w:ascii="Arial" w:hAnsi="Arial" w:cs="Arial"/>
          <w:szCs w:val="24"/>
        </w:rPr>
      </w:pPr>
    </w:p>
    <w:p w14:paraId="257B3D9D" w14:textId="010E7A23" w:rsidR="00035341" w:rsidRPr="004272AA" w:rsidRDefault="00035341" w:rsidP="004272AA">
      <w:pPr>
        <w:rPr>
          <w:b/>
          <w:bCs/>
        </w:rPr>
      </w:pPr>
      <w:bookmarkStart w:id="31" w:name="_Toc139485077"/>
      <w:bookmarkStart w:id="32" w:name="_Toc139480091"/>
      <w:r w:rsidRPr="004272AA">
        <w:rPr>
          <w:b/>
          <w:bCs/>
        </w:rPr>
        <w:lastRenderedPageBreak/>
        <w:t>Practical Implementation Challenges:</w:t>
      </w:r>
      <w:bookmarkEnd w:id="31"/>
      <w:bookmarkEnd w:id="32"/>
    </w:p>
    <w:p w14:paraId="4C928D6D" w14:textId="1F4A365C" w:rsidR="00035341" w:rsidRPr="008A0AA0" w:rsidRDefault="00035341" w:rsidP="008A0AA0">
      <w:pPr>
        <w:spacing w:line="360" w:lineRule="auto"/>
        <w:jc w:val="both"/>
        <w:rPr>
          <w:rFonts w:ascii="Arial" w:hAnsi="Arial" w:cs="Arial"/>
          <w:szCs w:val="24"/>
        </w:rPr>
      </w:pPr>
      <w:r w:rsidRPr="008A0AA0">
        <w:rPr>
          <w:rFonts w:ascii="Arial" w:hAnsi="Arial" w:cs="Arial"/>
          <w:szCs w:val="24"/>
        </w:rPr>
        <w:t>Another aspect that can cause suggested improvements to be rejected is how practical they are to implement. The administration may argue that some measures would pose serious resource, administrative, or logistical difficulties. Examples of reforms that can be viewed as unrealistic or burdensome include those requiring significant modifications to legal procedures, training for legal experts, or the deployment of additional resources.</w:t>
      </w:r>
    </w:p>
    <w:p w14:paraId="0C4C6233" w14:textId="01CAD811" w:rsidR="00035341" w:rsidRPr="004272AA" w:rsidRDefault="00035341" w:rsidP="004272AA">
      <w:pPr>
        <w:rPr>
          <w:b/>
          <w:bCs/>
        </w:rPr>
      </w:pPr>
      <w:bookmarkStart w:id="33" w:name="_Toc139485078"/>
      <w:bookmarkStart w:id="34" w:name="_Toc139480092"/>
      <w:r w:rsidRPr="004272AA">
        <w:rPr>
          <w:b/>
          <w:bCs/>
        </w:rPr>
        <w:t>Incremental Approach:</w:t>
      </w:r>
      <w:bookmarkEnd w:id="33"/>
      <w:bookmarkEnd w:id="34"/>
    </w:p>
    <w:p w14:paraId="187B69D0" w14:textId="261DC5F0" w:rsidR="00035341" w:rsidRPr="008A0AA0" w:rsidRDefault="00035341" w:rsidP="008A0AA0">
      <w:pPr>
        <w:spacing w:line="360" w:lineRule="auto"/>
        <w:jc w:val="both"/>
        <w:rPr>
          <w:rFonts w:ascii="Arial" w:hAnsi="Arial" w:cs="Arial"/>
          <w:szCs w:val="24"/>
        </w:rPr>
      </w:pPr>
      <w:r w:rsidRPr="008A0AA0">
        <w:rPr>
          <w:rFonts w:ascii="Arial" w:hAnsi="Arial" w:cs="Arial"/>
          <w:szCs w:val="24"/>
        </w:rPr>
        <w:t>An incremental approach to reform may also be the basis for the government's rejection of particular initiatives. The administration might want to handle the problems with the homicide statute gradually and cautiously rather than making extensive adjustments. If undertaken hastily or without giving the potential repercussions enough thought, reforms may be perceived as causing disruptions to the legal system.</w:t>
      </w:r>
    </w:p>
    <w:p w14:paraId="1895D249" w14:textId="0ABC1E12" w:rsidR="00035341" w:rsidRPr="004272AA" w:rsidRDefault="00035341" w:rsidP="004272AA">
      <w:pPr>
        <w:pStyle w:val="Heading1"/>
      </w:pPr>
      <w:bookmarkStart w:id="35" w:name="_Toc139485079"/>
      <w:bookmarkStart w:id="36" w:name="_Toc139480093"/>
      <w:r w:rsidRPr="004272AA">
        <w:t>Conclusion:</w:t>
      </w:r>
      <w:bookmarkEnd w:id="35"/>
      <w:bookmarkEnd w:id="36"/>
    </w:p>
    <w:p w14:paraId="68FC7A22" w14:textId="402EB67D" w:rsidR="003A562F" w:rsidRDefault="00035341" w:rsidP="008A0AA0">
      <w:pPr>
        <w:spacing w:line="360" w:lineRule="auto"/>
        <w:jc w:val="both"/>
        <w:rPr>
          <w:rFonts w:ascii="Arial" w:hAnsi="Arial" w:cs="Arial"/>
          <w:szCs w:val="24"/>
        </w:rPr>
      </w:pPr>
      <w:r w:rsidRPr="008A0AA0">
        <w:rPr>
          <w:rFonts w:ascii="Arial" w:hAnsi="Arial" w:cs="Arial"/>
          <w:szCs w:val="24"/>
        </w:rPr>
        <w:t>In order to promote clarity, uniformity, and fairness in deciding criminal culpability and sentencing in situations of unlawful killings, the legislation governing homicide in England and Wales must be changed. The legal system can be upgraded to better serve the interests of justice and the larger society by carefully analyzing and executing the necessary reforms.</w:t>
      </w:r>
    </w:p>
    <w:p w14:paraId="5B1BC142" w14:textId="77777777" w:rsidR="003A562F" w:rsidRDefault="003A562F">
      <w:pPr>
        <w:rPr>
          <w:rFonts w:ascii="Arial" w:hAnsi="Arial" w:cs="Arial"/>
          <w:szCs w:val="24"/>
        </w:rPr>
      </w:pPr>
      <w:r>
        <w:rPr>
          <w:rFonts w:ascii="Arial" w:hAnsi="Arial" w:cs="Arial"/>
          <w:szCs w:val="24"/>
        </w:rPr>
        <w:br w:type="page"/>
      </w:r>
    </w:p>
    <w:sdt>
      <w:sdtPr>
        <w:rPr>
          <w:rFonts w:asciiTheme="minorHAnsi" w:eastAsiaTheme="minorHAnsi" w:hAnsiTheme="minorHAnsi" w:cstheme="minorBidi"/>
          <w:color w:val="auto"/>
          <w:sz w:val="24"/>
          <w:szCs w:val="22"/>
        </w:rPr>
        <w:id w:val="-443920761"/>
        <w:docPartObj>
          <w:docPartGallery w:val="Bibliographies"/>
          <w:docPartUnique/>
        </w:docPartObj>
      </w:sdtPr>
      <w:sdtEndPr/>
      <w:sdtContent>
        <w:p w14:paraId="1C176F0F" w14:textId="4DD4AB8B" w:rsidR="004272AA" w:rsidRDefault="004272AA">
          <w:pPr>
            <w:pStyle w:val="Heading1"/>
          </w:pPr>
          <w:r>
            <w:t>References</w:t>
          </w:r>
        </w:p>
        <w:p w14:paraId="086FBA10" w14:textId="51C74BA9" w:rsidR="003A562F" w:rsidRDefault="00EB3AFB" w:rsidP="003A562F">
          <w:pPr>
            <w:pStyle w:val="Bibliography"/>
            <w:spacing w:line="360" w:lineRule="auto"/>
            <w:jc w:val="both"/>
            <w:rPr>
              <w:rFonts w:ascii="Arial" w:hAnsi="Arial" w:cs="Arial"/>
              <w:noProof/>
              <w:szCs w:val="24"/>
            </w:rPr>
          </w:pPr>
          <w:r>
            <w:rPr>
              <w:noProof/>
            </w:rPr>
            <w:t>Anzar, T., (2020)</w:t>
          </w:r>
          <w:r w:rsidR="004272AA" w:rsidRPr="003A562F">
            <w:rPr>
              <w:noProof/>
            </w:rPr>
            <w:t xml:space="preserve"> </w:t>
          </w:r>
          <w:r w:rsidR="003A562F" w:rsidRPr="003A562F">
            <w:rPr>
              <w:iCs/>
              <w:noProof/>
            </w:rPr>
            <w:t>R v Rose (2017)</w:t>
          </w:r>
          <w:r w:rsidR="004272AA">
            <w:rPr>
              <w:i/>
              <w:iCs/>
              <w:noProof/>
            </w:rPr>
            <w:t xml:space="preserve"> EWCA Crim 1168. </w:t>
          </w:r>
          <w:r w:rsidR="004272AA">
            <w:rPr>
              <w:noProof/>
            </w:rPr>
            <w:t xml:space="preserve">[Online] </w:t>
          </w:r>
          <w:r w:rsidR="004272AA">
            <w:rPr>
              <w:noProof/>
            </w:rPr>
            <w:br/>
            <w:t xml:space="preserve">Available at: </w:t>
          </w:r>
          <w:hyperlink r:id="rId7" w:history="1">
            <w:r w:rsidRPr="00BD4BDD">
              <w:rPr>
                <w:rStyle w:val="Hyperlink"/>
                <w:noProof/>
              </w:rPr>
              <w:t>https://lawprof.co/criminal-law/homicide-cases/r-v-rose-2017-ewca-crim-1168</w:t>
            </w:r>
          </w:hyperlink>
          <w:r>
            <w:rPr>
              <w:noProof/>
            </w:rPr>
            <w:t xml:space="preserve"> </w:t>
          </w:r>
          <w:r w:rsidR="003A562F">
            <w:rPr>
              <w:noProof/>
              <w:u w:val="single"/>
            </w:rPr>
            <w:t xml:space="preserve"> </w:t>
          </w:r>
          <w:r w:rsidR="003A562F">
            <w:rPr>
              <w:rFonts w:ascii="Arial" w:hAnsi="Arial" w:cs="Arial"/>
              <w:noProof/>
              <w:szCs w:val="24"/>
            </w:rPr>
            <w:t>(Accesed: 04-Jul-2023)</w:t>
          </w:r>
        </w:p>
        <w:p w14:paraId="1E329506" w14:textId="30FEA830" w:rsidR="003A562F" w:rsidRDefault="004272AA" w:rsidP="003A562F">
          <w:pPr>
            <w:pStyle w:val="Bibliography"/>
            <w:spacing w:line="360" w:lineRule="auto"/>
            <w:jc w:val="both"/>
            <w:rPr>
              <w:rFonts w:ascii="Arial" w:hAnsi="Arial" w:cs="Arial"/>
              <w:noProof/>
              <w:szCs w:val="24"/>
            </w:rPr>
          </w:pPr>
          <w:r>
            <w:rPr>
              <w:noProof/>
            </w:rPr>
            <w:t xml:space="preserve">Law Commission UK, </w:t>
          </w:r>
          <w:r w:rsidR="003A562F">
            <w:rPr>
              <w:noProof/>
            </w:rPr>
            <w:t>(</w:t>
          </w:r>
          <w:r>
            <w:rPr>
              <w:noProof/>
            </w:rPr>
            <w:t>2013</w:t>
          </w:r>
          <w:r w:rsidR="003A562F">
            <w:rPr>
              <w:noProof/>
            </w:rPr>
            <w:t>)</w:t>
          </w:r>
          <w:r>
            <w:rPr>
              <w:noProof/>
            </w:rPr>
            <w:t xml:space="preserve"> </w:t>
          </w:r>
          <w:r>
            <w:rPr>
              <w:i/>
              <w:iCs/>
              <w:noProof/>
            </w:rPr>
            <w:t xml:space="preserve">Unfair Terms in Contracts. </w:t>
          </w:r>
          <w:r>
            <w:rPr>
              <w:noProof/>
            </w:rPr>
            <w:t xml:space="preserve">[Online] </w:t>
          </w:r>
          <w:r>
            <w:rPr>
              <w:noProof/>
            </w:rPr>
            <w:br/>
            <w:t xml:space="preserve">Available at: </w:t>
          </w:r>
          <w:hyperlink r:id="rId8" w:anchor=":~:text=The%202005%20Report&amp;text=The%20two%20Law%20Commissions%20recommended,employing%209%20or%20fewer%20staff" w:history="1">
            <w:r w:rsidR="00EB3AFB" w:rsidRPr="00BD4BDD">
              <w:rPr>
                <w:rStyle w:val="Hyperlink"/>
                <w:noProof/>
              </w:rPr>
              <w:t>https://www.lawcom.gov.uk/project/unfair-terms-in-contracts/#:~:text=The%202005%20Report&amp;text=The%20two%20Law%20Commissions%20recommended,employing%209%20or%20fewer%20staff</w:t>
            </w:r>
          </w:hyperlink>
          <w:r w:rsidR="003A562F">
            <w:rPr>
              <w:noProof/>
              <w:u w:val="single"/>
            </w:rPr>
            <w:t>)</w:t>
          </w:r>
          <w:r w:rsidR="00EB3AFB">
            <w:rPr>
              <w:noProof/>
            </w:rPr>
            <w:t xml:space="preserve"> </w:t>
          </w:r>
          <w:r w:rsidR="003A562F">
            <w:rPr>
              <w:rFonts w:ascii="Arial" w:hAnsi="Arial" w:cs="Arial"/>
              <w:noProof/>
              <w:szCs w:val="24"/>
            </w:rPr>
            <w:t>(Accesed: 02-Jul-2023)</w:t>
          </w:r>
        </w:p>
        <w:p w14:paraId="25E1D26B" w14:textId="773118C9" w:rsidR="003A562F" w:rsidRDefault="004272AA" w:rsidP="003A562F">
          <w:pPr>
            <w:pStyle w:val="Bibliography"/>
            <w:spacing w:line="360" w:lineRule="auto"/>
            <w:jc w:val="both"/>
            <w:rPr>
              <w:rFonts w:ascii="Arial" w:hAnsi="Arial" w:cs="Arial"/>
              <w:noProof/>
              <w:szCs w:val="24"/>
            </w:rPr>
          </w:pPr>
          <w:r>
            <w:rPr>
              <w:noProof/>
            </w:rPr>
            <w:t xml:space="preserve">Law Teacher, </w:t>
          </w:r>
          <w:r w:rsidR="003A562F">
            <w:rPr>
              <w:noProof/>
            </w:rPr>
            <w:t>(</w:t>
          </w:r>
          <w:r>
            <w:rPr>
              <w:noProof/>
            </w:rPr>
            <w:t>2012</w:t>
          </w:r>
          <w:r w:rsidR="003A562F">
            <w:rPr>
              <w:noProof/>
            </w:rPr>
            <w:t>)</w:t>
          </w:r>
          <w:r>
            <w:rPr>
              <w:noProof/>
            </w:rPr>
            <w:t xml:space="preserve"> </w:t>
          </w:r>
          <w:r>
            <w:rPr>
              <w:i/>
              <w:iCs/>
              <w:noProof/>
            </w:rPr>
            <w:t xml:space="preserve">R v. Dowds (2012). </w:t>
          </w:r>
          <w:r>
            <w:rPr>
              <w:noProof/>
            </w:rPr>
            <w:t xml:space="preserve">[Online] </w:t>
          </w:r>
          <w:r>
            <w:rPr>
              <w:noProof/>
            </w:rPr>
            <w:br/>
            <w:t xml:space="preserve">Available at: </w:t>
          </w:r>
          <w:hyperlink r:id="rId9" w:history="1">
            <w:r w:rsidR="00EB3AFB" w:rsidRPr="00BD4BDD">
              <w:rPr>
                <w:rStyle w:val="Hyperlink"/>
                <w:noProof/>
              </w:rPr>
              <w:t>https://www.lawteacher.net/cases/r-v-dowds.php</w:t>
            </w:r>
          </w:hyperlink>
          <w:r w:rsidR="00EB3AFB">
            <w:rPr>
              <w:noProof/>
            </w:rPr>
            <w:t xml:space="preserve"> </w:t>
          </w:r>
          <w:r w:rsidR="003A562F">
            <w:rPr>
              <w:rFonts w:ascii="Arial" w:hAnsi="Arial" w:cs="Arial"/>
              <w:noProof/>
              <w:szCs w:val="24"/>
            </w:rPr>
            <w:t>(Accesed: 03-Jul-2023)</w:t>
          </w:r>
        </w:p>
        <w:p w14:paraId="10C48ADF" w14:textId="722CA5D1" w:rsidR="004272AA" w:rsidRDefault="004272AA" w:rsidP="004272AA">
          <w:pPr>
            <w:pStyle w:val="Bibliography"/>
            <w:rPr>
              <w:noProof/>
            </w:rPr>
          </w:pPr>
          <w:r>
            <w:rPr>
              <w:noProof/>
            </w:rPr>
            <w:t>Le</w:t>
          </w:r>
          <w:r w:rsidR="00EB3AFB">
            <w:rPr>
              <w:noProof/>
            </w:rPr>
            <w:t>gislation.Gov.UK</w:t>
          </w:r>
          <w:r>
            <w:rPr>
              <w:noProof/>
            </w:rPr>
            <w:t xml:space="preserve">, 1957. </w:t>
          </w:r>
          <w:r>
            <w:rPr>
              <w:i/>
              <w:iCs/>
              <w:noProof/>
            </w:rPr>
            <w:t xml:space="preserve">Homicide Act 1957. </w:t>
          </w:r>
          <w:r>
            <w:rPr>
              <w:noProof/>
            </w:rPr>
            <w:t xml:space="preserve">[Online] </w:t>
          </w:r>
          <w:r>
            <w:rPr>
              <w:noProof/>
            </w:rPr>
            <w:br/>
            <w:t xml:space="preserve">Available at: </w:t>
          </w:r>
          <w:hyperlink r:id="rId10" w:history="1">
            <w:r w:rsidR="00EB3AFB" w:rsidRPr="00BD4BDD">
              <w:rPr>
                <w:rStyle w:val="Hyperlink"/>
                <w:noProof/>
              </w:rPr>
              <w:t>https://www.legislation.gov.uk/ukpga/Eliz2/5-6/11/contents</w:t>
            </w:r>
          </w:hyperlink>
          <w:r w:rsidR="00EB3AFB">
            <w:rPr>
              <w:noProof/>
              <w:u w:val="single"/>
            </w:rPr>
            <w:t xml:space="preserve"> </w:t>
          </w:r>
          <w:r w:rsidR="00EB3AFB">
            <w:rPr>
              <w:rFonts w:ascii="Arial" w:hAnsi="Arial" w:cs="Arial"/>
              <w:noProof/>
              <w:szCs w:val="24"/>
            </w:rPr>
            <w:t>(Accesed: 03-Jul-2023)</w:t>
          </w:r>
        </w:p>
        <w:p w14:paraId="77288864" w14:textId="488025A5" w:rsidR="003A562F" w:rsidRDefault="00EB3AFB" w:rsidP="003A562F">
          <w:pPr>
            <w:pStyle w:val="Bibliography"/>
            <w:spacing w:line="360" w:lineRule="auto"/>
            <w:jc w:val="both"/>
            <w:rPr>
              <w:rFonts w:ascii="Arial" w:hAnsi="Arial" w:cs="Arial"/>
              <w:noProof/>
              <w:szCs w:val="24"/>
            </w:rPr>
          </w:pPr>
          <w:r>
            <w:rPr>
              <w:noProof/>
            </w:rPr>
            <w:t>Legislation.Gov.UK</w:t>
          </w:r>
          <w:r w:rsidR="004272AA" w:rsidRPr="00EB3AFB">
            <w:rPr>
              <w:noProof/>
            </w:rPr>
            <w:t xml:space="preserve">, </w:t>
          </w:r>
          <w:r>
            <w:rPr>
              <w:noProof/>
            </w:rPr>
            <w:t>(</w:t>
          </w:r>
          <w:r w:rsidR="004272AA" w:rsidRPr="00EB3AFB">
            <w:rPr>
              <w:noProof/>
            </w:rPr>
            <w:t>1957</w:t>
          </w:r>
          <w:r>
            <w:rPr>
              <w:noProof/>
            </w:rPr>
            <w:t>)</w:t>
          </w:r>
          <w:r w:rsidR="004272AA" w:rsidRPr="00EB3AFB">
            <w:rPr>
              <w:noProof/>
            </w:rPr>
            <w:t xml:space="preserve"> </w:t>
          </w:r>
          <w:r w:rsidR="004272AA" w:rsidRPr="00EB3AFB">
            <w:rPr>
              <w:i/>
              <w:iCs/>
              <w:noProof/>
            </w:rPr>
            <w:t>Homicide Act 1957.</w:t>
          </w:r>
          <w:r w:rsidR="004272AA">
            <w:rPr>
              <w:i/>
              <w:iCs/>
              <w:noProof/>
            </w:rPr>
            <w:t xml:space="preserve"> </w:t>
          </w:r>
          <w:r w:rsidR="004272AA">
            <w:rPr>
              <w:noProof/>
            </w:rPr>
            <w:t xml:space="preserve">[Online] </w:t>
          </w:r>
          <w:r w:rsidR="004272AA">
            <w:rPr>
              <w:noProof/>
            </w:rPr>
            <w:br/>
            <w:t xml:space="preserve">Available at: </w:t>
          </w:r>
          <w:hyperlink r:id="rId11" w:history="1">
            <w:r w:rsidRPr="00BD4BDD">
              <w:rPr>
                <w:rStyle w:val="Hyperlink"/>
                <w:noProof/>
              </w:rPr>
              <w:t>https://www.legislation.gov.uk/ukpga/Eliz2/5-6/11/contents</w:t>
            </w:r>
          </w:hyperlink>
          <w:r>
            <w:rPr>
              <w:noProof/>
            </w:rPr>
            <w:t xml:space="preserve"> </w:t>
          </w:r>
          <w:r w:rsidR="003A562F">
            <w:rPr>
              <w:rFonts w:ascii="Arial" w:hAnsi="Arial" w:cs="Arial"/>
              <w:noProof/>
              <w:szCs w:val="24"/>
            </w:rPr>
            <w:t>(Accesed: 04-Jul-2023)</w:t>
          </w:r>
        </w:p>
        <w:p w14:paraId="4A0C4BB2" w14:textId="2A690199" w:rsidR="004272AA" w:rsidRPr="003A562F" w:rsidRDefault="004272AA" w:rsidP="003A562F">
          <w:pPr>
            <w:pStyle w:val="Bibliography"/>
            <w:spacing w:line="360" w:lineRule="auto"/>
            <w:jc w:val="both"/>
            <w:rPr>
              <w:rFonts w:ascii="Arial" w:hAnsi="Arial" w:cs="Arial"/>
              <w:noProof/>
              <w:szCs w:val="24"/>
            </w:rPr>
          </w:pPr>
          <w:r>
            <w:rPr>
              <w:noProof/>
            </w:rPr>
            <w:t xml:space="preserve">The Law Teacher, </w:t>
          </w:r>
          <w:r w:rsidR="00EB3AFB">
            <w:rPr>
              <w:noProof/>
            </w:rPr>
            <w:t>(</w:t>
          </w:r>
          <w:r>
            <w:rPr>
              <w:noProof/>
            </w:rPr>
            <w:t>2021</w:t>
          </w:r>
          <w:r w:rsidR="00EB3AFB">
            <w:rPr>
              <w:noProof/>
            </w:rPr>
            <w:t>)</w:t>
          </w:r>
          <w:r>
            <w:rPr>
              <w:noProof/>
            </w:rPr>
            <w:t xml:space="preserve"> </w:t>
          </w:r>
          <w:r w:rsidR="00EB3AFB">
            <w:rPr>
              <w:i/>
              <w:iCs/>
              <w:noProof/>
            </w:rPr>
            <w:t xml:space="preserve">R v. Kennedy </w:t>
          </w:r>
          <w:r>
            <w:rPr>
              <w:i/>
              <w:iCs/>
              <w:noProof/>
            </w:rPr>
            <w:t xml:space="preserve">2007. </w:t>
          </w:r>
          <w:r>
            <w:rPr>
              <w:noProof/>
            </w:rPr>
            <w:t xml:space="preserve">[Online] </w:t>
          </w:r>
          <w:r>
            <w:rPr>
              <w:noProof/>
            </w:rPr>
            <w:br/>
            <w:t xml:space="preserve">Available at: </w:t>
          </w:r>
          <w:hyperlink r:id="rId12" w:history="1">
            <w:r w:rsidR="00EB3AFB" w:rsidRPr="00BD4BDD">
              <w:rPr>
                <w:rStyle w:val="Hyperlink"/>
                <w:noProof/>
              </w:rPr>
              <w:t>https://www.lawteacher.net/cases/r-v-kennedy.php</w:t>
            </w:r>
          </w:hyperlink>
          <w:r w:rsidR="00EB3AFB">
            <w:rPr>
              <w:noProof/>
            </w:rPr>
            <w:t xml:space="preserve"> </w:t>
          </w:r>
          <w:r w:rsidR="003A562F">
            <w:rPr>
              <w:rFonts w:ascii="Arial" w:hAnsi="Arial" w:cs="Arial"/>
              <w:noProof/>
              <w:szCs w:val="24"/>
            </w:rPr>
            <w:t>(Accesed: 04-Jul-2023)</w:t>
          </w:r>
        </w:p>
      </w:sdtContent>
    </w:sdt>
    <w:p w14:paraId="0E4606C8" w14:textId="28C15645" w:rsidR="004272AA" w:rsidRDefault="004272AA" w:rsidP="004272AA"/>
    <w:p w14:paraId="7EC4A90E" w14:textId="1FB1D306" w:rsidR="00035341" w:rsidRPr="00841626" w:rsidRDefault="00035341" w:rsidP="00841626"/>
    <w:sectPr w:rsidR="00035341" w:rsidRPr="00841626" w:rsidSect="008A0AA0">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5B7669"/>
    <w:multiLevelType w:val="hybridMultilevel"/>
    <w:tmpl w:val="C9182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081"/>
    <w:rsid w:val="00035341"/>
    <w:rsid w:val="00064F62"/>
    <w:rsid w:val="00105081"/>
    <w:rsid w:val="00211E4C"/>
    <w:rsid w:val="00347C0D"/>
    <w:rsid w:val="003A562F"/>
    <w:rsid w:val="004272AA"/>
    <w:rsid w:val="00592DB9"/>
    <w:rsid w:val="005F2BB9"/>
    <w:rsid w:val="00617D0E"/>
    <w:rsid w:val="00841626"/>
    <w:rsid w:val="008422BC"/>
    <w:rsid w:val="008A0AA0"/>
    <w:rsid w:val="009A298D"/>
    <w:rsid w:val="00A2019C"/>
    <w:rsid w:val="00DA21FD"/>
    <w:rsid w:val="00EB3AFB"/>
    <w:rsid w:val="00ED73A2"/>
    <w:rsid w:val="00F4329C"/>
    <w:rsid w:val="00F547E8"/>
    <w:rsid w:val="00FA2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692FE"/>
  <w15:chartTrackingRefBased/>
  <w15:docId w15:val="{BC34633D-9EEC-4906-9C2E-57D93C364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432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7D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7D0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50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08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432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7D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7D0E"/>
    <w:rPr>
      <w:rFonts w:asciiTheme="majorHAnsi" w:eastAsiaTheme="majorEastAsia" w:hAnsiTheme="majorHAnsi" w:cstheme="majorBidi"/>
      <w:color w:val="1F3763" w:themeColor="accent1" w:themeShade="7F"/>
      <w:szCs w:val="24"/>
    </w:rPr>
  </w:style>
  <w:style w:type="paragraph" w:styleId="Bibliography">
    <w:name w:val="Bibliography"/>
    <w:basedOn w:val="Normal"/>
    <w:next w:val="Normal"/>
    <w:uiPriority w:val="37"/>
    <w:unhideWhenUsed/>
    <w:rsid w:val="00035341"/>
  </w:style>
  <w:style w:type="paragraph" w:styleId="TOCHeading">
    <w:name w:val="TOC Heading"/>
    <w:basedOn w:val="Heading1"/>
    <w:next w:val="Normal"/>
    <w:uiPriority w:val="39"/>
    <w:unhideWhenUsed/>
    <w:qFormat/>
    <w:rsid w:val="00035341"/>
    <w:pPr>
      <w:outlineLvl w:val="9"/>
    </w:pPr>
    <w:rPr>
      <w:kern w:val="0"/>
      <w14:ligatures w14:val="none"/>
    </w:rPr>
  </w:style>
  <w:style w:type="paragraph" w:styleId="TOC1">
    <w:name w:val="toc 1"/>
    <w:basedOn w:val="Normal"/>
    <w:next w:val="Normal"/>
    <w:autoRedefine/>
    <w:uiPriority w:val="39"/>
    <w:unhideWhenUsed/>
    <w:rsid w:val="00035341"/>
    <w:pPr>
      <w:spacing w:after="100"/>
    </w:pPr>
  </w:style>
  <w:style w:type="paragraph" w:styleId="TOC2">
    <w:name w:val="toc 2"/>
    <w:basedOn w:val="Normal"/>
    <w:next w:val="Normal"/>
    <w:autoRedefine/>
    <w:uiPriority w:val="39"/>
    <w:unhideWhenUsed/>
    <w:rsid w:val="00035341"/>
    <w:pPr>
      <w:spacing w:after="100"/>
      <w:ind w:left="240"/>
    </w:pPr>
  </w:style>
  <w:style w:type="paragraph" w:styleId="TOC3">
    <w:name w:val="toc 3"/>
    <w:basedOn w:val="Normal"/>
    <w:next w:val="Normal"/>
    <w:autoRedefine/>
    <w:uiPriority w:val="39"/>
    <w:unhideWhenUsed/>
    <w:rsid w:val="00035341"/>
    <w:pPr>
      <w:spacing w:after="100"/>
      <w:ind w:left="480"/>
    </w:pPr>
  </w:style>
  <w:style w:type="character" w:styleId="Hyperlink">
    <w:name w:val="Hyperlink"/>
    <w:basedOn w:val="DefaultParagraphFont"/>
    <w:uiPriority w:val="99"/>
    <w:unhideWhenUsed/>
    <w:rsid w:val="000353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8629792">
      <w:bodyDiv w:val="1"/>
      <w:marLeft w:val="0"/>
      <w:marRight w:val="0"/>
      <w:marTop w:val="0"/>
      <w:marBottom w:val="0"/>
      <w:divBdr>
        <w:top w:val="none" w:sz="0" w:space="0" w:color="auto"/>
        <w:left w:val="none" w:sz="0" w:space="0" w:color="auto"/>
        <w:bottom w:val="none" w:sz="0" w:space="0" w:color="auto"/>
        <w:right w:val="none" w:sz="0" w:space="0" w:color="auto"/>
      </w:divBdr>
    </w:div>
    <w:div w:id="454099631">
      <w:bodyDiv w:val="1"/>
      <w:marLeft w:val="0"/>
      <w:marRight w:val="0"/>
      <w:marTop w:val="0"/>
      <w:marBottom w:val="0"/>
      <w:divBdr>
        <w:top w:val="none" w:sz="0" w:space="0" w:color="auto"/>
        <w:left w:val="none" w:sz="0" w:space="0" w:color="auto"/>
        <w:bottom w:val="none" w:sz="0" w:space="0" w:color="auto"/>
        <w:right w:val="none" w:sz="0" w:space="0" w:color="auto"/>
      </w:divBdr>
    </w:div>
    <w:div w:id="458649340">
      <w:bodyDiv w:val="1"/>
      <w:marLeft w:val="0"/>
      <w:marRight w:val="0"/>
      <w:marTop w:val="0"/>
      <w:marBottom w:val="0"/>
      <w:divBdr>
        <w:top w:val="none" w:sz="0" w:space="0" w:color="auto"/>
        <w:left w:val="none" w:sz="0" w:space="0" w:color="auto"/>
        <w:bottom w:val="none" w:sz="0" w:space="0" w:color="auto"/>
        <w:right w:val="none" w:sz="0" w:space="0" w:color="auto"/>
      </w:divBdr>
    </w:div>
    <w:div w:id="881795017">
      <w:bodyDiv w:val="1"/>
      <w:marLeft w:val="0"/>
      <w:marRight w:val="0"/>
      <w:marTop w:val="0"/>
      <w:marBottom w:val="0"/>
      <w:divBdr>
        <w:top w:val="none" w:sz="0" w:space="0" w:color="auto"/>
        <w:left w:val="none" w:sz="0" w:space="0" w:color="auto"/>
        <w:bottom w:val="none" w:sz="0" w:space="0" w:color="auto"/>
        <w:right w:val="none" w:sz="0" w:space="0" w:color="auto"/>
      </w:divBdr>
    </w:div>
    <w:div w:id="907688751">
      <w:bodyDiv w:val="1"/>
      <w:marLeft w:val="0"/>
      <w:marRight w:val="0"/>
      <w:marTop w:val="0"/>
      <w:marBottom w:val="0"/>
      <w:divBdr>
        <w:top w:val="none" w:sz="0" w:space="0" w:color="auto"/>
        <w:left w:val="none" w:sz="0" w:space="0" w:color="auto"/>
        <w:bottom w:val="none" w:sz="0" w:space="0" w:color="auto"/>
        <w:right w:val="none" w:sz="0" w:space="0" w:color="auto"/>
      </w:divBdr>
    </w:div>
    <w:div w:id="1185168227">
      <w:bodyDiv w:val="1"/>
      <w:marLeft w:val="0"/>
      <w:marRight w:val="0"/>
      <w:marTop w:val="0"/>
      <w:marBottom w:val="0"/>
      <w:divBdr>
        <w:top w:val="none" w:sz="0" w:space="0" w:color="auto"/>
        <w:left w:val="none" w:sz="0" w:space="0" w:color="auto"/>
        <w:bottom w:val="none" w:sz="0" w:space="0" w:color="auto"/>
        <w:right w:val="none" w:sz="0" w:space="0" w:color="auto"/>
      </w:divBdr>
    </w:div>
    <w:div w:id="1736513968">
      <w:bodyDiv w:val="1"/>
      <w:marLeft w:val="0"/>
      <w:marRight w:val="0"/>
      <w:marTop w:val="0"/>
      <w:marBottom w:val="0"/>
      <w:divBdr>
        <w:top w:val="none" w:sz="0" w:space="0" w:color="auto"/>
        <w:left w:val="none" w:sz="0" w:space="0" w:color="auto"/>
        <w:bottom w:val="none" w:sz="0" w:space="0" w:color="auto"/>
        <w:right w:val="none" w:sz="0" w:space="0" w:color="auto"/>
      </w:divBdr>
    </w:div>
    <w:div w:id="1848977357">
      <w:bodyDiv w:val="1"/>
      <w:marLeft w:val="0"/>
      <w:marRight w:val="0"/>
      <w:marTop w:val="0"/>
      <w:marBottom w:val="0"/>
      <w:divBdr>
        <w:top w:val="none" w:sz="0" w:space="0" w:color="auto"/>
        <w:left w:val="none" w:sz="0" w:space="0" w:color="auto"/>
        <w:bottom w:val="none" w:sz="0" w:space="0" w:color="auto"/>
        <w:right w:val="none" w:sz="0" w:space="0" w:color="auto"/>
      </w:divBdr>
    </w:div>
    <w:div w:id="1984382725">
      <w:bodyDiv w:val="1"/>
      <w:marLeft w:val="0"/>
      <w:marRight w:val="0"/>
      <w:marTop w:val="0"/>
      <w:marBottom w:val="0"/>
      <w:divBdr>
        <w:top w:val="none" w:sz="0" w:space="0" w:color="auto"/>
        <w:left w:val="none" w:sz="0" w:space="0" w:color="auto"/>
        <w:bottom w:val="none" w:sz="0" w:space="0" w:color="auto"/>
        <w:right w:val="none" w:sz="0" w:space="0" w:color="auto"/>
      </w:divBdr>
    </w:div>
    <w:div w:id="199468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com.gov.uk/project/unfair-terms-in-contrac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awprof.co/criminal-law/homicide-cases/r-v-rose-2017-ewca-crim-1168" TargetMode="External"/><Relationship Id="rId12" Type="http://schemas.openxmlformats.org/officeDocument/2006/relationships/hyperlink" Target="https://www.lawteacher.net/cases/r-v-kennedy.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egislation.gov.uk/ukpga/Eliz2/5-6/11/contents" TargetMode="External"/><Relationship Id="rId5" Type="http://schemas.openxmlformats.org/officeDocument/2006/relationships/webSettings" Target="webSettings.xml"/><Relationship Id="rId10" Type="http://schemas.openxmlformats.org/officeDocument/2006/relationships/hyperlink" Target="https://www.legislation.gov.uk/ukpga/Eliz2/5-6/11/contents" TargetMode="External"/><Relationship Id="rId4" Type="http://schemas.openxmlformats.org/officeDocument/2006/relationships/settings" Target="settings.xml"/><Relationship Id="rId9" Type="http://schemas.openxmlformats.org/officeDocument/2006/relationships/hyperlink" Target="https://www.lawteacher.net/cases/r-v-dowds.ph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Leg57</b:Tag>
    <b:SourceType>InternetSite</b:SourceType>
    <b:Guid>{00164A54-F8B9-458A-AC31-D83A23D781E7}</b:Guid>
    <b:Author>
      <b:Author>
        <b:Corporate>Legislation.gov.uk</b:Corporate>
      </b:Author>
    </b:Author>
    <b:Title>Homicide Act 1957</b:Title>
    <b:Year>1957</b:Year>
    <b:URL>https://www.legislation.gov.uk/ukpga/Eliz2/5-6/11/contents</b:URL>
    <b:RefOrder>5</b:RefOrder>
  </b:Source>
  <b:Source>
    <b:Tag>Law13</b:Tag>
    <b:SourceType>InternetSite</b:SourceType>
    <b:Guid>{404E155A-CF51-4C44-ABEA-48EC3B9FB569}</b:Guid>
    <b:Author>
      <b:Author>
        <b:Corporate>Law Commission UK</b:Corporate>
      </b:Author>
    </b:Author>
    <b:Title>Unfair Terms in Contracts</b:Title>
    <b:Year>2013</b:Year>
    <b:URL>https://www.lawcom.gov.uk/project/unfair-terms-in-contracts/#:~:text=The%202005%20Report&amp;text=The%20two%20Law%20Commissions%20recommended,employing%209%20or%20fewer%20staff).</b:URL>
    <b:RefOrder>4</b:RefOrder>
  </b:Source>
  <b:Source>
    <b:Tag>Leg</b:Tag>
    <b:SourceType>InternetSite</b:SourceType>
    <b:Guid>{F33C860D-0ADB-4DAF-BA35-331CA4ACE73E}</b:Guid>
    <b:Author>
      <b:Author>
        <b:Corporate>Legislation.Gov.Uk</b:Corporate>
      </b:Author>
    </b:Author>
    <b:Title>Homicide Act 1957</b:Title>
    <b:URL>https://www.legislation.gov.uk/ukpga/Eliz2/5-6/11/contents</b:URL>
    <b:Year>1957</b:Year>
    <b:RefOrder>6</b:RefOrder>
  </b:Source>
  <b:Source>
    <b:Tag>Law12</b:Tag>
    <b:SourceType>InternetSite</b:SourceType>
    <b:Guid>{98CE4E61-2D0F-44A7-B7D1-5B99B71A42E0}</b:Guid>
    <b:Author>
      <b:Author>
        <b:Corporate>Law Teacher</b:Corporate>
      </b:Author>
    </b:Author>
    <b:Title>R v. Dowds (2012)</b:Title>
    <b:Year>2012</b:Year>
    <b:URL>https://www.lawteacher.net/cases/r-v-dowds.php</b:URL>
    <b:RefOrder>1</b:RefOrder>
  </b:Source>
  <b:Source>
    <b:Tag>The21</b:Tag>
    <b:SourceType>InternetSite</b:SourceType>
    <b:Guid>{CE690B58-D7BF-4AC4-AD29-287007E1071F}</b:Guid>
    <b:Author>
      <b:Author>
        <b:Corporate>The Law Teacher</b:Corporate>
      </b:Author>
    </b:Author>
    <b:Title>R v. Kennedy (2007</b:Title>
    <b:Year>2021</b:Year>
    <b:URL>https://www.lawteacher.net/cases/r-v-kennedy.php</b:URL>
    <b:RefOrder>2</b:RefOrder>
  </b:Source>
  <b:Source>
    <b:Tag>Tah20</b:Tag>
    <b:SourceType>InternetSite</b:SourceType>
    <b:Guid>{EE966B8F-6443-44C8-A0B4-DD603B2E48D5}</b:Guid>
    <b:Author>
      <b:Author>
        <b:NameList>
          <b:Person>
            <b:Last>Anzar</b:Last>
            <b:First>Taha</b:First>
          </b:Person>
        </b:NameList>
      </b:Author>
    </b:Author>
    <b:Title>R v Rose [2017] EWCA Crim 1168</b:Title>
    <b:Year>2020</b:Year>
    <b:URL>https://lawprof.co/criminal-law/homicide-cases/r-v-rose-2017-ewca-crim-1168/</b:URL>
    <b:RefOrder>3</b:RefOrder>
  </b:Source>
</b:Sources>
</file>

<file path=customXml/itemProps1.xml><?xml version="1.0" encoding="utf-8"?>
<ds:datastoreItem xmlns:ds="http://schemas.openxmlformats.org/officeDocument/2006/customXml" ds:itemID="{5B6D745C-FEE5-4BF0-A8EC-7E9327491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2179</TotalTime>
  <Pages>8</Pages>
  <Words>2005</Words>
  <Characters>11431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Zahoor</dc:creator>
  <cp:keywords/>
  <dc:description/>
  <cp:lastModifiedBy>Windows User</cp:lastModifiedBy>
  <cp:revision>12</cp:revision>
  <dcterms:created xsi:type="dcterms:W3CDTF">2023-07-03T10:08:00Z</dcterms:created>
  <dcterms:modified xsi:type="dcterms:W3CDTF">2023-07-07T22:11:00Z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91e8dd2a-a946-4293-a5ce-6339919a1aac</vt:lpwstr>
  </property>
</Properties>
</file>