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5DA0EC" w14:textId="77777777" w:rsidR="00B1177C" w:rsidRDefault="00B1177C" w:rsidP="00B1177C">
      <w:pPr>
        <w:spacing w:after="100" w:afterAutospacing="1" w:line="360" w:lineRule="auto"/>
        <w:jc w:val="center"/>
        <w:rPr>
          <w:rFonts w:ascii="Arial" w:hAnsi="Arial" w:cs="Arial"/>
          <w:b/>
          <w:bCs/>
          <w:sz w:val="32"/>
          <w:szCs w:val="32"/>
        </w:rPr>
      </w:pPr>
    </w:p>
    <w:p w14:paraId="2EA7063D" w14:textId="77777777" w:rsidR="00B1177C" w:rsidRDefault="00B1177C" w:rsidP="00B1177C">
      <w:pPr>
        <w:spacing w:after="100" w:afterAutospacing="1" w:line="360" w:lineRule="auto"/>
        <w:jc w:val="center"/>
        <w:rPr>
          <w:rFonts w:ascii="Arial" w:hAnsi="Arial" w:cs="Arial"/>
          <w:b/>
          <w:bCs/>
          <w:sz w:val="32"/>
          <w:szCs w:val="32"/>
        </w:rPr>
      </w:pPr>
    </w:p>
    <w:p w14:paraId="1D674F2B" w14:textId="77777777" w:rsidR="00B1177C" w:rsidRDefault="00B1177C" w:rsidP="00B1177C">
      <w:pPr>
        <w:spacing w:after="100" w:afterAutospacing="1" w:line="360" w:lineRule="auto"/>
        <w:jc w:val="center"/>
        <w:rPr>
          <w:rFonts w:ascii="Arial" w:hAnsi="Arial" w:cs="Arial"/>
          <w:b/>
          <w:bCs/>
          <w:sz w:val="32"/>
          <w:szCs w:val="32"/>
        </w:rPr>
      </w:pPr>
    </w:p>
    <w:p w14:paraId="199BF316" w14:textId="77777777" w:rsidR="00B1177C" w:rsidRDefault="00B1177C" w:rsidP="00B1177C">
      <w:pPr>
        <w:spacing w:after="100" w:afterAutospacing="1" w:line="360" w:lineRule="auto"/>
        <w:jc w:val="center"/>
        <w:rPr>
          <w:rFonts w:ascii="Arial" w:hAnsi="Arial" w:cs="Arial"/>
          <w:b/>
          <w:bCs/>
          <w:sz w:val="32"/>
          <w:szCs w:val="32"/>
        </w:rPr>
      </w:pPr>
    </w:p>
    <w:p w14:paraId="5CFA003C" w14:textId="77777777" w:rsidR="00B1177C" w:rsidRDefault="00B1177C" w:rsidP="00B1177C">
      <w:pPr>
        <w:spacing w:after="100" w:afterAutospacing="1" w:line="360" w:lineRule="auto"/>
        <w:jc w:val="center"/>
        <w:rPr>
          <w:rFonts w:ascii="Arial" w:hAnsi="Arial" w:cs="Arial"/>
          <w:b/>
          <w:bCs/>
          <w:sz w:val="32"/>
          <w:szCs w:val="32"/>
        </w:rPr>
      </w:pPr>
    </w:p>
    <w:p w14:paraId="13BF5396" w14:textId="7DE7EC3D" w:rsidR="00B81106" w:rsidRPr="00B1177C" w:rsidRDefault="00B81106" w:rsidP="00B1177C">
      <w:pPr>
        <w:spacing w:after="100" w:afterAutospacing="1" w:line="360" w:lineRule="auto"/>
        <w:jc w:val="center"/>
        <w:rPr>
          <w:rFonts w:ascii="Arial" w:hAnsi="Arial" w:cs="Arial"/>
          <w:b/>
          <w:bCs/>
          <w:sz w:val="32"/>
          <w:szCs w:val="32"/>
        </w:rPr>
      </w:pPr>
      <w:r w:rsidRPr="00B1177C">
        <w:rPr>
          <w:rFonts w:ascii="Arial" w:hAnsi="Arial" w:cs="Arial"/>
          <w:b/>
          <w:bCs/>
          <w:sz w:val="32"/>
          <w:szCs w:val="32"/>
        </w:rPr>
        <w:t>Component 2 Analytical Report</w:t>
      </w:r>
    </w:p>
    <w:p w14:paraId="25F63068" w14:textId="33B90EEE" w:rsidR="00B81106" w:rsidRPr="00B1177C" w:rsidRDefault="00B81106" w:rsidP="00B1177C">
      <w:pPr>
        <w:spacing w:after="100" w:afterAutospacing="1" w:line="360" w:lineRule="auto"/>
        <w:jc w:val="center"/>
        <w:rPr>
          <w:rFonts w:ascii="Arial" w:hAnsi="Arial" w:cs="Arial"/>
          <w:sz w:val="24"/>
          <w:szCs w:val="24"/>
        </w:rPr>
      </w:pPr>
      <w:r w:rsidRPr="00B1177C">
        <w:rPr>
          <w:rFonts w:ascii="Arial" w:hAnsi="Arial" w:cs="Arial"/>
          <w:sz w:val="24"/>
          <w:szCs w:val="24"/>
        </w:rPr>
        <w:t>Programme: MSc Public Health and Social Care in Practice</w:t>
      </w:r>
    </w:p>
    <w:p w14:paraId="70ABC9BD" w14:textId="5144163D" w:rsidR="00B81106" w:rsidRPr="00B1177C" w:rsidRDefault="00B81106" w:rsidP="00B1177C">
      <w:pPr>
        <w:spacing w:after="100" w:afterAutospacing="1" w:line="360" w:lineRule="auto"/>
        <w:jc w:val="center"/>
        <w:rPr>
          <w:rFonts w:ascii="Arial" w:hAnsi="Arial" w:cs="Arial"/>
          <w:sz w:val="24"/>
          <w:szCs w:val="24"/>
        </w:rPr>
      </w:pPr>
      <w:r w:rsidRPr="00B1177C">
        <w:rPr>
          <w:rFonts w:ascii="Arial" w:hAnsi="Arial" w:cs="Arial"/>
          <w:sz w:val="24"/>
          <w:szCs w:val="24"/>
        </w:rPr>
        <w:t>Module: Social Epidemiology and Public Health Development</w:t>
      </w:r>
    </w:p>
    <w:p w14:paraId="09674E33" w14:textId="5E75D544" w:rsidR="00B81106" w:rsidRPr="00B1177C" w:rsidRDefault="00B81106" w:rsidP="00B1177C">
      <w:pPr>
        <w:spacing w:after="100" w:afterAutospacing="1" w:line="360" w:lineRule="auto"/>
        <w:jc w:val="center"/>
        <w:rPr>
          <w:rFonts w:ascii="Arial" w:hAnsi="Arial" w:cs="Arial"/>
          <w:sz w:val="24"/>
          <w:szCs w:val="24"/>
        </w:rPr>
      </w:pPr>
      <w:r w:rsidRPr="00B1177C">
        <w:rPr>
          <w:rFonts w:ascii="Arial" w:hAnsi="Arial" w:cs="Arial"/>
          <w:sz w:val="24"/>
          <w:szCs w:val="24"/>
        </w:rPr>
        <w:t>Module code:</w:t>
      </w:r>
      <w:r w:rsidR="00B1177C">
        <w:rPr>
          <w:rFonts w:ascii="Arial" w:hAnsi="Arial" w:cs="Arial"/>
          <w:sz w:val="24"/>
          <w:szCs w:val="24"/>
        </w:rPr>
        <w:t xml:space="preserve"> </w:t>
      </w:r>
      <w:r w:rsidRPr="00B1177C">
        <w:rPr>
          <w:rFonts w:ascii="Arial" w:hAnsi="Arial" w:cs="Arial"/>
          <w:sz w:val="24"/>
          <w:szCs w:val="24"/>
        </w:rPr>
        <w:t>LCHS7000</w:t>
      </w:r>
    </w:p>
    <w:p w14:paraId="05A828C8" w14:textId="0BD65893" w:rsidR="00B81106" w:rsidRPr="00B1177C" w:rsidRDefault="00B81106" w:rsidP="00B1177C">
      <w:pPr>
        <w:spacing w:after="100" w:afterAutospacing="1" w:line="360" w:lineRule="auto"/>
        <w:jc w:val="center"/>
        <w:rPr>
          <w:rFonts w:ascii="Arial" w:hAnsi="Arial" w:cs="Arial"/>
          <w:sz w:val="24"/>
          <w:szCs w:val="24"/>
        </w:rPr>
      </w:pPr>
      <w:r w:rsidRPr="00B1177C">
        <w:rPr>
          <w:rFonts w:ascii="Arial" w:hAnsi="Arial" w:cs="Arial"/>
          <w:sz w:val="24"/>
          <w:szCs w:val="24"/>
        </w:rPr>
        <w:t>Student Name:</w:t>
      </w:r>
      <w:r w:rsidR="00C50AE7">
        <w:rPr>
          <w:rFonts w:ascii="Arial" w:hAnsi="Arial" w:cs="Arial"/>
          <w:sz w:val="24"/>
          <w:szCs w:val="24"/>
        </w:rPr>
        <w:t xml:space="preserve"> Himani </w:t>
      </w:r>
      <w:proofErr w:type="spellStart"/>
      <w:r w:rsidR="00C50AE7">
        <w:rPr>
          <w:rFonts w:ascii="Arial" w:hAnsi="Arial" w:cs="Arial"/>
          <w:sz w:val="24"/>
          <w:szCs w:val="24"/>
        </w:rPr>
        <w:t>Vasantkumar</w:t>
      </w:r>
      <w:proofErr w:type="spellEnd"/>
      <w:r w:rsidR="00C50AE7">
        <w:rPr>
          <w:rFonts w:ascii="Arial" w:hAnsi="Arial" w:cs="Arial"/>
          <w:sz w:val="24"/>
          <w:szCs w:val="24"/>
        </w:rPr>
        <w:t xml:space="preserve"> Prajapati </w:t>
      </w:r>
    </w:p>
    <w:p w14:paraId="39DC9561" w14:textId="399EF0DD" w:rsidR="00B81106" w:rsidRDefault="00B81106" w:rsidP="00B1177C">
      <w:pPr>
        <w:spacing w:after="100" w:afterAutospacing="1" w:line="360" w:lineRule="auto"/>
        <w:jc w:val="center"/>
        <w:rPr>
          <w:rFonts w:ascii="Arial" w:hAnsi="Arial" w:cs="Arial"/>
          <w:sz w:val="24"/>
          <w:szCs w:val="24"/>
        </w:rPr>
      </w:pPr>
      <w:r w:rsidRPr="00B1177C">
        <w:rPr>
          <w:rFonts w:ascii="Arial" w:hAnsi="Arial" w:cs="Arial"/>
          <w:sz w:val="24"/>
          <w:szCs w:val="24"/>
        </w:rPr>
        <w:t>Student ID Number:</w:t>
      </w:r>
      <w:r w:rsidR="00C50AE7">
        <w:rPr>
          <w:rFonts w:ascii="Arial" w:hAnsi="Arial" w:cs="Arial"/>
          <w:sz w:val="24"/>
          <w:szCs w:val="24"/>
        </w:rPr>
        <w:t xml:space="preserve"> 2529437</w:t>
      </w:r>
    </w:p>
    <w:p w14:paraId="76537088" w14:textId="012EF2B5" w:rsidR="00B1177C" w:rsidRDefault="00B1177C" w:rsidP="00B1177C">
      <w:pPr>
        <w:spacing w:after="100" w:afterAutospacing="1" w:line="360" w:lineRule="auto"/>
        <w:jc w:val="center"/>
        <w:rPr>
          <w:rFonts w:ascii="Arial" w:hAnsi="Arial" w:cs="Arial"/>
          <w:sz w:val="24"/>
          <w:szCs w:val="24"/>
        </w:rPr>
      </w:pPr>
      <w:r>
        <w:rPr>
          <w:rFonts w:ascii="Arial" w:hAnsi="Arial" w:cs="Arial"/>
          <w:sz w:val="24"/>
          <w:szCs w:val="24"/>
        </w:rPr>
        <w:t>Word Count: 2612</w:t>
      </w:r>
    </w:p>
    <w:p w14:paraId="08707A93" w14:textId="38988207" w:rsidR="00B1177C" w:rsidRPr="00B1177C" w:rsidRDefault="00B1177C" w:rsidP="00B1177C">
      <w:pPr>
        <w:spacing w:after="100" w:afterAutospacing="1" w:line="360" w:lineRule="auto"/>
        <w:jc w:val="center"/>
        <w:rPr>
          <w:rFonts w:ascii="Arial" w:hAnsi="Arial" w:cs="Arial"/>
          <w:sz w:val="24"/>
          <w:szCs w:val="24"/>
        </w:rPr>
      </w:pPr>
      <w:r>
        <w:rPr>
          <w:rFonts w:ascii="Arial" w:hAnsi="Arial" w:cs="Arial"/>
          <w:sz w:val="24"/>
          <w:szCs w:val="24"/>
        </w:rPr>
        <w:t xml:space="preserve">Date of Submission: </w:t>
      </w:r>
      <w:r w:rsidR="00C50AE7">
        <w:rPr>
          <w:rFonts w:ascii="Arial" w:hAnsi="Arial" w:cs="Arial"/>
          <w:sz w:val="24"/>
          <w:szCs w:val="24"/>
        </w:rPr>
        <w:t>1</w:t>
      </w:r>
      <w:r w:rsidR="00145D76">
        <w:rPr>
          <w:rFonts w:ascii="Arial" w:hAnsi="Arial" w:cs="Arial"/>
          <w:sz w:val="24"/>
          <w:szCs w:val="24"/>
        </w:rPr>
        <w:t>7</w:t>
      </w:r>
      <w:r w:rsidRPr="00B1177C">
        <w:rPr>
          <w:rFonts w:ascii="Arial" w:hAnsi="Arial" w:cs="Arial"/>
          <w:sz w:val="24"/>
          <w:szCs w:val="24"/>
          <w:vertAlign w:val="superscript"/>
        </w:rPr>
        <w:t>th</w:t>
      </w:r>
      <w:r>
        <w:rPr>
          <w:rFonts w:ascii="Arial" w:hAnsi="Arial" w:cs="Arial"/>
          <w:sz w:val="24"/>
          <w:szCs w:val="24"/>
        </w:rPr>
        <w:t xml:space="preserve"> August 2026</w:t>
      </w:r>
    </w:p>
    <w:p w14:paraId="3E43787E" w14:textId="191D4A7D" w:rsidR="00B81106" w:rsidRPr="00B81106" w:rsidRDefault="00B81106" w:rsidP="00B81106">
      <w:pPr>
        <w:rPr>
          <w:rFonts w:ascii="Arial" w:hAnsi="Arial" w:cs="Arial"/>
        </w:rPr>
      </w:pPr>
      <w:r>
        <w:rPr>
          <w:rFonts w:ascii="Arial" w:hAnsi="Arial" w:cs="Arial"/>
        </w:rPr>
        <w:br w:type="page"/>
      </w:r>
    </w:p>
    <w:sdt>
      <w:sdtPr>
        <w:rPr>
          <w:rFonts w:ascii="Calibri" w:eastAsia="Calibri" w:hAnsi="Calibri" w:cs="Calibri"/>
          <w:b/>
          <w:bCs/>
          <w:color w:val="auto"/>
          <w:sz w:val="22"/>
          <w:szCs w:val="22"/>
          <w:u w:val="single"/>
          <w:lang w:val="en-GB"/>
        </w:rPr>
        <w:id w:val="-323749549"/>
        <w:docPartObj>
          <w:docPartGallery w:val="Table of Contents"/>
          <w:docPartUnique/>
        </w:docPartObj>
      </w:sdtPr>
      <w:sdtEndPr>
        <w:rPr>
          <w:u w:val="none"/>
        </w:rPr>
      </w:sdtEndPr>
      <w:sdtContent>
        <w:p w14:paraId="689F66FF" w14:textId="30277FAF" w:rsidR="00B81106" w:rsidRPr="00B81106" w:rsidRDefault="00B81106" w:rsidP="00B1177C">
          <w:pPr>
            <w:pStyle w:val="TOCHeading"/>
            <w:spacing w:line="360" w:lineRule="auto"/>
            <w:jc w:val="center"/>
            <w:rPr>
              <w:rFonts w:ascii="Arial" w:hAnsi="Arial" w:cs="Arial"/>
              <w:b/>
              <w:bCs/>
              <w:color w:val="auto"/>
              <w:sz w:val="24"/>
              <w:szCs w:val="24"/>
              <w:u w:val="single"/>
            </w:rPr>
          </w:pPr>
          <w:r w:rsidRPr="00B81106">
            <w:rPr>
              <w:rFonts w:ascii="Arial" w:hAnsi="Arial" w:cs="Arial"/>
              <w:b/>
              <w:bCs/>
              <w:color w:val="auto"/>
              <w:sz w:val="24"/>
              <w:szCs w:val="24"/>
              <w:u w:val="single"/>
              <w:lang w:val="en-GB"/>
            </w:rPr>
            <w:t>Table of Contents</w:t>
          </w:r>
        </w:p>
        <w:p w14:paraId="41E35002" w14:textId="1CE42FFE" w:rsidR="00B81106" w:rsidRPr="00B81106" w:rsidRDefault="00B81106" w:rsidP="00B81106">
          <w:pPr>
            <w:pStyle w:val="TOC1"/>
            <w:tabs>
              <w:tab w:val="right" w:leader="dot" w:pos="9016"/>
            </w:tabs>
            <w:spacing w:line="360" w:lineRule="auto"/>
            <w:jc w:val="both"/>
            <w:rPr>
              <w:rFonts w:ascii="Arial" w:hAnsi="Arial" w:cs="Arial"/>
              <w:noProof/>
              <w:sz w:val="24"/>
              <w:szCs w:val="24"/>
            </w:rPr>
          </w:pPr>
          <w:r w:rsidRPr="00B81106">
            <w:rPr>
              <w:rFonts w:ascii="Arial" w:hAnsi="Arial" w:cs="Arial"/>
              <w:sz w:val="24"/>
              <w:szCs w:val="24"/>
            </w:rPr>
            <w:fldChar w:fldCharType="begin"/>
          </w:r>
          <w:r w:rsidRPr="00B81106">
            <w:rPr>
              <w:rFonts w:ascii="Arial" w:hAnsi="Arial" w:cs="Arial"/>
              <w:sz w:val="24"/>
              <w:szCs w:val="24"/>
            </w:rPr>
            <w:instrText xml:space="preserve"> TOC \o "1-3" \h \z \u </w:instrText>
          </w:r>
          <w:r w:rsidRPr="00B81106">
            <w:rPr>
              <w:rFonts w:ascii="Arial" w:hAnsi="Arial" w:cs="Arial"/>
              <w:sz w:val="24"/>
              <w:szCs w:val="24"/>
            </w:rPr>
            <w:fldChar w:fldCharType="separate"/>
          </w:r>
          <w:hyperlink w:anchor="_Toc236912136" w:history="1">
            <w:r w:rsidRPr="00B81106">
              <w:rPr>
                <w:rStyle w:val="Hyperlink"/>
                <w:rFonts w:ascii="Arial" w:hAnsi="Arial" w:cs="Arial"/>
                <w:noProof/>
                <w:color w:val="auto"/>
                <w:sz w:val="24"/>
                <w:szCs w:val="24"/>
              </w:rPr>
              <w:t>Task 1: Social Epidemiological Analysis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_Toc236912136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3</w:t>
            </w:r>
            <w:r w:rsidRPr="00B81106">
              <w:rPr>
                <w:rFonts w:ascii="Arial" w:hAnsi="Arial" w:cs="Arial"/>
                <w:noProof/>
                <w:webHidden/>
                <w:sz w:val="24"/>
                <w:szCs w:val="24"/>
              </w:rPr>
              <w:fldChar w:fldCharType="end"/>
            </w:r>
          </w:hyperlink>
        </w:p>
        <w:p w14:paraId="48812867" w14:textId="3FDACDB8" w:rsidR="00B81106" w:rsidRPr="00B81106" w:rsidRDefault="00B81106" w:rsidP="00B81106">
          <w:pPr>
            <w:pStyle w:val="TOC1"/>
            <w:tabs>
              <w:tab w:val="right" w:leader="dot" w:pos="9016"/>
            </w:tabs>
            <w:spacing w:line="360" w:lineRule="auto"/>
            <w:jc w:val="both"/>
            <w:rPr>
              <w:rFonts w:ascii="Arial" w:hAnsi="Arial" w:cs="Arial"/>
              <w:noProof/>
              <w:sz w:val="24"/>
              <w:szCs w:val="24"/>
            </w:rPr>
          </w:pPr>
          <w:hyperlink w:anchor="_Toc236912137" w:history="1">
            <w:r w:rsidRPr="00B81106">
              <w:rPr>
                <w:rStyle w:val="Hyperlink"/>
                <w:rFonts w:ascii="Arial" w:hAnsi="Arial" w:cs="Arial"/>
                <w:noProof/>
                <w:color w:val="auto"/>
                <w:sz w:val="24"/>
                <w:szCs w:val="24"/>
              </w:rPr>
              <w:t>Introduction</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_Toc236912137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3</w:t>
            </w:r>
            <w:r w:rsidRPr="00B81106">
              <w:rPr>
                <w:rFonts w:ascii="Arial" w:hAnsi="Arial" w:cs="Arial"/>
                <w:noProof/>
                <w:webHidden/>
                <w:sz w:val="24"/>
                <w:szCs w:val="24"/>
              </w:rPr>
              <w:fldChar w:fldCharType="end"/>
            </w:r>
          </w:hyperlink>
        </w:p>
        <w:p w14:paraId="1DF7E2CB" w14:textId="18137B79" w:rsidR="00B81106" w:rsidRPr="00B81106" w:rsidRDefault="00B81106" w:rsidP="00B81106">
          <w:pPr>
            <w:pStyle w:val="TOC1"/>
            <w:tabs>
              <w:tab w:val="right" w:leader="dot" w:pos="9016"/>
            </w:tabs>
            <w:spacing w:line="360" w:lineRule="auto"/>
            <w:jc w:val="both"/>
            <w:rPr>
              <w:rFonts w:ascii="Arial" w:hAnsi="Arial" w:cs="Arial"/>
              <w:noProof/>
              <w:sz w:val="24"/>
              <w:szCs w:val="24"/>
            </w:rPr>
          </w:pPr>
          <w:hyperlink w:anchor="_Toc236912138" w:history="1">
            <w:r w:rsidRPr="00B81106">
              <w:rPr>
                <w:rStyle w:val="Hyperlink"/>
                <w:rFonts w:ascii="Arial" w:hAnsi="Arial" w:cs="Arial"/>
                <w:noProof/>
                <w:color w:val="auto"/>
                <w:sz w:val="24"/>
                <w:szCs w:val="24"/>
              </w:rPr>
              <w:t>Contextual Background and Underlying Factors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_Toc236912138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3</w:t>
            </w:r>
            <w:r w:rsidRPr="00B81106">
              <w:rPr>
                <w:rFonts w:ascii="Arial" w:hAnsi="Arial" w:cs="Arial"/>
                <w:noProof/>
                <w:webHidden/>
                <w:sz w:val="24"/>
                <w:szCs w:val="24"/>
              </w:rPr>
              <w:fldChar w:fldCharType="end"/>
            </w:r>
          </w:hyperlink>
        </w:p>
        <w:p w14:paraId="49C44463" w14:textId="1903513D" w:rsidR="00B81106" w:rsidRPr="00B81106" w:rsidRDefault="00B81106" w:rsidP="00B81106">
          <w:pPr>
            <w:pStyle w:val="TOC2"/>
            <w:tabs>
              <w:tab w:val="right" w:leader="dot" w:pos="9016"/>
            </w:tabs>
            <w:spacing w:line="360" w:lineRule="auto"/>
            <w:jc w:val="both"/>
            <w:rPr>
              <w:rFonts w:ascii="Arial" w:hAnsi="Arial" w:cs="Arial"/>
              <w:noProof/>
              <w:sz w:val="24"/>
              <w:szCs w:val="24"/>
            </w:rPr>
          </w:pPr>
          <w:hyperlink w:anchor="_Toc236912139" w:history="1">
            <w:r w:rsidRPr="00B81106">
              <w:rPr>
                <w:rStyle w:val="Hyperlink"/>
                <w:rFonts w:ascii="Arial" w:hAnsi="Arial" w:cs="Arial"/>
                <w:noProof/>
                <w:color w:val="auto"/>
                <w:sz w:val="24"/>
                <w:szCs w:val="24"/>
              </w:rPr>
              <w:t>Disease and Illness Rates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_Toc236912139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3</w:t>
            </w:r>
            <w:r w:rsidRPr="00B81106">
              <w:rPr>
                <w:rFonts w:ascii="Arial" w:hAnsi="Arial" w:cs="Arial"/>
                <w:noProof/>
                <w:webHidden/>
                <w:sz w:val="24"/>
                <w:szCs w:val="24"/>
              </w:rPr>
              <w:fldChar w:fldCharType="end"/>
            </w:r>
          </w:hyperlink>
        </w:p>
        <w:p w14:paraId="09805E1D" w14:textId="35DEAD75" w:rsidR="00B81106" w:rsidRPr="00B81106" w:rsidRDefault="00B81106" w:rsidP="00B81106">
          <w:pPr>
            <w:pStyle w:val="TOC3"/>
            <w:tabs>
              <w:tab w:val="right" w:leader="dot" w:pos="9016"/>
            </w:tabs>
            <w:spacing w:line="360" w:lineRule="auto"/>
            <w:jc w:val="both"/>
            <w:rPr>
              <w:rFonts w:ascii="Arial" w:hAnsi="Arial" w:cs="Arial"/>
              <w:noProof/>
              <w:sz w:val="24"/>
              <w:szCs w:val="24"/>
            </w:rPr>
          </w:pPr>
          <w:hyperlink w:anchor="_Toc236912140" w:history="1">
            <w:r w:rsidRPr="00B81106">
              <w:rPr>
                <w:rStyle w:val="Hyperlink"/>
                <w:rFonts w:ascii="Arial" w:hAnsi="Arial" w:cs="Arial"/>
                <w:noProof/>
                <w:color w:val="auto"/>
                <w:sz w:val="24"/>
                <w:szCs w:val="24"/>
              </w:rPr>
              <w:t>Higher Rates of Mental Illness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_Toc236912140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3</w:t>
            </w:r>
            <w:r w:rsidRPr="00B81106">
              <w:rPr>
                <w:rFonts w:ascii="Arial" w:hAnsi="Arial" w:cs="Arial"/>
                <w:noProof/>
                <w:webHidden/>
                <w:sz w:val="24"/>
                <w:szCs w:val="24"/>
              </w:rPr>
              <w:fldChar w:fldCharType="end"/>
            </w:r>
          </w:hyperlink>
        </w:p>
        <w:p w14:paraId="1CA73157" w14:textId="393C134D" w:rsidR="00B81106" w:rsidRPr="00B81106" w:rsidRDefault="00B81106" w:rsidP="00B81106">
          <w:pPr>
            <w:pStyle w:val="TOC3"/>
            <w:tabs>
              <w:tab w:val="right" w:leader="dot" w:pos="9016"/>
            </w:tabs>
            <w:spacing w:line="360" w:lineRule="auto"/>
            <w:jc w:val="both"/>
            <w:rPr>
              <w:rFonts w:ascii="Arial" w:hAnsi="Arial" w:cs="Arial"/>
              <w:noProof/>
              <w:sz w:val="24"/>
              <w:szCs w:val="24"/>
            </w:rPr>
          </w:pPr>
          <w:hyperlink w:anchor="_Toc236912141" w:history="1">
            <w:r w:rsidRPr="00B81106">
              <w:rPr>
                <w:rStyle w:val="Hyperlink"/>
                <w:rFonts w:ascii="Arial" w:hAnsi="Arial" w:cs="Arial"/>
                <w:noProof/>
                <w:color w:val="auto"/>
                <w:sz w:val="24"/>
                <w:szCs w:val="24"/>
              </w:rPr>
              <w:t>Low Rates of Access to Healthcare</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_Toc236912141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3</w:t>
            </w:r>
            <w:r w:rsidRPr="00B81106">
              <w:rPr>
                <w:rFonts w:ascii="Arial" w:hAnsi="Arial" w:cs="Arial"/>
                <w:noProof/>
                <w:webHidden/>
                <w:sz w:val="24"/>
                <w:szCs w:val="24"/>
              </w:rPr>
              <w:fldChar w:fldCharType="end"/>
            </w:r>
          </w:hyperlink>
        </w:p>
        <w:p w14:paraId="551C8FED" w14:textId="07A42DFB" w:rsidR="00B81106" w:rsidRPr="00B81106" w:rsidRDefault="00B81106" w:rsidP="00B81106">
          <w:pPr>
            <w:pStyle w:val="TOC3"/>
            <w:tabs>
              <w:tab w:val="right" w:leader="dot" w:pos="9016"/>
            </w:tabs>
            <w:spacing w:line="360" w:lineRule="auto"/>
            <w:jc w:val="both"/>
            <w:rPr>
              <w:rFonts w:ascii="Arial" w:hAnsi="Arial" w:cs="Arial"/>
              <w:noProof/>
              <w:sz w:val="24"/>
              <w:szCs w:val="24"/>
            </w:rPr>
          </w:pPr>
          <w:hyperlink w:anchor="_Toc236912142" w:history="1">
            <w:r w:rsidRPr="00B81106">
              <w:rPr>
                <w:rStyle w:val="Hyperlink"/>
                <w:rFonts w:ascii="Arial" w:hAnsi="Arial" w:cs="Arial"/>
                <w:noProof/>
                <w:color w:val="auto"/>
                <w:sz w:val="24"/>
                <w:szCs w:val="24"/>
              </w:rPr>
              <w:t>Mortality Rates and Frailty-Related Risk</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_Toc236912142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4</w:t>
            </w:r>
            <w:r w:rsidRPr="00B81106">
              <w:rPr>
                <w:rFonts w:ascii="Arial" w:hAnsi="Arial" w:cs="Arial"/>
                <w:noProof/>
                <w:webHidden/>
                <w:sz w:val="24"/>
                <w:szCs w:val="24"/>
              </w:rPr>
              <w:fldChar w:fldCharType="end"/>
            </w:r>
          </w:hyperlink>
        </w:p>
        <w:p w14:paraId="43CA4F37" w14:textId="3DC67A8C" w:rsidR="00B81106" w:rsidRPr="00B81106" w:rsidRDefault="00B81106" w:rsidP="00B81106">
          <w:pPr>
            <w:pStyle w:val="TOC2"/>
            <w:tabs>
              <w:tab w:val="right" w:leader="dot" w:pos="9016"/>
            </w:tabs>
            <w:spacing w:line="360" w:lineRule="auto"/>
            <w:jc w:val="both"/>
            <w:rPr>
              <w:rFonts w:ascii="Arial" w:hAnsi="Arial" w:cs="Arial"/>
              <w:noProof/>
              <w:sz w:val="24"/>
              <w:szCs w:val="24"/>
            </w:rPr>
          </w:pPr>
          <w:hyperlink w:anchor="_Toc236912143" w:history="1">
            <w:r w:rsidRPr="00B81106">
              <w:rPr>
                <w:rStyle w:val="Hyperlink"/>
                <w:rFonts w:ascii="Arial" w:hAnsi="Arial" w:cs="Arial"/>
                <w:noProof/>
                <w:color w:val="auto"/>
                <w:sz w:val="24"/>
                <w:szCs w:val="24"/>
              </w:rPr>
              <w:t>Social Issues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_Toc236912143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4</w:t>
            </w:r>
            <w:r w:rsidRPr="00B81106">
              <w:rPr>
                <w:rFonts w:ascii="Arial" w:hAnsi="Arial" w:cs="Arial"/>
                <w:noProof/>
                <w:webHidden/>
                <w:sz w:val="24"/>
                <w:szCs w:val="24"/>
              </w:rPr>
              <w:fldChar w:fldCharType="end"/>
            </w:r>
          </w:hyperlink>
        </w:p>
        <w:p w14:paraId="434DBBD5" w14:textId="0B612C3D" w:rsidR="00B81106" w:rsidRPr="00B81106" w:rsidRDefault="00B81106" w:rsidP="00B81106">
          <w:pPr>
            <w:pStyle w:val="TOC3"/>
            <w:tabs>
              <w:tab w:val="right" w:leader="dot" w:pos="9016"/>
            </w:tabs>
            <w:spacing w:line="360" w:lineRule="auto"/>
            <w:jc w:val="both"/>
            <w:rPr>
              <w:rFonts w:ascii="Arial" w:hAnsi="Arial" w:cs="Arial"/>
              <w:noProof/>
              <w:sz w:val="24"/>
              <w:szCs w:val="24"/>
            </w:rPr>
          </w:pPr>
          <w:hyperlink w:anchor="_Toc236912144" w:history="1">
            <w:r w:rsidRPr="00B81106">
              <w:rPr>
                <w:rStyle w:val="Hyperlink"/>
                <w:rFonts w:ascii="Arial" w:hAnsi="Arial" w:cs="Arial"/>
                <w:noProof/>
                <w:color w:val="auto"/>
                <w:sz w:val="24"/>
                <w:szCs w:val="24"/>
              </w:rPr>
              <w:t>Social Isolation and Loneliness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_Toc236912144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4</w:t>
            </w:r>
            <w:r w:rsidRPr="00B81106">
              <w:rPr>
                <w:rFonts w:ascii="Arial" w:hAnsi="Arial" w:cs="Arial"/>
                <w:noProof/>
                <w:webHidden/>
                <w:sz w:val="24"/>
                <w:szCs w:val="24"/>
              </w:rPr>
              <w:fldChar w:fldCharType="end"/>
            </w:r>
          </w:hyperlink>
        </w:p>
        <w:p w14:paraId="182BC5D4" w14:textId="2E92963B" w:rsidR="00B81106" w:rsidRPr="00B81106" w:rsidRDefault="00B81106" w:rsidP="00B81106">
          <w:pPr>
            <w:pStyle w:val="TOC3"/>
            <w:tabs>
              <w:tab w:val="right" w:leader="dot" w:pos="9016"/>
            </w:tabs>
            <w:spacing w:line="360" w:lineRule="auto"/>
            <w:jc w:val="both"/>
            <w:rPr>
              <w:rFonts w:ascii="Arial" w:hAnsi="Arial" w:cs="Arial"/>
              <w:noProof/>
              <w:sz w:val="24"/>
              <w:szCs w:val="24"/>
            </w:rPr>
          </w:pPr>
          <w:hyperlink w:anchor="_Toc236912145" w:history="1">
            <w:r w:rsidRPr="00B81106">
              <w:rPr>
                <w:rStyle w:val="Hyperlink"/>
                <w:rFonts w:ascii="Arial" w:hAnsi="Arial" w:cs="Arial"/>
                <w:noProof/>
                <w:color w:val="auto"/>
                <w:sz w:val="24"/>
                <w:szCs w:val="24"/>
              </w:rPr>
              <w:t>Poverty</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_Toc236912145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4</w:t>
            </w:r>
            <w:r w:rsidRPr="00B81106">
              <w:rPr>
                <w:rFonts w:ascii="Arial" w:hAnsi="Arial" w:cs="Arial"/>
                <w:noProof/>
                <w:webHidden/>
                <w:sz w:val="24"/>
                <w:szCs w:val="24"/>
              </w:rPr>
              <w:fldChar w:fldCharType="end"/>
            </w:r>
          </w:hyperlink>
        </w:p>
        <w:p w14:paraId="62511B9F" w14:textId="5AAED939" w:rsidR="00B81106" w:rsidRPr="00B81106" w:rsidRDefault="00B81106" w:rsidP="00B81106">
          <w:pPr>
            <w:pStyle w:val="TOC3"/>
            <w:tabs>
              <w:tab w:val="right" w:leader="dot" w:pos="9016"/>
            </w:tabs>
            <w:spacing w:line="360" w:lineRule="auto"/>
            <w:jc w:val="both"/>
            <w:rPr>
              <w:rFonts w:ascii="Arial" w:hAnsi="Arial" w:cs="Arial"/>
              <w:noProof/>
              <w:sz w:val="24"/>
              <w:szCs w:val="24"/>
            </w:rPr>
          </w:pPr>
          <w:hyperlink w:anchor="_Toc236912146" w:history="1">
            <w:r w:rsidRPr="00B81106">
              <w:rPr>
                <w:rStyle w:val="Hyperlink"/>
                <w:rFonts w:ascii="Arial" w:hAnsi="Arial" w:cs="Arial"/>
                <w:noProof/>
                <w:color w:val="auto"/>
                <w:sz w:val="24"/>
                <w:szCs w:val="24"/>
              </w:rPr>
              <w:t>Housing and Fuel Poverty</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_Toc236912146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5</w:t>
            </w:r>
            <w:r w:rsidRPr="00B81106">
              <w:rPr>
                <w:rFonts w:ascii="Arial" w:hAnsi="Arial" w:cs="Arial"/>
                <w:noProof/>
                <w:webHidden/>
                <w:sz w:val="24"/>
                <w:szCs w:val="24"/>
              </w:rPr>
              <w:fldChar w:fldCharType="end"/>
            </w:r>
          </w:hyperlink>
        </w:p>
        <w:p w14:paraId="5C9D9926" w14:textId="4F22A2B2" w:rsidR="00B81106" w:rsidRPr="00B81106" w:rsidRDefault="00B81106" w:rsidP="00B81106">
          <w:pPr>
            <w:pStyle w:val="TOC1"/>
            <w:tabs>
              <w:tab w:val="right" w:leader="dot" w:pos="9016"/>
            </w:tabs>
            <w:spacing w:line="360" w:lineRule="auto"/>
            <w:jc w:val="both"/>
            <w:rPr>
              <w:rFonts w:ascii="Arial" w:hAnsi="Arial" w:cs="Arial"/>
              <w:noProof/>
              <w:sz w:val="24"/>
              <w:szCs w:val="24"/>
            </w:rPr>
          </w:pPr>
          <w:hyperlink w:anchor="_Toc236912147" w:history="1">
            <w:r w:rsidRPr="00B81106">
              <w:rPr>
                <w:rStyle w:val="Hyperlink"/>
                <w:rFonts w:ascii="Arial" w:hAnsi="Arial" w:cs="Arial"/>
                <w:noProof/>
                <w:color w:val="auto"/>
                <w:sz w:val="24"/>
                <w:szCs w:val="24"/>
              </w:rPr>
              <w:t>National Response to Reduce Health Inequalities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_Toc236912147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5</w:t>
            </w:r>
            <w:r w:rsidRPr="00B81106">
              <w:rPr>
                <w:rFonts w:ascii="Arial" w:hAnsi="Arial" w:cs="Arial"/>
                <w:noProof/>
                <w:webHidden/>
                <w:sz w:val="24"/>
                <w:szCs w:val="24"/>
              </w:rPr>
              <w:fldChar w:fldCharType="end"/>
            </w:r>
          </w:hyperlink>
        </w:p>
        <w:p w14:paraId="25092059" w14:textId="67E8F4F9" w:rsidR="00B81106" w:rsidRPr="00B81106" w:rsidRDefault="00B81106" w:rsidP="00B81106">
          <w:pPr>
            <w:pStyle w:val="TOC1"/>
            <w:tabs>
              <w:tab w:val="right" w:leader="dot" w:pos="9016"/>
            </w:tabs>
            <w:spacing w:line="360" w:lineRule="auto"/>
            <w:jc w:val="both"/>
            <w:rPr>
              <w:rFonts w:ascii="Arial" w:hAnsi="Arial" w:cs="Arial"/>
              <w:noProof/>
              <w:sz w:val="24"/>
              <w:szCs w:val="24"/>
            </w:rPr>
          </w:pPr>
          <w:hyperlink w:anchor="_Toc236912148" w:history="1">
            <w:r w:rsidRPr="00B81106">
              <w:rPr>
                <w:rStyle w:val="Hyperlink"/>
                <w:rFonts w:ascii="Arial" w:hAnsi="Arial" w:cs="Arial"/>
                <w:noProof/>
                <w:color w:val="auto"/>
                <w:sz w:val="24"/>
                <w:szCs w:val="24"/>
              </w:rPr>
              <w:t>Organisations that Support Older People</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_Toc236912148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5</w:t>
            </w:r>
            <w:r w:rsidRPr="00B81106">
              <w:rPr>
                <w:rFonts w:ascii="Arial" w:hAnsi="Arial" w:cs="Arial"/>
                <w:noProof/>
                <w:webHidden/>
                <w:sz w:val="24"/>
                <w:szCs w:val="24"/>
              </w:rPr>
              <w:fldChar w:fldCharType="end"/>
            </w:r>
          </w:hyperlink>
        </w:p>
        <w:p w14:paraId="6A2AAC21" w14:textId="0E08FABB" w:rsidR="00B81106" w:rsidRPr="00B81106" w:rsidRDefault="00B81106" w:rsidP="00B81106">
          <w:pPr>
            <w:pStyle w:val="TOC1"/>
            <w:tabs>
              <w:tab w:val="right" w:leader="dot" w:pos="9016"/>
            </w:tabs>
            <w:spacing w:line="360" w:lineRule="auto"/>
            <w:jc w:val="both"/>
            <w:rPr>
              <w:rFonts w:ascii="Arial" w:hAnsi="Arial" w:cs="Arial"/>
              <w:noProof/>
              <w:sz w:val="24"/>
              <w:szCs w:val="24"/>
            </w:rPr>
          </w:pPr>
          <w:hyperlink w:anchor="_Toc236912149" w:history="1">
            <w:r w:rsidRPr="00B81106">
              <w:rPr>
                <w:rStyle w:val="Hyperlink"/>
                <w:rFonts w:ascii="Arial" w:hAnsi="Arial" w:cs="Arial"/>
                <w:noProof/>
                <w:color w:val="auto"/>
                <w:sz w:val="24"/>
                <w:szCs w:val="24"/>
              </w:rPr>
              <w:t>Conclusion</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_Toc236912149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6</w:t>
            </w:r>
            <w:r w:rsidRPr="00B81106">
              <w:rPr>
                <w:rFonts w:ascii="Arial" w:hAnsi="Arial" w:cs="Arial"/>
                <w:noProof/>
                <w:webHidden/>
                <w:sz w:val="24"/>
                <w:szCs w:val="24"/>
              </w:rPr>
              <w:fldChar w:fldCharType="end"/>
            </w:r>
          </w:hyperlink>
        </w:p>
        <w:p w14:paraId="021A57DE" w14:textId="31607CC8" w:rsidR="00B81106" w:rsidRPr="00B81106" w:rsidRDefault="00B81106" w:rsidP="00B81106">
          <w:pPr>
            <w:pStyle w:val="TOC1"/>
            <w:tabs>
              <w:tab w:val="right" w:leader="dot" w:pos="9016"/>
            </w:tabs>
            <w:spacing w:line="360" w:lineRule="auto"/>
            <w:jc w:val="both"/>
            <w:rPr>
              <w:rFonts w:ascii="Arial" w:hAnsi="Arial" w:cs="Arial"/>
              <w:noProof/>
              <w:sz w:val="24"/>
              <w:szCs w:val="24"/>
            </w:rPr>
          </w:pPr>
          <w:hyperlink w:anchor="_Toc236912150" w:history="1">
            <w:r w:rsidRPr="00B81106">
              <w:rPr>
                <w:rStyle w:val="Hyperlink"/>
                <w:rFonts w:ascii="Arial" w:hAnsi="Arial" w:cs="Arial"/>
                <w:noProof/>
                <w:color w:val="auto"/>
                <w:sz w:val="24"/>
                <w:szCs w:val="24"/>
              </w:rPr>
              <w:t>Task 2: Epidemiological Analysis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_Toc236912150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7</w:t>
            </w:r>
            <w:r w:rsidRPr="00B81106">
              <w:rPr>
                <w:rFonts w:ascii="Arial" w:hAnsi="Arial" w:cs="Arial"/>
                <w:noProof/>
                <w:webHidden/>
                <w:sz w:val="24"/>
                <w:szCs w:val="24"/>
              </w:rPr>
              <w:fldChar w:fldCharType="end"/>
            </w:r>
          </w:hyperlink>
        </w:p>
        <w:p w14:paraId="47A98603" w14:textId="573ED5CB" w:rsidR="00B81106" w:rsidRPr="00B81106" w:rsidRDefault="00B81106" w:rsidP="00B81106">
          <w:pPr>
            <w:pStyle w:val="TOC1"/>
            <w:tabs>
              <w:tab w:val="right" w:leader="dot" w:pos="9016"/>
            </w:tabs>
            <w:spacing w:line="360" w:lineRule="auto"/>
            <w:jc w:val="both"/>
            <w:rPr>
              <w:rFonts w:ascii="Arial" w:hAnsi="Arial" w:cs="Arial"/>
              <w:noProof/>
              <w:sz w:val="24"/>
              <w:szCs w:val="24"/>
            </w:rPr>
          </w:pPr>
          <w:hyperlink w:anchor="_Toc236912151" w:history="1">
            <w:r w:rsidRPr="00B81106">
              <w:rPr>
                <w:rStyle w:val="Hyperlink"/>
                <w:rFonts w:ascii="Arial" w:hAnsi="Arial" w:cs="Arial"/>
                <w:noProof/>
                <w:color w:val="auto"/>
                <w:sz w:val="24"/>
                <w:szCs w:val="24"/>
              </w:rPr>
              <w:t>Introduction</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_Toc236912151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7</w:t>
            </w:r>
            <w:r w:rsidRPr="00B81106">
              <w:rPr>
                <w:rFonts w:ascii="Arial" w:hAnsi="Arial" w:cs="Arial"/>
                <w:noProof/>
                <w:webHidden/>
                <w:sz w:val="24"/>
                <w:szCs w:val="24"/>
              </w:rPr>
              <w:fldChar w:fldCharType="end"/>
            </w:r>
          </w:hyperlink>
        </w:p>
        <w:p w14:paraId="4D86FAEE" w14:textId="361F899C" w:rsidR="00B81106" w:rsidRPr="00B81106" w:rsidRDefault="00B81106" w:rsidP="00B81106">
          <w:pPr>
            <w:pStyle w:val="TOC2"/>
            <w:tabs>
              <w:tab w:val="right" w:leader="dot" w:pos="9016"/>
            </w:tabs>
            <w:spacing w:line="360" w:lineRule="auto"/>
            <w:jc w:val="both"/>
            <w:rPr>
              <w:rFonts w:ascii="Arial" w:hAnsi="Arial" w:cs="Arial"/>
              <w:noProof/>
              <w:sz w:val="24"/>
              <w:szCs w:val="24"/>
            </w:rPr>
          </w:pPr>
          <w:hyperlink w:anchor="_Toc236912152" w:history="1">
            <w:r w:rsidRPr="00B81106">
              <w:rPr>
                <w:rStyle w:val="Hyperlink"/>
                <w:rFonts w:ascii="Arial" w:hAnsi="Arial" w:cs="Arial"/>
                <w:noProof/>
                <w:color w:val="auto"/>
                <w:sz w:val="24"/>
                <w:szCs w:val="24"/>
              </w:rPr>
              <w:t>Definition and Consequences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_Toc236912152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7</w:t>
            </w:r>
            <w:r w:rsidRPr="00B81106">
              <w:rPr>
                <w:rFonts w:ascii="Arial" w:hAnsi="Arial" w:cs="Arial"/>
                <w:noProof/>
                <w:webHidden/>
                <w:sz w:val="24"/>
                <w:szCs w:val="24"/>
              </w:rPr>
              <w:fldChar w:fldCharType="end"/>
            </w:r>
          </w:hyperlink>
        </w:p>
        <w:p w14:paraId="4E556523" w14:textId="572BC67C" w:rsidR="00B81106" w:rsidRPr="00B81106" w:rsidRDefault="00B81106" w:rsidP="00B81106">
          <w:pPr>
            <w:pStyle w:val="TOC2"/>
            <w:tabs>
              <w:tab w:val="right" w:leader="dot" w:pos="9016"/>
            </w:tabs>
            <w:spacing w:line="360" w:lineRule="auto"/>
            <w:jc w:val="both"/>
            <w:rPr>
              <w:rFonts w:ascii="Arial" w:hAnsi="Arial" w:cs="Arial"/>
              <w:noProof/>
              <w:sz w:val="24"/>
              <w:szCs w:val="24"/>
            </w:rPr>
          </w:pPr>
          <w:hyperlink w:anchor="_Toc236912153" w:history="1">
            <w:r w:rsidRPr="00B81106">
              <w:rPr>
                <w:rStyle w:val="Hyperlink"/>
                <w:rFonts w:ascii="Arial" w:hAnsi="Arial" w:cs="Arial"/>
                <w:noProof/>
                <w:color w:val="auto"/>
                <w:sz w:val="24"/>
                <w:szCs w:val="24"/>
              </w:rPr>
              <w:t>Global and UK Levels of Incidence and Prevalence</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_Toc236912153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7</w:t>
            </w:r>
            <w:r w:rsidRPr="00B81106">
              <w:rPr>
                <w:rFonts w:ascii="Arial" w:hAnsi="Arial" w:cs="Arial"/>
                <w:noProof/>
                <w:webHidden/>
                <w:sz w:val="24"/>
                <w:szCs w:val="24"/>
              </w:rPr>
              <w:fldChar w:fldCharType="end"/>
            </w:r>
          </w:hyperlink>
        </w:p>
        <w:p w14:paraId="3D15C00A" w14:textId="1BCDC9E6" w:rsidR="00B81106" w:rsidRPr="00B81106" w:rsidRDefault="00B81106" w:rsidP="00B81106">
          <w:pPr>
            <w:pStyle w:val="TOC1"/>
            <w:tabs>
              <w:tab w:val="right" w:leader="dot" w:pos="9016"/>
            </w:tabs>
            <w:spacing w:line="360" w:lineRule="auto"/>
            <w:jc w:val="both"/>
            <w:rPr>
              <w:rFonts w:ascii="Arial" w:hAnsi="Arial" w:cs="Arial"/>
              <w:noProof/>
              <w:sz w:val="24"/>
              <w:szCs w:val="24"/>
            </w:rPr>
          </w:pPr>
          <w:hyperlink w:anchor="_Toc236912154" w:history="1">
            <w:r w:rsidRPr="00B81106">
              <w:rPr>
                <w:rStyle w:val="Hyperlink"/>
                <w:rFonts w:ascii="Arial" w:hAnsi="Arial" w:cs="Arial"/>
                <w:noProof/>
                <w:color w:val="auto"/>
                <w:sz w:val="24"/>
                <w:szCs w:val="24"/>
              </w:rPr>
              <w:t>Main Body</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_Toc236912154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7</w:t>
            </w:r>
            <w:r w:rsidRPr="00B81106">
              <w:rPr>
                <w:rFonts w:ascii="Arial" w:hAnsi="Arial" w:cs="Arial"/>
                <w:noProof/>
                <w:webHidden/>
                <w:sz w:val="24"/>
                <w:szCs w:val="24"/>
              </w:rPr>
              <w:fldChar w:fldCharType="end"/>
            </w:r>
          </w:hyperlink>
        </w:p>
        <w:p w14:paraId="06750EB0" w14:textId="370897DE" w:rsidR="00B81106" w:rsidRPr="00B81106" w:rsidRDefault="00B81106" w:rsidP="00B81106">
          <w:pPr>
            <w:pStyle w:val="TOC2"/>
            <w:tabs>
              <w:tab w:val="right" w:leader="dot" w:pos="9016"/>
            </w:tabs>
            <w:spacing w:line="360" w:lineRule="auto"/>
            <w:jc w:val="both"/>
            <w:rPr>
              <w:rFonts w:ascii="Arial" w:hAnsi="Arial" w:cs="Arial"/>
              <w:noProof/>
              <w:sz w:val="24"/>
              <w:szCs w:val="24"/>
            </w:rPr>
          </w:pPr>
          <w:hyperlink w:anchor="_Toc236912155" w:history="1">
            <w:r w:rsidRPr="00B81106">
              <w:rPr>
                <w:rStyle w:val="Hyperlink"/>
                <w:rFonts w:ascii="Arial" w:hAnsi="Arial" w:cs="Arial"/>
                <w:noProof/>
                <w:color w:val="auto"/>
                <w:sz w:val="24"/>
                <w:szCs w:val="24"/>
              </w:rPr>
              <w:t>Determinants and Risk Factors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_Toc236912155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7</w:t>
            </w:r>
            <w:r w:rsidRPr="00B81106">
              <w:rPr>
                <w:rFonts w:ascii="Arial" w:hAnsi="Arial" w:cs="Arial"/>
                <w:noProof/>
                <w:webHidden/>
                <w:sz w:val="24"/>
                <w:szCs w:val="24"/>
              </w:rPr>
              <w:fldChar w:fldCharType="end"/>
            </w:r>
          </w:hyperlink>
        </w:p>
        <w:p w14:paraId="53C11B40" w14:textId="0A5CF8C6" w:rsidR="00B81106" w:rsidRPr="00B81106" w:rsidRDefault="00B81106" w:rsidP="00B81106">
          <w:pPr>
            <w:pStyle w:val="TOC2"/>
            <w:tabs>
              <w:tab w:val="right" w:leader="dot" w:pos="9016"/>
            </w:tabs>
            <w:spacing w:line="360" w:lineRule="auto"/>
            <w:jc w:val="both"/>
            <w:rPr>
              <w:rFonts w:ascii="Arial" w:hAnsi="Arial" w:cs="Arial"/>
              <w:noProof/>
              <w:sz w:val="24"/>
              <w:szCs w:val="24"/>
            </w:rPr>
          </w:pPr>
          <w:hyperlink w:anchor="_Toc236912156" w:history="1">
            <w:r w:rsidRPr="00B81106">
              <w:rPr>
                <w:rStyle w:val="Hyperlink"/>
                <w:rFonts w:ascii="Arial" w:hAnsi="Arial" w:cs="Arial"/>
                <w:noProof/>
                <w:color w:val="auto"/>
                <w:sz w:val="24"/>
                <w:szCs w:val="24"/>
              </w:rPr>
              <w:t>Health Needs Assessment and Identification of At-Risk Populations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_Toc236912156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8</w:t>
            </w:r>
            <w:r w:rsidRPr="00B81106">
              <w:rPr>
                <w:rFonts w:ascii="Arial" w:hAnsi="Arial" w:cs="Arial"/>
                <w:noProof/>
                <w:webHidden/>
                <w:sz w:val="24"/>
                <w:szCs w:val="24"/>
              </w:rPr>
              <w:fldChar w:fldCharType="end"/>
            </w:r>
          </w:hyperlink>
        </w:p>
        <w:p w14:paraId="323F51A0" w14:textId="132751A5" w:rsidR="00B81106" w:rsidRPr="00B81106" w:rsidRDefault="00B81106" w:rsidP="00B81106">
          <w:pPr>
            <w:pStyle w:val="TOC2"/>
            <w:tabs>
              <w:tab w:val="right" w:leader="dot" w:pos="9016"/>
            </w:tabs>
            <w:spacing w:line="360" w:lineRule="auto"/>
            <w:jc w:val="both"/>
            <w:rPr>
              <w:rFonts w:ascii="Arial" w:hAnsi="Arial" w:cs="Arial"/>
              <w:noProof/>
              <w:sz w:val="24"/>
              <w:szCs w:val="24"/>
            </w:rPr>
          </w:pPr>
          <w:hyperlink w:anchor="_Toc236912157" w:history="1">
            <w:r w:rsidRPr="00B81106">
              <w:rPr>
                <w:rStyle w:val="Hyperlink"/>
                <w:rFonts w:ascii="Arial" w:hAnsi="Arial" w:cs="Arial"/>
                <w:noProof/>
                <w:color w:val="auto"/>
                <w:sz w:val="24"/>
                <w:szCs w:val="24"/>
              </w:rPr>
              <w:t>Public Health Approaches to Monitoring and Surveillance</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_Toc236912157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8</w:t>
            </w:r>
            <w:r w:rsidRPr="00B81106">
              <w:rPr>
                <w:rFonts w:ascii="Arial" w:hAnsi="Arial" w:cs="Arial"/>
                <w:noProof/>
                <w:webHidden/>
                <w:sz w:val="24"/>
                <w:szCs w:val="24"/>
              </w:rPr>
              <w:fldChar w:fldCharType="end"/>
            </w:r>
          </w:hyperlink>
        </w:p>
        <w:p w14:paraId="422B25C4" w14:textId="05B18AFF" w:rsidR="00B81106" w:rsidRPr="00B81106" w:rsidRDefault="00B81106" w:rsidP="00B81106">
          <w:pPr>
            <w:pStyle w:val="TOC2"/>
            <w:tabs>
              <w:tab w:val="right" w:leader="dot" w:pos="9016"/>
            </w:tabs>
            <w:spacing w:line="360" w:lineRule="auto"/>
            <w:jc w:val="both"/>
            <w:rPr>
              <w:rFonts w:ascii="Arial" w:hAnsi="Arial" w:cs="Arial"/>
              <w:noProof/>
              <w:sz w:val="24"/>
              <w:szCs w:val="24"/>
            </w:rPr>
          </w:pPr>
          <w:hyperlink w:anchor="_Toc236912158" w:history="1">
            <w:r w:rsidRPr="00B81106">
              <w:rPr>
                <w:rStyle w:val="Hyperlink"/>
                <w:rFonts w:ascii="Arial" w:hAnsi="Arial" w:cs="Arial"/>
                <w:noProof/>
                <w:color w:val="auto"/>
                <w:sz w:val="24"/>
                <w:szCs w:val="24"/>
              </w:rPr>
              <w:t>Public Health Measures Drawing on the Three P's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_Toc236912158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9</w:t>
            </w:r>
            <w:r w:rsidRPr="00B81106">
              <w:rPr>
                <w:rFonts w:ascii="Arial" w:hAnsi="Arial" w:cs="Arial"/>
                <w:noProof/>
                <w:webHidden/>
                <w:sz w:val="24"/>
                <w:szCs w:val="24"/>
              </w:rPr>
              <w:fldChar w:fldCharType="end"/>
            </w:r>
          </w:hyperlink>
        </w:p>
        <w:p w14:paraId="0C54A45A" w14:textId="0AD8DA20" w:rsidR="00B81106" w:rsidRPr="00B81106" w:rsidRDefault="00B81106" w:rsidP="00B81106">
          <w:pPr>
            <w:pStyle w:val="TOC2"/>
            <w:tabs>
              <w:tab w:val="right" w:leader="dot" w:pos="9016"/>
            </w:tabs>
            <w:spacing w:line="360" w:lineRule="auto"/>
            <w:jc w:val="both"/>
            <w:rPr>
              <w:rFonts w:ascii="Arial" w:hAnsi="Arial" w:cs="Arial"/>
              <w:noProof/>
              <w:sz w:val="24"/>
              <w:szCs w:val="24"/>
            </w:rPr>
          </w:pPr>
          <w:hyperlink w:anchor="_Toc236912159" w:history="1">
            <w:r w:rsidRPr="00B81106">
              <w:rPr>
                <w:rStyle w:val="Hyperlink"/>
                <w:rFonts w:ascii="Arial" w:hAnsi="Arial" w:cs="Arial"/>
                <w:noProof/>
                <w:color w:val="auto"/>
                <w:sz w:val="24"/>
                <w:szCs w:val="24"/>
              </w:rPr>
              <w:t>Public Health Impact and Short- and Long-Term Consequences</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_Toc236912159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9</w:t>
            </w:r>
            <w:r w:rsidRPr="00B81106">
              <w:rPr>
                <w:rFonts w:ascii="Arial" w:hAnsi="Arial" w:cs="Arial"/>
                <w:noProof/>
                <w:webHidden/>
                <w:sz w:val="24"/>
                <w:szCs w:val="24"/>
              </w:rPr>
              <w:fldChar w:fldCharType="end"/>
            </w:r>
          </w:hyperlink>
        </w:p>
        <w:p w14:paraId="2631C380" w14:textId="4F88E0F1" w:rsidR="00B81106" w:rsidRPr="00B81106" w:rsidRDefault="00B81106" w:rsidP="00B81106">
          <w:pPr>
            <w:pStyle w:val="TOC2"/>
            <w:tabs>
              <w:tab w:val="right" w:leader="dot" w:pos="9016"/>
            </w:tabs>
            <w:spacing w:line="360" w:lineRule="auto"/>
            <w:jc w:val="both"/>
            <w:rPr>
              <w:rFonts w:ascii="Arial" w:hAnsi="Arial" w:cs="Arial"/>
              <w:noProof/>
              <w:sz w:val="24"/>
              <w:szCs w:val="24"/>
            </w:rPr>
          </w:pPr>
          <w:hyperlink w:anchor="_Toc236912160" w:history="1">
            <w:r w:rsidRPr="00B81106">
              <w:rPr>
                <w:rStyle w:val="Hyperlink"/>
                <w:rFonts w:ascii="Arial" w:hAnsi="Arial" w:cs="Arial"/>
                <w:noProof/>
                <w:color w:val="auto"/>
                <w:sz w:val="24"/>
                <w:szCs w:val="24"/>
              </w:rPr>
              <w:t>Design and Evaluation of a Health Intervention Programme</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_Toc236912160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10</w:t>
            </w:r>
            <w:r w:rsidRPr="00B81106">
              <w:rPr>
                <w:rFonts w:ascii="Arial" w:hAnsi="Arial" w:cs="Arial"/>
                <w:noProof/>
                <w:webHidden/>
                <w:sz w:val="24"/>
                <w:szCs w:val="24"/>
              </w:rPr>
              <w:fldChar w:fldCharType="end"/>
            </w:r>
          </w:hyperlink>
        </w:p>
        <w:p w14:paraId="5E25BED2" w14:textId="5F143842" w:rsidR="00B81106" w:rsidRPr="00B81106" w:rsidRDefault="00B81106" w:rsidP="00B81106">
          <w:pPr>
            <w:pStyle w:val="TOC2"/>
            <w:tabs>
              <w:tab w:val="right" w:leader="dot" w:pos="9016"/>
            </w:tabs>
            <w:spacing w:line="360" w:lineRule="auto"/>
            <w:jc w:val="both"/>
            <w:rPr>
              <w:rFonts w:ascii="Arial" w:hAnsi="Arial" w:cs="Arial"/>
              <w:noProof/>
              <w:sz w:val="24"/>
              <w:szCs w:val="24"/>
            </w:rPr>
          </w:pPr>
          <w:hyperlink w:anchor="_Toc236912161" w:history="1">
            <w:r w:rsidRPr="00B81106">
              <w:rPr>
                <w:rStyle w:val="Hyperlink"/>
                <w:rFonts w:ascii="Arial" w:hAnsi="Arial" w:cs="Arial"/>
                <w:noProof/>
                <w:color w:val="auto"/>
                <w:sz w:val="24"/>
                <w:szCs w:val="24"/>
              </w:rPr>
              <w:t>Strengths and Weaknesses of the Epidemiological Approach</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_Toc236912161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10</w:t>
            </w:r>
            <w:r w:rsidRPr="00B81106">
              <w:rPr>
                <w:rFonts w:ascii="Arial" w:hAnsi="Arial" w:cs="Arial"/>
                <w:noProof/>
                <w:webHidden/>
                <w:sz w:val="24"/>
                <w:szCs w:val="24"/>
              </w:rPr>
              <w:fldChar w:fldCharType="end"/>
            </w:r>
          </w:hyperlink>
        </w:p>
        <w:p w14:paraId="69165667" w14:textId="328618A1" w:rsidR="00B81106" w:rsidRPr="00B81106" w:rsidRDefault="00B81106" w:rsidP="00B81106">
          <w:pPr>
            <w:pStyle w:val="TOC1"/>
            <w:tabs>
              <w:tab w:val="right" w:leader="dot" w:pos="9016"/>
            </w:tabs>
            <w:spacing w:line="360" w:lineRule="auto"/>
            <w:jc w:val="both"/>
            <w:rPr>
              <w:rFonts w:ascii="Arial" w:hAnsi="Arial" w:cs="Arial"/>
              <w:noProof/>
              <w:sz w:val="24"/>
              <w:szCs w:val="24"/>
            </w:rPr>
          </w:pPr>
          <w:hyperlink w:anchor="_Toc236912162" w:history="1">
            <w:r w:rsidRPr="00B81106">
              <w:rPr>
                <w:rStyle w:val="Hyperlink"/>
                <w:rFonts w:ascii="Arial" w:hAnsi="Arial" w:cs="Arial"/>
                <w:noProof/>
                <w:color w:val="auto"/>
                <w:sz w:val="24"/>
                <w:szCs w:val="24"/>
              </w:rPr>
              <w:t>Conclusion</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_Toc236912162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11</w:t>
            </w:r>
            <w:r w:rsidRPr="00B81106">
              <w:rPr>
                <w:rFonts w:ascii="Arial" w:hAnsi="Arial" w:cs="Arial"/>
                <w:noProof/>
                <w:webHidden/>
                <w:sz w:val="24"/>
                <w:szCs w:val="24"/>
              </w:rPr>
              <w:fldChar w:fldCharType="end"/>
            </w:r>
          </w:hyperlink>
        </w:p>
        <w:p w14:paraId="18FD9EA3" w14:textId="049175A0" w:rsidR="00B81106" w:rsidRPr="00B81106" w:rsidRDefault="00B81106" w:rsidP="00B81106">
          <w:pPr>
            <w:pStyle w:val="TOC1"/>
            <w:tabs>
              <w:tab w:val="right" w:leader="dot" w:pos="9016"/>
            </w:tabs>
            <w:spacing w:line="360" w:lineRule="auto"/>
            <w:jc w:val="both"/>
            <w:rPr>
              <w:rFonts w:ascii="Arial" w:hAnsi="Arial" w:cs="Arial"/>
              <w:noProof/>
              <w:sz w:val="24"/>
              <w:szCs w:val="24"/>
            </w:rPr>
          </w:pPr>
          <w:hyperlink w:anchor="_Toc236912163" w:history="1">
            <w:r w:rsidRPr="00B81106">
              <w:rPr>
                <w:rStyle w:val="Hyperlink"/>
                <w:rFonts w:ascii="Arial" w:hAnsi="Arial" w:cs="Arial"/>
                <w:noProof/>
                <w:color w:val="auto"/>
                <w:sz w:val="24"/>
                <w:szCs w:val="24"/>
              </w:rPr>
              <w:t>Reference List</w:t>
            </w:r>
            <w:r w:rsidRPr="00B81106">
              <w:rPr>
                <w:rFonts w:ascii="Arial" w:hAnsi="Arial" w:cs="Arial"/>
                <w:noProof/>
                <w:webHidden/>
                <w:sz w:val="24"/>
                <w:szCs w:val="24"/>
              </w:rPr>
              <w:tab/>
            </w:r>
            <w:r w:rsidRPr="00B81106">
              <w:rPr>
                <w:rFonts w:ascii="Arial" w:hAnsi="Arial" w:cs="Arial"/>
                <w:noProof/>
                <w:webHidden/>
                <w:sz w:val="24"/>
                <w:szCs w:val="24"/>
              </w:rPr>
              <w:fldChar w:fldCharType="begin"/>
            </w:r>
            <w:r w:rsidRPr="00B81106">
              <w:rPr>
                <w:rFonts w:ascii="Arial" w:hAnsi="Arial" w:cs="Arial"/>
                <w:noProof/>
                <w:webHidden/>
                <w:sz w:val="24"/>
                <w:szCs w:val="24"/>
              </w:rPr>
              <w:instrText xml:space="preserve"> PAGEREF _Toc236912163 \h </w:instrText>
            </w:r>
            <w:r w:rsidRPr="00B81106">
              <w:rPr>
                <w:rFonts w:ascii="Arial" w:hAnsi="Arial" w:cs="Arial"/>
                <w:noProof/>
                <w:webHidden/>
                <w:sz w:val="24"/>
                <w:szCs w:val="24"/>
              </w:rPr>
            </w:r>
            <w:r w:rsidRPr="00B81106">
              <w:rPr>
                <w:rFonts w:ascii="Arial" w:hAnsi="Arial" w:cs="Arial"/>
                <w:noProof/>
                <w:webHidden/>
                <w:sz w:val="24"/>
                <w:szCs w:val="24"/>
              </w:rPr>
              <w:fldChar w:fldCharType="separate"/>
            </w:r>
            <w:r w:rsidRPr="00B81106">
              <w:rPr>
                <w:rFonts w:ascii="Arial" w:hAnsi="Arial" w:cs="Arial"/>
                <w:noProof/>
                <w:webHidden/>
                <w:sz w:val="24"/>
                <w:szCs w:val="24"/>
              </w:rPr>
              <w:t>12</w:t>
            </w:r>
            <w:r w:rsidRPr="00B81106">
              <w:rPr>
                <w:rFonts w:ascii="Arial" w:hAnsi="Arial" w:cs="Arial"/>
                <w:noProof/>
                <w:webHidden/>
                <w:sz w:val="24"/>
                <w:szCs w:val="24"/>
              </w:rPr>
              <w:fldChar w:fldCharType="end"/>
            </w:r>
          </w:hyperlink>
        </w:p>
        <w:p w14:paraId="463F2BAA" w14:textId="5B5A3EC9" w:rsidR="00B81106" w:rsidRPr="00B81106" w:rsidRDefault="00B81106" w:rsidP="00B81106">
          <w:pPr>
            <w:spacing w:line="360" w:lineRule="auto"/>
            <w:jc w:val="both"/>
          </w:pPr>
          <w:r w:rsidRPr="00B81106">
            <w:rPr>
              <w:rFonts w:ascii="Arial" w:hAnsi="Arial" w:cs="Arial"/>
              <w:b/>
              <w:bCs/>
              <w:sz w:val="24"/>
              <w:szCs w:val="24"/>
              <w:lang w:val="en-GB"/>
            </w:rPr>
            <w:fldChar w:fldCharType="end"/>
          </w:r>
        </w:p>
      </w:sdtContent>
    </w:sdt>
    <w:p w14:paraId="65D92163" w14:textId="77777777" w:rsidR="00B81106" w:rsidRDefault="00B81106">
      <w:pPr>
        <w:rPr>
          <w:rFonts w:ascii="Arial" w:hAnsi="Arial" w:cs="Arial"/>
          <w:b/>
          <w:bCs/>
          <w:sz w:val="24"/>
          <w:szCs w:val="24"/>
        </w:rPr>
      </w:pPr>
      <w:r>
        <w:rPr>
          <w:rFonts w:ascii="Arial" w:hAnsi="Arial" w:cs="Arial"/>
        </w:rPr>
        <w:br w:type="page"/>
      </w:r>
    </w:p>
    <w:p w14:paraId="60C3D99C" w14:textId="3D7252A4" w:rsidR="00D93F47" w:rsidRPr="00B81106" w:rsidRDefault="00C86803" w:rsidP="00B81106">
      <w:pPr>
        <w:pStyle w:val="Heading1"/>
        <w:spacing w:after="100" w:afterAutospacing="1"/>
        <w:rPr>
          <w:rFonts w:ascii="Arial" w:hAnsi="Arial" w:cs="Arial"/>
        </w:rPr>
      </w:pPr>
      <w:bookmarkStart w:id="0" w:name="_Toc236912136"/>
      <w:r w:rsidRPr="00B81106">
        <w:rPr>
          <w:rFonts w:ascii="Arial" w:hAnsi="Arial" w:cs="Arial"/>
        </w:rPr>
        <w:lastRenderedPageBreak/>
        <w:t>Task 1: Social Epidemiological Analysis</w:t>
      </w:r>
      <w:bookmarkEnd w:id="0"/>
    </w:p>
    <w:p w14:paraId="551B69FF" w14:textId="77777777" w:rsidR="00D93F47" w:rsidRPr="00B81106" w:rsidRDefault="00C86803" w:rsidP="00B81106">
      <w:pPr>
        <w:pStyle w:val="Heading1"/>
        <w:spacing w:after="100" w:afterAutospacing="1"/>
        <w:rPr>
          <w:rFonts w:ascii="Arial" w:hAnsi="Arial" w:cs="Arial"/>
        </w:rPr>
      </w:pPr>
      <w:bookmarkStart w:id="1" w:name="_Toc236912137"/>
      <w:r w:rsidRPr="00B81106">
        <w:rPr>
          <w:rFonts w:ascii="Arial" w:hAnsi="Arial" w:cs="Arial"/>
        </w:rPr>
        <w:t>Introduction</w:t>
      </w:r>
      <w:bookmarkEnd w:id="1"/>
    </w:p>
    <w:p w14:paraId="17BE32C8" w14:textId="4E0D573B"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The elderly, often being a population above the age of 65 in UK policy, make up a very rapidly growing proportion of the population, and are widely known to be under a particularly high risk of health inequality. Weakness and functional ability are frequently hand in hand with age, and their conjoined effect with a social disadvantage underlying it contribute to more risk. This report will focus on six major issues of inequality that impact older people in UK after which the policy that the National government was employing to curb the situation will be looked at alongside the role that a charity can play to support the situation.</w:t>
      </w:r>
    </w:p>
    <w:p w14:paraId="76AEDFA5" w14:textId="77777777" w:rsidR="00D93F47" w:rsidRPr="00B81106" w:rsidRDefault="00C86803" w:rsidP="00B81106">
      <w:pPr>
        <w:pStyle w:val="Heading1"/>
        <w:spacing w:after="100" w:afterAutospacing="1"/>
        <w:rPr>
          <w:rFonts w:ascii="Arial" w:hAnsi="Arial" w:cs="Arial"/>
        </w:rPr>
      </w:pPr>
      <w:bookmarkStart w:id="2" w:name="_Toc236912138"/>
      <w:r w:rsidRPr="00B81106">
        <w:rPr>
          <w:rFonts w:ascii="Arial" w:hAnsi="Arial" w:cs="Arial"/>
        </w:rPr>
        <w:t>Contextual Background and Underlying Factors</w:t>
      </w:r>
      <w:bookmarkEnd w:id="2"/>
    </w:p>
    <w:p w14:paraId="2DC6B79A" w14:textId="77777777" w:rsidR="00D93F47" w:rsidRPr="00B81106" w:rsidRDefault="00C86803" w:rsidP="00B81106">
      <w:pPr>
        <w:pStyle w:val="Heading2"/>
        <w:spacing w:after="100" w:afterAutospacing="1"/>
        <w:rPr>
          <w:rFonts w:ascii="Arial" w:hAnsi="Arial" w:cs="Arial"/>
        </w:rPr>
      </w:pPr>
      <w:bookmarkStart w:id="3" w:name="_Toc236912139"/>
      <w:r w:rsidRPr="00B81106">
        <w:rPr>
          <w:rFonts w:ascii="Arial" w:hAnsi="Arial" w:cs="Arial"/>
        </w:rPr>
        <w:t>Disease and Illness Rates</w:t>
      </w:r>
      <w:bookmarkEnd w:id="3"/>
    </w:p>
    <w:p w14:paraId="3B7E4FC2" w14:textId="77777777" w:rsidR="00D93F47" w:rsidRPr="00B81106" w:rsidRDefault="00C86803" w:rsidP="00B81106">
      <w:pPr>
        <w:pStyle w:val="Heading3"/>
        <w:spacing w:afterAutospacing="1"/>
        <w:rPr>
          <w:rFonts w:ascii="Arial" w:hAnsi="Arial" w:cs="Arial"/>
        </w:rPr>
      </w:pPr>
      <w:bookmarkStart w:id="4" w:name="_Toc236912140"/>
      <w:r w:rsidRPr="00B81106">
        <w:rPr>
          <w:rFonts w:ascii="Arial" w:hAnsi="Arial" w:cs="Arial"/>
        </w:rPr>
        <w:t>Higher Rates of Mental Illness</w:t>
      </w:r>
      <w:bookmarkEnd w:id="4"/>
    </w:p>
    <w:p w14:paraId="77C6A3E2" w14:textId="0ECC1D82"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The older adults have depression, other forms of mental illness, and anxiety more often and are likely to be overlooked in routine care (Elshaikh et al., 2023). Loneliness and social isolation are intertwined with poorer mental health outcomes in older individuals, and the experience of longer exposure to each one is both related to poorer wellbeing in late-life (Barnes et al., 2022). The stigma, low mental health literacy and favour toward self-management decimate the already low likelihood of older individuals presenting with their psychological distress to the clinician even further (Elshaikh et al., 2023). To close this disparity, it is important to regularly screen and evaluate depression and anxiety in the context of the primary care and community settings.</w:t>
      </w:r>
    </w:p>
    <w:p w14:paraId="1A8A1036" w14:textId="77777777" w:rsidR="00D93F47" w:rsidRPr="00B81106" w:rsidRDefault="00C86803" w:rsidP="00B81106">
      <w:pPr>
        <w:pStyle w:val="Heading3"/>
        <w:spacing w:afterAutospacing="1"/>
        <w:rPr>
          <w:rFonts w:ascii="Arial" w:hAnsi="Arial" w:cs="Arial"/>
        </w:rPr>
      </w:pPr>
      <w:bookmarkStart w:id="5" w:name="_Toc236912141"/>
      <w:r w:rsidRPr="00B81106">
        <w:rPr>
          <w:rFonts w:ascii="Arial" w:hAnsi="Arial" w:cs="Arial"/>
        </w:rPr>
        <w:t>Low Rates of Access to Healthcare</w:t>
      </w:r>
      <w:bookmarkEnd w:id="5"/>
    </w:p>
    <w:p w14:paraId="3D9CABE1" w14:textId="522FCCAE"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The rising occurrence of the fact that mental healthcare in the UK among the elderly population is not uniform and the list of the most significant factors leading to the inequality in service utilisation includes the age among others (Lowther-Payne et al., 2023). Compared to younger adults, older people are less likely to be referred to </w:t>
      </w:r>
      <w:r w:rsidRPr="00B81106">
        <w:rPr>
          <w:rFonts w:ascii="Arial" w:hAnsi="Arial" w:cs="Arial"/>
          <w:sz w:val="24"/>
          <w:szCs w:val="24"/>
        </w:rPr>
        <w:lastRenderedPageBreak/>
        <w:t xml:space="preserve">psychological therapies in part due to the frequent attribution of symptoms of distress to physical illness or normal age progression (Lowther-Payne et al., 2023). This shortcoming is further aggravated by the obstacles such as difficulties in transportation, sensory and ignorance, regarding online reservation systems among the oldest and the most isolated individuals (Elshaikh et al., 2023). </w:t>
      </w:r>
    </w:p>
    <w:p w14:paraId="3E7A9C6C" w14:textId="77777777" w:rsidR="00D93F47" w:rsidRPr="00B81106" w:rsidRDefault="00C86803" w:rsidP="00B81106">
      <w:pPr>
        <w:pStyle w:val="Heading3"/>
        <w:spacing w:afterAutospacing="1"/>
        <w:rPr>
          <w:rFonts w:ascii="Arial" w:hAnsi="Arial" w:cs="Arial"/>
        </w:rPr>
      </w:pPr>
      <w:bookmarkStart w:id="6" w:name="_Toc236912142"/>
      <w:r w:rsidRPr="00B81106">
        <w:rPr>
          <w:rFonts w:ascii="Arial" w:hAnsi="Arial" w:cs="Arial"/>
        </w:rPr>
        <w:t>Mortality Rates and Frailty-Related Risk</w:t>
      </w:r>
      <w:bookmarkEnd w:id="6"/>
    </w:p>
    <w:p w14:paraId="00CFB23B" w14:textId="4794C617"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The frailty, which is a key predictor of hospitalisation, disability and death, are proportionately concentrated among the older demographic, and the worst-off individuals in the most deprived neighbourhoods face the highest risk of experiencing the frailty (Maharani et al., 2023). This difference was observed over a 15-year period of study, showing that the difference in risk associated with frailty has not decreased despite the focus of policies (Maharani et al., 2023). The excessive mortality could be reduced by community-based prevention activities that target the neighbourhoods with the highest prevalence i.e. tailored and geographic.</w:t>
      </w:r>
    </w:p>
    <w:p w14:paraId="3AF5307D" w14:textId="77777777" w:rsidR="00D93F47" w:rsidRPr="00B81106" w:rsidRDefault="00C86803" w:rsidP="00B81106">
      <w:pPr>
        <w:pStyle w:val="Heading2"/>
        <w:spacing w:after="100" w:afterAutospacing="1"/>
        <w:rPr>
          <w:rFonts w:ascii="Arial" w:hAnsi="Arial" w:cs="Arial"/>
        </w:rPr>
      </w:pPr>
      <w:bookmarkStart w:id="7" w:name="_Toc236912143"/>
      <w:r w:rsidRPr="00B81106">
        <w:rPr>
          <w:rFonts w:ascii="Arial" w:hAnsi="Arial" w:cs="Arial"/>
        </w:rPr>
        <w:t>Social Issues</w:t>
      </w:r>
      <w:bookmarkEnd w:id="7"/>
    </w:p>
    <w:p w14:paraId="6B5207F2" w14:textId="77777777" w:rsidR="00D93F47" w:rsidRPr="00B81106" w:rsidRDefault="00C86803" w:rsidP="00B81106">
      <w:pPr>
        <w:pStyle w:val="Heading3"/>
        <w:spacing w:afterAutospacing="1"/>
        <w:rPr>
          <w:rFonts w:ascii="Arial" w:hAnsi="Arial" w:cs="Arial"/>
        </w:rPr>
      </w:pPr>
      <w:bookmarkStart w:id="8" w:name="_Toc236912144"/>
      <w:r w:rsidRPr="00B81106">
        <w:rPr>
          <w:rFonts w:ascii="Arial" w:hAnsi="Arial" w:cs="Arial"/>
        </w:rPr>
        <w:t>Social Isolation and Loneliness</w:t>
      </w:r>
      <w:bookmarkEnd w:id="8"/>
    </w:p>
    <w:p w14:paraId="4507C0BB" w14:textId="0F794C21"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The more vulnerable group of people is older adults who are chronically lonely (live on their own, lost a partner, restricted mobility), which is susceptible to a myriad of adverse physical and psychological effects (Barnes et al., 2022). Social care professionals have observed that older adults can be helped with the help of digital interventions to reduce their feeling of isolation, though among the barriers to technology use many older adults are digital illiteracy and other forms of lack of confidence (Grey et al., 2024). This issue thus demands an integration of digital and non-digital solutions based on personal situations.</w:t>
      </w:r>
    </w:p>
    <w:p w14:paraId="55799C7A" w14:textId="77777777" w:rsidR="00D93F47" w:rsidRPr="00B81106" w:rsidRDefault="00C86803" w:rsidP="00B81106">
      <w:pPr>
        <w:pStyle w:val="Heading3"/>
        <w:spacing w:afterAutospacing="1"/>
        <w:rPr>
          <w:rFonts w:ascii="Arial" w:hAnsi="Arial" w:cs="Arial"/>
        </w:rPr>
      </w:pPr>
      <w:bookmarkStart w:id="9" w:name="_Toc236912145"/>
      <w:r w:rsidRPr="00B81106">
        <w:rPr>
          <w:rFonts w:ascii="Arial" w:hAnsi="Arial" w:cs="Arial"/>
        </w:rPr>
        <w:t>Poverty</w:t>
      </w:r>
      <w:bookmarkEnd w:id="9"/>
    </w:p>
    <w:p w14:paraId="3574C64B" w14:textId="3B6A38FF"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Financial hardship in late adulthood has close relationships with poorer health outcomes, and frailties vulnerable to poor energy are much more common in the most deprived neighbourhoods as opposed to the least deprived (Maharani et al., 2023). The lack of income in retirement can limit entry to healthy risking food, proper heating </w:t>
      </w:r>
      <w:r w:rsidRPr="00B81106">
        <w:rPr>
          <w:rFonts w:ascii="Arial" w:hAnsi="Arial" w:cs="Arial"/>
          <w:sz w:val="24"/>
          <w:szCs w:val="24"/>
        </w:rPr>
        <w:lastRenderedPageBreak/>
        <w:t xml:space="preserve">and transportation, all of which lead to a decreasing health on its own (Cartagena-Farias et al., 2025). The elderly are unable compared to the working-age adults to react to a higher cost of living since they usually get a set sum of pension amount and this further introduces more inequalities. </w:t>
      </w:r>
    </w:p>
    <w:p w14:paraId="5BE7FA25" w14:textId="77777777" w:rsidR="00D93F47" w:rsidRPr="00B81106" w:rsidRDefault="00C86803" w:rsidP="00B81106">
      <w:pPr>
        <w:pStyle w:val="Heading3"/>
        <w:spacing w:afterAutospacing="1"/>
        <w:rPr>
          <w:rFonts w:ascii="Arial" w:hAnsi="Arial" w:cs="Arial"/>
        </w:rPr>
      </w:pPr>
      <w:bookmarkStart w:id="10" w:name="_Toc236912146"/>
      <w:r w:rsidRPr="00B81106">
        <w:rPr>
          <w:rFonts w:ascii="Arial" w:hAnsi="Arial" w:cs="Arial"/>
        </w:rPr>
        <w:t>Housing and Fuel Poverty</w:t>
      </w:r>
      <w:bookmarkEnd w:id="10"/>
    </w:p>
    <w:p w14:paraId="6D74418B" w14:textId="1D541836"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The social determinants of ill health include poor-quality housing and fuel poverty and older people spend more time at home, consequently being disproportionately exposed to cold and damp conditions (Cartagena-Farias et al., 2025). Along with this, fuel poverty has been revealed to play a role in a rise in the risk of developing long-term care needs as well as deteriorating the mental health of older individuals (Cartagena-Farias et al., 2025). The effects do not seem to be dependent on household income </w:t>
      </w:r>
      <w:proofErr w:type="gramStart"/>
      <w:r w:rsidRPr="00B81106">
        <w:rPr>
          <w:rFonts w:ascii="Arial" w:hAnsi="Arial" w:cs="Arial"/>
          <w:sz w:val="24"/>
          <w:szCs w:val="24"/>
        </w:rPr>
        <w:t>alone,</w:t>
      </w:r>
      <w:proofErr w:type="gramEnd"/>
      <w:r w:rsidRPr="00B81106">
        <w:rPr>
          <w:rFonts w:ascii="Arial" w:hAnsi="Arial" w:cs="Arial"/>
          <w:sz w:val="24"/>
          <w:szCs w:val="24"/>
        </w:rPr>
        <w:t xml:space="preserve"> they seem to be independent. </w:t>
      </w:r>
    </w:p>
    <w:p w14:paraId="2003651D" w14:textId="77777777" w:rsidR="00D93F47" w:rsidRPr="00B81106" w:rsidRDefault="00C86803" w:rsidP="00B81106">
      <w:pPr>
        <w:pStyle w:val="Heading1"/>
        <w:spacing w:after="100" w:afterAutospacing="1"/>
        <w:rPr>
          <w:rFonts w:ascii="Arial" w:hAnsi="Arial" w:cs="Arial"/>
        </w:rPr>
      </w:pPr>
      <w:bookmarkStart w:id="11" w:name="_Toc236912147"/>
      <w:r w:rsidRPr="00B81106">
        <w:rPr>
          <w:rFonts w:ascii="Arial" w:hAnsi="Arial" w:cs="Arial"/>
        </w:rPr>
        <w:t>National Response to Reduce Health Inequalities</w:t>
      </w:r>
      <w:bookmarkEnd w:id="11"/>
    </w:p>
    <w:p w14:paraId="3D4AC780" w14:textId="4C47AE09"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Two examples of national policy response are quite obvious. To start with, the older adults, age-based disparity in access to psychological therapy that has been determined in the literature is directly approached in the efforts of NHS to promote access to talking therapies (Lowther-Payne et al., 2023). In addition to this, the UK has invested at a national level in social prescribing and a role of social-care-based digital and community-provided services in preventing loneliness and isolation among older adults based on the previous evidence that formal support through social care agency can enhance utilization of community-based resources (Grey et al., 2024). </w:t>
      </w:r>
    </w:p>
    <w:p w14:paraId="78D45BA7" w14:textId="77777777" w:rsidR="00D93F47" w:rsidRPr="00B81106" w:rsidRDefault="00C86803" w:rsidP="00B81106">
      <w:pPr>
        <w:pStyle w:val="Heading1"/>
        <w:spacing w:after="100" w:afterAutospacing="1"/>
        <w:rPr>
          <w:rFonts w:ascii="Arial" w:hAnsi="Arial" w:cs="Arial"/>
        </w:rPr>
      </w:pPr>
      <w:bookmarkStart w:id="12" w:name="_Toc236912148"/>
      <w:r w:rsidRPr="00B81106">
        <w:rPr>
          <w:rFonts w:ascii="Arial" w:hAnsi="Arial" w:cs="Arial"/>
        </w:rPr>
        <w:t>Organisations that Support Older People</w:t>
      </w:r>
      <w:bookmarkEnd w:id="12"/>
    </w:p>
    <w:p w14:paraId="05CD13ED" w14:textId="3E31990C"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The biggest UK charity which provides direct action on behalf of older people, Age UK, advocates the following concerns; loneliness, poverty, housing and undertakes research into ageing. The degree of peer-reviewing independence of other individual interventions provided by age UK of other factors, which have been managed by other authors, has been very limited in the available literature to date in order to support this report and this is an actual evidence gap as opposed to lack of evidence. The literature </w:t>
      </w:r>
      <w:r w:rsidRPr="00B81106">
        <w:rPr>
          <w:rFonts w:ascii="Arial" w:hAnsi="Arial" w:cs="Arial"/>
          <w:sz w:val="24"/>
          <w:szCs w:val="24"/>
        </w:rPr>
        <w:lastRenderedPageBreak/>
        <w:t xml:space="preserve">justifies the argument that loneliness is a measurable and solvable factor that may lead to ill health among older adults (Barnes et al., 2022). </w:t>
      </w:r>
    </w:p>
    <w:p w14:paraId="2782211F" w14:textId="77777777" w:rsidR="00D93F47" w:rsidRPr="00B81106" w:rsidRDefault="00C86803" w:rsidP="00B81106">
      <w:pPr>
        <w:pStyle w:val="Heading1"/>
        <w:spacing w:after="100" w:afterAutospacing="1"/>
        <w:rPr>
          <w:rFonts w:ascii="Arial" w:hAnsi="Arial" w:cs="Arial"/>
        </w:rPr>
      </w:pPr>
      <w:bookmarkStart w:id="13" w:name="_Toc236912149"/>
      <w:r w:rsidRPr="00B81106">
        <w:rPr>
          <w:rFonts w:ascii="Arial" w:hAnsi="Arial" w:cs="Arial"/>
        </w:rPr>
        <w:t>Conclusion</w:t>
      </w:r>
      <w:bookmarkEnd w:id="13"/>
    </w:p>
    <w:p w14:paraId="463D7AAD" w14:textId="378AED3A"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As illustrated, in the UK, the elderly are undergoing compounding health inequities on both disease specific and social platforms. Isolation contributes to the high prevalence of mental health problems, limited access to healthcare, and an ancient socioeconomic gradient of weakness, mortality. These inequalities are neither a necessary outcome of the ageing process, nor a product of inequality of access to income, services and social connection over the life course, but rather a consequence of the impact of inequality on access to these processes. Charities such as Age UK can also play a part; they lobby to reform policy and provide direct relief in those areas unprovided by statutory services.</w:t>
      </w:r>
    </w:p>
    <w:p w14:paraId="5C3883C9" w14:textId="77777777" w:rsidR="00C81E6F" w:rsidRPr="00B81106" w:rsidRDefault="00C81E6F" w:rsidP="00B81106">
      <w:pPr>
        <w:spacing w:after="100" w:afterAutospacing="1" w:line="360" w:lineRule="auto"/>
        <w:rPr>
          <w:rFonts w:ascii="Arial" w:hAnsi="Arial" w:cs="Arial"/>
          <w:sz w:val="24"/>
          <w:szCs w:val="24"/>
        </w:rPr>
      </w:pPr>
      <w:r w:rsidRPr="00B81106">
        <w:rPr>
          <w:rFonts w:ascii="Arial" w:hAnsi="Arial" w:cs="Arial"/>
          <w:sz w:val="24"/>
          <w:szCs w:val="24"/>
        </w:rPr>
        <w:br w:type="page"/>
      </w:r>
    </w:p>
    <w:p w14:paraId="3F982593" w14:textId="25D0F44A" w:rsidR="00D93F47" w:rsidRPr="00B81106" w:rsidRDefault="00C86803" w:rsidP="00B81106">
      <w:pPr>
        <w:pStyle w:val="Heading1"/>
        <w:spacing w:after="100" w:afterAutospacing="1"/>
        <w:rPr>
          <w:rFonts w:ascii="Arial" w:hAnsi="Arial" w:cs="Arial"/>
        </w:rPr>
      </w:pPr>
      <w:bookmarkStart w:id="14" w:name="_Toc236912150"/>
      <w:r w:rsidRPr="00B81106">
        <w:rPr>
          <w:rFonts w:ascii="Arial" w:hAnsi="Arial" w:cs="Arial"/>
        </w:rPr>
        <w:lastRenderedPageBreak/>
        <w:t>Task 2: Epidemiological Analysis</w:t>
      </w:r>
      <w:bookmarkEnd w:id="14"/>
    </w:p>
    <w:p w14:paraId="01190442" w14:textId="77777777" w:rsidR="00D93F47" w:rsidRPr="00B81106" w:rsidRDefault="00C86803" w:rsidP="00B81106">
      <w:pPr>
        <w:pStyle w:val="Heading1"/>
        <w:spacing w:after="100" w:afterAutospacing="1"/>
        <w:rPr>
          <w:rFonts w:ascii="Arial" w:hAnsi="Arial" w:cs="Arial"/>
        </w:rPr>
      </w:pPr>
      <w:bookmarkStart w:id="15" w:name="_Toc236912151"/>
      <w:r w:rsidRPr="00B81106">
        <w:rPr>
          <w:rFonts w:ascii="Arial" w:hAnsi="Arial" w:cs="Arial"/>
        </w:rPr>
        <w:t>Introduction</w:t>
      </w:r>
      <w:bookmarkEnd w:id="15"/>
    </w:p>
    <w:p w14:paraId="37C519EA" w14:textId="77777777" w:rsidR="00D93F47" w:rsidRPr="00B81106" w:rsidRDefault="00C86803" w:rsidP="00B81106">
      <w:pPr>
        <w:pStyle w:val="Heading2"/>
        <w:spacing w:after="100" w:afterAutospacing="1"/>
        <w:rPr>
          <w:rFonts w:ascii="Arial" w:hAnsi="Arial" w:cs="Arial"/>
        </w:rPr>
      </w:pPr>
      <w:bookmarkStart w:id="16" w:name="_Toc236912152"/>
      <w:r w:rsidRPr="00B81106">
        <w:rPr>
          <w:rFonts w:ascii="Arial" w:hAnsi="Arial" w:cs="Arial"/>
        </w:rPr>
        <w:t>Definition and Consequences</w:t>
      </w:r>
      <w:bookmarkEnd w:id="16"/>
    </w:p>
    <w:p w14:paraId="1F7FF9DB" w14:textId="7E39014E"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Type 2 diabetes mellitus (T2DM) </w:t>
      </w:r>
      <w:r w:rsidR="00C81E6F" w:rsidRPr="00B81106">
        <w:rPr>
          <w:rFonts w:ascii="Arial" w:hAnsi="Arial" w:cs="Arial"/>
          <w:sz w:val="24"/>
          <w:szCs w:val="24"/>
        </w:rPr>
        <w:t xml:space="preserve">is a chronic metabolic disorder, the characteristic of which is the sustained presence of hyperglycaemia, which is predetermined by the insulin resistance and progressive deficiency of pancreatic beta-cells (Huang et al., 2025). Severe runaways, including cardiovascular disease, retinopathy, nephropathy and lower-limb amputation, and a high social and economic cost to patients, their families and health systems are associated with the untreated or poorly treated T2DM (Huang et al., 2025). Besides the physical outcomes, the condition has considerable psychological and social expenses in terms of reduced quality of life and burden of long-term care and lost productivity. </w:t>
      </w:r>
    </w:p>
    <w:p w14:paraId="0BA10F51" w14:textId="77777777" w:rsidR="00D93F47" w:rsidRPr="00B81106" w:rsidRDefault="00C86803" w:rsidP="00B81106">
      <w:pPr>
        <w:pStyle w:val="Heading2"/>
        <w:spacing w:after="100" w:afterAutospacing="1"/>
        <w:rPr>
          <w:rFonts w:ascii="Arial" w:hAnsi="Arial" w:cs="Arial"/>
        </w:rPr>
      </w:pPr>
      <w:bookmarkStart w:id="17" w:name="_Toc236912153"/>
      <w:r w:rsidRPr="00B81106">
        <w:rPr>
          <w:rFonts w:ascii="Arial" w:hAnsi="Arial" w:cs="Arial"/>
        </w:rPr>
        <w:t>Global and UK Levels of Incidence and Prevalence</w:t>
      </w:r>
      <w:bookmarkEnd w:id="17"/>
    </w:p>
    <w:p w14:paraId="3CD55837" w14:textId="38F97CCA"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In recent decades the prevalence of T2DM has increased significantly all over the world, and the number of cases has been largely sparked by population growth, ageing and increasing obesity with the number of cases worldwide expected to only go up by 2050 (Huang et al., 2025). Raised body mass index and a high fasting plasma glucose concentration are mentioned to be the main modifiable factors contributing to the global disease burden (Huang et al., 2025). In England, the geographical distribution is quite uneven, and the prevalence of the disease is disproportionately high in some urban zones; in Birmingham, the prevalence, as of 2021/22, is 9.1</w:t>
      </w:r>
      <w:r w:rsidR="00B81106" w:rsidRPr="00B81106">
        <w:rPr>
          <w:rFonts w:ascii="Arial" w:hAnsi="Arial" w:cs="Arial"/>
          <w:sz w:val="24"/>
          <w:szCs w:val="24"/>
        </w:rPr>
        <w:t xml:space="preserve">% </w:t>
      </w:r>
      <w:r w:rsidRPr="00B81106">
        <w:rPr>
          <w:rFonts w:ascii="Arial" w:hAnsi="Arial" w:cs="Arial"/>
          <w:sz w:val="24"/>
          <w:szCs w:val="24"/>
        </w:rPr>
        <w:t xml:space="preserve">(Au-Yeung et al., 2024). </w:t>
      </w:r>
    </w:p>
    <w:p w14:paraId="5FA5FBE3" w14:textId="77777777" w:rsidR="00D93F47" w:rsidRPr="00B81106" w:rsidRDefault="00C86803" w:rsidP="00B81106">
      <w:pPr>
        <w:pStyle w:val="Heading1"/>
        <w:spacing w:after="100" w:afterAutospacing="1"/>
        <w:rPr>
          <w:rFonts w:ascii="Arial" w:hAnsi="Arial" w:cs="Arial"/>
        </w:rPr>
      </w:pPr>
      <w:bookmarkStart w:id="18" w:name="_Toc236912154"/>
      <w:r w:rsidRPr="00B81106">
        <w:rPr>
          <w:rFonts w:ascii="Arial" w:hAnsi="Arial" w:cs="Arial"/>
        </w:rPr>
        <w:t>Main Body</w:t>
      </w:r>
      <w:bookmarkEnd w:id="18"/>
    </w:p>
    <w:p w14:paraId="7DBD1F5C" w14:textId="77777777" w:rsidR="00D93F47" w:rsidRPr="00B81106" w:rsidRDefault="00C86803" w:rsidP="00B81106">
      <w:pPr>
        <w:pStyle w:val="Heading2"/>
        <w:spacing w:after="100" w:afterAutospacing="1"/>
        <w:rPr>
          <w:rFonts w:ascii="Arial" w:hAnsi="Arial" w:cs="Arial"/>
        </w:rPr>
      </w:pPr>
      <w:bookmarkStart w:id="19" w:name="_Toc236912155"/>
      <w:r w:rsidRPr="00B81106">
        <w:rPr>
          <w:rFonts w:ascii="Arial" w:hAnsi="Arial" w:cs="Arial"/>
        </w:rPr>
        <w:t>Determinants and Risk Factors</w:t>
      </w:r>
      <w:bookmarkEnd w:id="19"/>
    </w:p>
    <w:p w14:paraId="5B68FBD7" w14:textId="69CACCF5"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The key risk factors of T2DM are older age, obesity, inactivity, the South Asian and the African Caribbean population have a huge increase in risk in comparison with the European population despite behavioural factors (Farmaki et al., 2022). Socioeconomic deprivation is the independent risk factor, the results of which are </w:t>
      </w:r>
      <w:r w:rsidRPr="00B81106">
        <w:rPr>
          <w:rFonts w:ascii="Arial" w:hAnsi="Arial" w:cs="Arial"/>
          <w:sz w:val="24"/>
          <w:szCs w:val="24"/>
        </w:rPr>
        <w:lastRenderedPageBreak/>
        <w:t>revealed by the NHS Health Check data: the number of diabetes cases that can strictly be linked to socioeconomic deprivation is rather large in the ethnically diverse population groups (Au-Yeung et al., 2024). It should also be mentioned that the ethnicity-enhanced risk could not be fully explained by the deprivation factors as genetic admixture studies show that even the second-generation migrants with both the South Asian and African Caribbean ancestry are at increased risk (Farmaki et al., 2022). This observation reaffirms the message that T2DM determinants in London Boroughs with an ethnically diverse population work by both socioeconomic and biological mechanisms with needs.</w:t>
      </w:r>
    </w:p>
    <w:p w14:paraId="659244D7" w14:textId="77777777" w:rsidR="00D93F47" w:rsidRPr="00B81106" w:rsidRDefault="00C86803" w:rsidP="00B81106">
      <w:pPr>
        <w:pStyle w:val="Heading2"/>
        <w:spacing w:after="100" w:afterAutospacing="1"/>
        <w:rPr>
          <w:rFonts w:ascii="Arial" w:hAnsi="Arial" w:cs="Arial"/>
        </w:rPr>
      </w:pPr>
      <w:bookmarkStart w:id="20" w:name="_Toc236912156"/>
      <w:r w:rsidRPr="00B81106">
        <w:rPr>
          <w:rFonts w:ascii="Arial" w:hAnsi="Arial" w:cs="Arial"/>
        </w:rPr>
        <w:t>Health Needs Assessment and Identification of At-Risk Populations</w:t>
      </w:r>
      <w:bookmarkEnd w:id="20"/>
    </w:p>
    <w:p w14:paraId="3767CEDD" w14:textId="3D2FACA4"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NHS Health Check and regularly recorded primary care data would be used as the primary data to find people with non-diabetic hyperglycaemia (or prediabetes) at highest risk of short-term progression and include them in a health needs assessment of a London Borough (Au-Yeung et al., 2024). There is a risk of developing T2DM of about 11 per cent annually in a person with non-diabetic hyperglycaemia, and obesity, which justifies continual diagnosis (McManus et al., 2022). </w:t>
      </w:r>
      <w:r w:rsidR="00B81106" w:rsidRPr="00B81106">
        <w:rPr>
          <w:rFonts w:ascii="Arial" w:hAnsi="Arial" w:cs="Arial"/>
          <w:sz w:val="24"/>
          <w:szCs w:val="24"/>
        </w:rPr>
        <w:t>In addition to this, a</w:t>
      </w:r>
      <w:r w:rsidRPr="00B81106">
        <w:rPr>
          <w:rFonts w:ascii="Arial" w:hAnsi="Arial" w:cs="Arial"/>
          <w:sz w:val="24"/>
          <w:szCs w:val="24"/>
        </w:rPr>
        <w:t>t risk is ethnic minority groups and individuals who are disproportionately represented and reside in deprived neighbourhoods, and therefore, results should explicitly stratify by ethnicity and deprivation on the basis of not borough only (Au-Yeung et al., 2024). The community-based implementation appraisals also point to the fact that the involvement of multi-ethnic people in the marketing of the programme directly enhances the aptitude and applicability of the ensuing interventions (Dallosso et al., 2023).</w:t>
      </w:r>
    </w:p>
    <w:p w14:paraId="2477B733" w14:textId="77777777" w:rsidR="00D93F47" w:rsidRPr="00B81106" w:rsidRDefault="00C86803" w:rsidP="00B81106">
      <w:pPr>
        <w:pStyle w:val="Heading2"/>
        <w:spacing w:after="100" w:afterAutospacing="1"/>
        <w:rPr>
          <w:rFonts w:ascii="Arial" w:hAnsi="Arial" w:cs="Arial"/>
        </w:rPr>
      </w:pPr>
      <w:bookmarkStart w:id="21" w:name="_Toc236912157"/>
      <w:r w:rsidRPr="00B81106">
        <w:rPr>
          <w:rFonts w:ascii="Arial" w:hAnsi="Arial" w:cs="Arial"/>
        </w:rPr>
        <w:t>Public Health Approaches to Monitoring and Surveillance</w:t>
      </w:r>
      <w:bookmarkEnd w:id="21"/>
    </w:p>
    <w:p w14:paraId="1FBBDADF" w14:textId="4647D774"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T2DM surveillance in England is currently predominantly carried out utilizing the National Diabetes Audit and the primary care databases, which allow tracking the incidence, prevalence and treatment outcomes of a population on a routine basis (McManus et al., 2022). With these systems, researchers could demonstrate that the introduction of the national diabetes prevention programme was associated with a statistically significant reduction in the overall prevalence of type 2 diabetes among the English people (McManus et al., 2022). The other, more geographically specific surveillance instrument that could be applied to keep track of the disparities at the </w:t>
      </w:r>
      <w:r w:rsidRPr="00B81106">
        <w:rPr>
          <w:rFonts w:ascii="Arial" w:hAnsi="Arial" w:cs="Arial"/>
          <w:sz w:val="24"/>
          <w:szCs w:val="24"/>
        </w:rPr>
        <w:lastRenderedPageBreak/>
        <w:t>borough level is associated with NHS Health Check data as it could be demonstrated in the case of Birmingham (Au-Yeung et al., 2024). Combined, these intersecting systems allow an ability both to track national-level trends and local targeting, but as they are based on primary care data that is regularly collected, unregistered individuals with a general practice might not be represented sufficiently.</w:t>
      </w:r>
    </w:p>
    <w:p w14:paraId="04C87176" w14:textId="77777777" w:rsidR="00D93F47" w:rsidRPr="00B81106" w:rsidRDefault="00C86803" w:rsidP="00B81106">
      <w:pPr>
        <w:pStyle w:val="Heading2"/>
        <w:spacing w:after="100" w:afterAutospacing="1"/>
        <w:rPr>
          <w:rFonts w:ascii="Arial" w:hAnsi="Arial" w:cs="Arial"/>
        </w:rPr>
      </w:pPr>
      <w:bookmarkStart w:id="22" w:name="_Toc236912158"/>
      <w:r w:rsidRPr="00B81106">
        <w:rPr>
          <w:rFonts w:ascii="Arial" w:hAnsi="Arial" w:cs="Arial"/>
        </w:rPr>
        <w:t>Public Health Measures Drawing on the Three P's</w:t>
      </w:r>
      <w:bookmarkEnd w:id="22"/>
    </w:p>
    <w:p w14:paraId="18B5642E" w14:textId="541F8B20"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The conceptual value of the nature of public health response to T2DM with regard to prevention, protection and promotion paradigm can be seen as potentially valuable. The first example is the national diabetes prevention programme, which is a well-structured behaviour-change intervention that grouped adults with non-diabetic hyperglycaemia and has been proven to reduce a progression of diabetes on a population level (McManus et al., 2022). Health protection is based on NHS Health Checks which is a systematic approach to diagnose those at risk in the primary care environment (Au-Yeung et al., 2024). Multiethnic-specific prevention programs applied in communities through health promotion have demonstrated increased reach of programmes when implemented with respect to local context, and cultural relevance (Dallosso et al., 2023). The combination of all three strategies within one of the Boroughs in London would allow the possibility of having universal screening characteristics associated with the culturally relevant behaviour change assistance on the most at-risk groups.</w:t>
      </w:r>
    </w:p>
    <w:p w14:paraId="01D107EA" w14:textId="77777777" w:rsidR="00D93F47" w:rsidRPr="00B81106" w:rsidRDefault="00C86803" w:rsidP="00B81106">
      <w:pPr>
        <w:pStyle w:val="Heading2"/>
        <w:spacing w:after="100" w:afterAutospacing="1"/>
        <w:rPr>
          <w:rFonts w:ascii="Arial" w:hAnsi="Arial" w:cs="Arial"/>
        </w:rPr>
      </w:pPr>
      <w:bookmarkStart w:id="23" w:name="_Toc236912159"/>
      <w:r w:rsidRPr="00B81106">
        <w:rPr>
          <w:rFonts w:ascii="Arial" w:hAnsi="Arial" w:cs="Arial"/>
        </w:rPr>
        <w:t>Public Health Impact and Short- and Long-Term Consequences</w:t>
      </w:r>
      <w:bookmarkEnd w:id="23"/>
    </w:p>
    <w:p w14:paraId="4B294F42" w14:textId="15DF9CA0"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Hyperglycaemic emergency and undiagnosed or low-level controlled T2DM in the short-term exposes people to acute complications and direct demands on primary care and the emergency. T2DM significantly elevates the possibilities of cardiovascular disease, chronic kidney disease and early mortality and disability-adjusted life-years that the disease will cause globally are also likely to continue rising until 2050 (Huang et al., 2025). An ageing population will also contribute significantly to increasing mortality associated with T2DM, which is also expected in places with age-standardised rates of incidence relative to generally stable (Huang et al., 2025). In the case of a London Borough with a population of ethnically diverse individuals with a rapidly ageing population, this implies that the challenge of long-term morbidity not </w:t>
      </w:r>
      <w:r w:rsidRPr="00B81106">
        <w:rPr>
          <w:rFonts w:ascii="Arial" w:hAnsi="Arial" w:cs="Arial"/>
          <w:sz w:val="24"/>
          <w:szCs w:val="24"/>
        </w:rPr>
        <w:lastRenderedPageBreak/>
        <w:t>incidence itself may present the most significant challenge to health and social care area. An effective early intervention is hence very important in minimizing the downstream pressures to services at the borough level.</w:t>
      </w:r>
    </w:p>
    <w:p w14:paraId="0AD27A1D" w14:textId="77777777" w:rsidR="00D93F47" w:rsidRPr="00B81106" w:rsidRDefault="00C86803" w:rsidP="00B81106">
      <w:pPr>
        <w:pStyle w:val="Heading2"/>
        <w:spacing w:after="100" w:afterAutospacing="1"/>
        <w:rPr>
          <w:rFonts w:ascii="Arial" w:hAnsi="Arial" w:cs="Arial"/>
        </w:rPr>
      </w:pPr>
      <w:bookmarkStart w:id="24" w:name="_Toc236912160"/>
      <w:r w:rsidRPr="00B81106">
        <w:rPr>
          <w:rFonts w:ascii="Arial" w:hAnsi="Arial" w:cs="Arial"/>
        </w:rPr>
        <w:t>Design and Evaluation of a Health Intervention Programme</w:t>
      </w:r>
      <w:bookmarkEnd w:id="24"/>
    </w:p>
    <w:p w14:paraId="47A35A90" w14:textId="59293206"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An appropriate intervention on the level of the borough would be evidence-based systematic screening NHS Health Check that is referred to a locally specific diabetes prevention programme. Evaluation research has disclosed that behaviour-change content in the national programme is not always offered on the evidence base and goal-setting practices do not typically achieve the recommended levels of evidence (Hawkes et al., 2021). It is demonstrated in qualitative fidelity literature, too, that behaviour-change methods are not necessarily received by participants as intended, suggesting that just as much should be invested in ensuring the local adaptation of any training and quality assurance of the person delivering it (Miles et al., 2022). The implication of the implementation research in multi-ethnic primary care worksites is that the outreach and uptake of the prevention programmes can be improved among the underserved populations with the help of the community engagement and systematic evaluation model (Dallosso et al., 2023). </w:t>
      </w:r>
    </w:p>
    <w:p w14:paraId="60D630B6" w14:textId="77777777" w:rsidR="00D93F47" w:rsidRPr="00B81106" w:rsidRDefault="00C86803" w:rsidP="00B81106">
      <w:pPr>
        <w:pStyle w:val="Heading2"/>
        <w:spacing w:after="100" w:afterAutospacing="1"/>
        <w:rPr>
          <w:rFonts w:ascii="Arial" w:hAnsi="Arial" w:cs="Arial"/>
        </w:rPr>
      </w:pPr>
      <w:bookmarkStart w:id="25" w:name="_Toc236912161"/>
      <w:r w:rsidRPr="00B81106">
        <w:rPr>
          <w:rFonts w:ascii="Arial" w:hAnsi="Arial" w:cs="Arial"/>
        </w:rPr>
        <w:t>Strengths and Weaknesses of the Epidemiological Approach</w:t>
      </w:r>
      <w:bookmarkEnd w:id="25"/>
    </w:p>
    <w:p w14:paraId="14178D43" w14:textId="122E3FFE" w:rsidR="00D93F47" w:rsidRPr="00B81106" w:rsidRDefault="00C81E6F"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The primary strength of this epidemiological approach is that it employs large, regularly-collected data that allows identifying trends and disparity between populations and following these at a huge scale of statistical effectiveness (McManus et al., 2022). By triangulating quantitative surveillance data with qualitative data about implementation of research, both sides are able to understand the extent of the issue and the realistic challenges to intervention (Brunton et al., 2023). That said, the implication that this system of relying on primary care records suggests is that, by default, anyone who is neither under the care of a general practitioner nor some of the most socioeconomically disadvantaged residents would be underrepresented in the surveillance data (Au-Yeung et al., 2024). Additionally, much of the evidence on which it is based refers to national, or similar urban populations, as opposed to the target London Borough itself, and this is a real weakness which must be acknowledged, and should not be hidden. </w:t>
      </w:r>
    </w:p>
    <w:p w14:paraId="66930054" w14:textId="77777777" w:rsidR="00D93F47" w:rsidRPr="00B81106" w:rsidRDefault="00C86803" w:rsidP="00B81106">
      <w:pPr>
        <w:pStyle w:val="Heading1"/>
        <w:spacing w:after="100" w:afterAutospacing="1"/>
        <w:rPr>
          <w:rFonts w:ascii="Arial" w:hAnsi="Arial" w:cs="Arial"/>
        </w:rPr>
      </w:pPr>
      <w:bookmarkStart w:id="26" w:name="_Toc236912162"/>
      <w:r w:rsidRPr="00B81106">
        <w:rPr>
          <w:rFonts w:ascii="Arial" w:hAnsi="Arial" w:cs="Arial"/>
        </w:rPr>
        <w:lastRenderedPageBreak/>
        <w:t>Conclusion</w:t>
      </w:r>
      <w:bookmarkEnd w:id="26"/>
    </w:p>
    <w:p w14:paraId="3080912D" w14:textId="60D77142" w:rsidR="00D93F47" w:rsidRPr="00B81106" w:rsidRDefault="00B81106" w:rsidP="00B81106">
      <w:pPr>
        <w:spacing w:after="100" w:afterAutospacing="1" w:line="360" w:lineRule="auto"/>
        <w:jc w:val="both"/>
        <w:rPr>
          <w:rFonts w:ascii="Arial" w:hAnsi="Arial" w:cs="Arial"/>
          <w:sz w:val="24"/>
          <w:szCs w:val="24"/>
        </w:rPr>
      </w:pPr>
      <w:r w:rsidRPr="00B81106">
        <w:rPr>
          <w:rFonts w:ascii="Arial" w:hAnsi="Arial" w:cs="Arial"/>
          <w:sz w:val="24"/>
          <w:szCs w:val="24"/>
        </w:rPr>
        <w:t>In conclusion, t</w:t>
      </w:r>
      <w:r w:rsidR="00C81E6F" w:rsidRPr="00B81106">
        <w:rPr>
          <w:rFonts w:ascii="Arial" w:hAnsi="Arial" w:cs="Arial"/>
          <w:sz w:val="24"/>
          <w:szCs w:val="24"/>
        </w:rPr>
        <w:t xml:space="preserve">ype 2 diabetes mellitus is a preventable and treatable disease with a disproportionately high burden on ethnically diverse and socioeconomically disadvantaged urban populations, which many London Boroughs have. The </w:t>
      </w:r>
      <w:proofErr w:type="gramStart"/>
      <w:r w:rsidR="00050815">
        <w:rPr>
          <w:rFonts w:ascii="Arial" w:hAnsi="Arial" w:cs="Arial"/>
          <w:sz w:val="24"/>
          <w:szCs w:val="24"/>
        </w:rPr>
        <w:t xml:space="preserve">combinate </w:t>
      </w:r>
      <w:r w:rsidR="00C81E6F" w:rsidRPr="00B81106">
        <w:rPr>
          <w:rFonts w:ascii="Arial" w:hAnsi="Arial" w:cs="Arial"/>
          <w:sz w:val="24"/>
          <w:szCs w:val="24"/>
        </w:rPr>
        <w:t xml:space="preserve"> consistent</w:t>
      </w:r>
      <w:proofErr w:type="gramEnd"/>
      <w:r w:rsidR="00C81E6F" w:rsidRPr="00B81106">
        <w:rPr>
          <w:rFonts w:ascii="Arial" w:hAnsi="Arial" w:cs="Arial"/>
          <w:sz w:val="24"/>
          <w:szCs w:val="24"/>
        </w:rPr>
        <w:t xml:space="preserve"> monitoring, attention to specific health needs measurement and culturally responsive prevention programme and delivery sensitive to fidelity and equity of reach is crucial to strategic epidemiological interventions. Although national evaluation evidence is a robust base in designing local interventions, there is a paucity of borough specific data.</w:t>
      </w:r>
      <w:r w:rsidRPr="00B81106">
        <w:rPr>
          <w:rFonts w:ascii="Arial" w:hAnsi="Arial" w:cs="Arial"/>
          <w:sz w:val="24"/>
          <w:szCs w:val="24"/>
        </w:rPr>
        <w:t xml:space="preserve"> Whatever the level of intervention is strongly evaluated should include measurement of clinical results, delivery and equity of reach together, and is informed by the mixed methods approach of the national evaluation of the diabetes prevention programme. The relevance of such findings would also be improved considerably in the future with the introduction of local assessment, such as data of health needs assessment in terms of a borough specific basis.</w:t>
      </w:r>
    </w:p>
    <w:p w14:paraId="1EB830FA" w14:textId="77777777" w:rsidR="00B81106" w:rsidRDefault="00B81106">
      <w:pPr>
        <w:rPr>
          <w:rFonts w:ascii="Arial" w:hAnsi="Arial" w:cs="Arial"/>
          <w:b/>
          <w:bCs/>
          <w:sz w:val="24"/>
          <w:szCs w:val="24"/>
        </w:rPr>
      </w:pPr>
      <w:r>
        <w:rPr>
          <w:rFonts w:ascii="Arial" w:hAnsi="Arial" w:cs="Arial"/>
        </w:rPr>
        <w:br w:type="page"/>
      </w:r>
    </w:p>
    <w:p w14:paraId="4F4E2C16" w14:textId="45A32466" w:rsidR="00D93F47" w:rsidRPr="00B81106" w:rsidRDefault="00C86803" w:rsidP="00B81106">
      <w:pPr>
        <w:pStyle w:val="Heading1"/>
        <w:spacing w:after="100" w:afterAutospacing="1"/>
        <w:rPr>
          <w:rFonts w:ascii="Arial" w:hAnsi="Arial" w:cs="Arial"/>
        </w:rPr>
      </w:pPr>
      <w:bookmarkStart w:id="27" w:name="_Toc236912163"/>
      <w:r w:rsidRPr="00B81106">
        <w:rPr>
          <w:rFonts w:ascii="Arial" w:hAnsi="Arial" w:cs="Arial"/>
        </w:rPr>
        <w:lastRenderedPageBreak/>
        <w:t>Reference List</w:t>
      </w:r>
      <w:bookmarkEnd w:id="27"/>
    </w:p>
    <w:p w14:paraId="04FE1F70"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Au-Yeung, C.H., Ellis, D., Dallaway, A., Riley, J., Varney, J. and Howell-Jones, R. (2024) 'Socioeconomic and ethnic inequalities increase the risk of type 2 diabetes: an analysis of NHS health check attendees in Birmingham', Frontiers in Public Health, 12, 1477418. Available at: https://www.frontiersin.org/journals/public-health/articles/10.3389/fpubh.2024.1477418/full (Accessed: 6 August 2026).</w:t>
      </w:r>
    </w:p>
    <w:p w14:paraId="2408BE31"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Barnes, T.L., MacLeod, S., Tkatch, R., Ahuja, M., Albright, L., Schaeffer, J.A. and Yeh, C.S. (2022) 'Cumulative effect of loneliness and social isolation on health outcomes among older adults', Aging &amp; Mental Health, 26(7), pp.1327-1334. Available at: https://www.tandfonline.com/doi/full/10.1080/13607863.2021.1940096 (Accessed: 6 August 2026).</w:t>
      </w:r>
    </w:p>
    <w:p w14:paraId="7E75219B"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Bower, P., Soiland-Reyes, C., Heller, S., Wilson, P., Cotterill, S., French, D. and Sutton, M. (2023) 'Diabetes prevention at scale: narrative review of findings and lessons from the DIPLOMA evaluation of the NHS Diabetes Prevention Programme in England', Diabetic Medicine, 40(11), e15209. Available at: https://onlinelibrary.wiley.com/doi/10.1111/dme.15209 (Accessed: 6 August 2026).</w:t>
      </w:r>
    </w:p>
    <w:p w14:paraId="6E974645"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Brunton, L., Soiland-Reyes, C. and Wilson, P. (2023) 'A qualitative evaluation of the national rollout of a diabetes prevention programme in England', BMC Health Services Research, 23(1), 1043. Available at: https://bmchealthservres.biomedcentral.com/articles/10.1186/s12913-023-10002-y (Accessed: 6 August 2026).</w:t>
      </w:r>
    </w:p>
    <w:p w14:paraId="3C6FB4C9"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Cartagena-Farias, J., Brimblecombe, N., Hu, B. and Rickman, S. (2025) 'Long-term care needs and fuel poverty among older people: beyond energy consumption and affordability', Social Indicators Research. Available at: https://www.ncbi.nlm.nih.gov/pmc/articles/PMC12511146/ (Accessed: 6 August 2026).</w:t>
      </w:r>
    </w:p>
    <w:p w14:paraId="24775644"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 xml:space="preserve">Dallosso, H., Khunti, K., Gray, L.J., Hulley, K., Ghaly, M., Patel, N., Kai, J., Aujla, N., Davies, M.J. and Yates, T. (2023) 'Implementation of a diabetes prevention programme in a multi-ethnic community in primary care in England: an evaluation </w:t>
      </w:r>
      <w:r w:rsidRPr="00B81106">
        <w:rPr>
          <w:rFonts w:ascii="Arial" w:hAnsi="Arial" w:cs="Arial"/>
          <w:sz w:val="24"/>
          <w:szCs w:val="24"/>
        </w:rPr>
        <w:lastRenderedPageBreak/>
        <w:t>using constructs from the RE-AIM Framework', Primary Care Diabetes, 17(4), pp.309-313. Available at: https://doi.org/10.1016/j.pcd.2023.05.001 (Accessed: 6 August 2026).</w:t>
      </w:r>
    </w:p>
    <w:p w14:paraId="113540FA"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Elshaikh, U., Sheik, R., Saeed, R.K.M., Chivese, T. and Alsayed Hassan, D. (2023) 'Barriers and facilitators of older adults for professional mental health help-seeking: a systematic review', BMC Geriatrics, 23(1), 516. Available at: https://bmcgeriatr.biomedcentral.com/articles/10.1186/s12877-023-04229-x (Accessed: 6 August 2026).</w:t>
      </w:r>
    </w:p>
    <w:p w14:paraId="430A7B3B"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Farmaki, A-E., Garfield, V., Eastwood, S.V., Farmer, R.E., Mathur, R., Giannakopoulou, O., Patalay, P., Kuchenbaecker, K., Sattar, N., Hughes, A., Bhaskaran, K., Smeeth, L. and Chaturvedi, N. (2022) 'Type 2 diabetes risks and determinants in second-generation migrants and mixed ethnicity people of South Asian and African Caribbean descent in the UK', Diabetologia, 65(1), pp.113-127. Available at: https://link.springer.com/article/10.1007/s00125-021-05580-7 (Accessed: 6 August 2026).</w:t>
      </w:r>
    </w:p>
    <w:p w14:paraId="04265A0F"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Grey, E., Baber, F., Corbett, E., Ellis, D., Gillison, F. and Barnett, J. (2024) 'The use of technology to address loneliness and social isolation among older adults: the role of social care providers', BMC Public Health, 24. Available at: https://www.ncbi.nlm.nih.gov/pmc/articles/PMC10770975/ (Accessed: 6 August 2026).</w:t>
      </w:r>
    </w:p>
    <w:p w14:paraId="4E5999D6"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Hawkes, R.E., Warren, L., Cameron, E. and French, D.P. (2021) 'An evaluation of goal setting in the NHS England diabetes prevention programme', Psychology &amp; Health, 37(2), pp.131-150. Available at: https://www.tandfonline.com/doi/full/10.1080/08870446.2021.1872790 (Accessed: 6 August 2026).</w:t>
      </w:r>
    </w:p>
    <w:p w14:paraId="5E6F7CE8"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Huang, Q., Li, Y., Yu, M., Lv, Z., Lu, F., Xu, N., Zhang, Q., Shen, J., Zhu, J. and Jiang, H. (2025) 'Global burden and risk factors of type 2 diabetes mellitus from 1990 to 2021, with forecasts to 2050', Frontiers in Endocrinology, 16, 1538143. Available at: https://www.frontiersin.org/journals/endocrinology/articles/10.3389/fendo.2025.1538143/full (Accessed: 6 August 2026).</w:t>
      </w:r>
    </w:p>
    <w:p w14:paraId="7617CC22"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lastRenderedPageBreak/>
        <w:t>Lowther-Payne, H.J., Ushakova, A., Beckwith, A., Liberty, C., Edge, R. and Lobban, F. (2023) 'Understanding inequalities in access to adult mental health services in the UK: a systematic mapping review', BMC Health Services Research, 23(1), 1042. Available at: https://bmchealthservres.biomedcentral.com/articles/10.1186/s12913-023-10030-8 (Accessed: 6 August 2026).</w:t>
      </w:r>
    </w:p>
    <w:p w14:paraId="09FF3E39"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Maharani, A., Sinclair, D.R., Chandola, T., Bower, P., Clegg, A., Hanratty, B., Nazroo, J., Pendleton, N., Tampubolon, G., Todd, C., Wittenberg, R., O'Neill, T.W. and Matthews, F.E. (2023) 'Household wealth, neighbourhood deprivation and frailty amongst middle-aged and older adults in England: a longitudinal analysis over 15 years (2002-2017)', Age and Ageing, 52(3), afad034. Available at: https://academic.oup.com/ageing/article/52/3/afad034/7093109 (Accessed: 6 August 2026).</w:t>
      </w:r>
    </w:p>
    <w:p w14:paraId="2002CC94"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McManus, E., Meacock, R., Parkinson, B. and Sutton, M. (2022) 'Population level impact of the NHS Diabetes Prevention Programme on incidence of type 2 diabetes in England: an observational study', The Lancet Regional Health - Europe, 19, 100420. Available at: https://www.sciencedirect.com/science/article/pii/S2666776222001144 (Accessed: 6 August 2026).</w:t>
      </w:r>
    </w:p>
    <w:p w14:paraId="266F0243" w14:textId="77777777" w:rsidR="00D93F47" w:rsidRPr="00B81106" w:rsidRDefault="00C86803" w:rsidP="00B81106">
      <w:pPr>
        <w:spacing w:after="100" w:afterAutospacing="1" w:line="360" w:lineRule="auto"/>
        <w:jc w:val="both"/>
        <w:rPr>
          <w:rFonts w:ascii="Arial" w:hAnsi="Arial" w:cs="Arial"/>
          <w:sz w:val="24"/>
          <w:szCs w:val="24"/>
        </w:rPr>
      </w:pPr>
      <w:r w:rsidRPr="00B81106">
        <w:rPr>
          <w:rFonts w:ascii="Arial" w:hAnsi="Arial" w:cs="Arial"/>
          <w:sz w:val="24"/>
          <w:szCs w:val="24"/>
        </w:rPr>
        <w:t>Miles, L.M., Hawkes, R.E. and French, D.P. (2022) 'How is the behavior change technique content of the NHS Diabetes Prevention Program understood by participants? A qualitative study of fidelity, with a focus on receipt', Annals of Behavioral Medicine, 56(7), pp.749-759. Available at: https://academic.oup.com/abm/article/56/7/749/6425659 (Accessed: 6 August 2026).</w:t>
      </w:r>
    </w:p>
    <w:sectPr w:rsidR="00D93F47" w:rsidRPr="00B81106" w:rsidSect="00B1177C">
      <w:footerReference w:type="default" r:id="rId8"/>
      <w:pgSz w:w="11906" w:h="16838"/>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6E8624" w14:textId="77777777" w:rsidR="001D0E1A" w:rsidRDefault="001D0E1A" w:rsidP="00B1177C">
      <w:r>
        <w:separator/>
      </w:r>
    </w:p>
  </w:endnote>
  <w:endnote w:type="continuationSeparator" w:id="0">
    <w:p w14:paraId="5DBC4E0B" w14:textId="77777777" w:rsidR="001D0E1A" w:rsidRDefault="001D0E1A" w:rsidP="00B117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1666981552"/>
      <w:docPartObj>
        <w:docPartGallery w:val="Page Numbers (Bottom of Page)"/>
        <w:docPartUnique/>
      </w:docPartObj>
    </w:sdtPr>
    <w:sdtEndPr/>
    <w:sdtContent>
      <w:p w14:paraId="79754880" w14:textId="14022768" w:rsidR="00B1177C" w:rsidRPr="00B1177C" w:rsidRDefault="00B1177C">
        <w:pPr>
          <w:pStyle w:val="Footer"/>
          <w:jc w:val="center"/>
          <w:rPr>
            <w:rFonts w:ascii="Arial" w:hAnsi="Arial" w:cs="Arial"/>
            <w:sz w:val="20"/>
            <w:szCs w:val="20"/>
          </w:rPr>
        </w:pPr>
        <w:r w:rsidRPr="00B1177C">
          <w:rPr>
            <w:rFonts w:ascii="Arial" w:hAnsi="Arial" w:cs="Arial"/>
            <w:sz w:val="20"/>
            <w:szCs w:val="20"/>
          </w:rPr>
          <w:fldChar w:fldCharType="begin"/>
        </w:r>
        <w:r w:rsidRPr="00B1177C">
          <w:rPr>
            <w:rFonts w:ascii="Arial" w:hAnsi="Arial" w:cs="Arial"/>
            <w:sz w:val="20"/>
            <w:szCs w:val="20"/>
          </w:rPr>
          <w:instrText>PAGE   \* MERGEFORMAT</w:instrText>
        </w:r>
        <w:r w:rsidRPr="00B1177C">
          <w:rPr>
            <w:rFonts w:ascii="Arial" w:hAnsi="Arial" w:cs="Arial"/>
            <w:sz w:val="20"/>
            <w:szCs w:val="20"/>
          </w:rPr>
          <w:fldChar w:fldCharType="separate"/>
        </w:r>
        <w:r w:rsidRPr="00B1177C">
          <w:rPr>
            <w:rFonts w:ascii="Arial" w:hAnsi="Arial" w:cs="Arial"/>
            <w:sz w:val="20"/>
            <w:szCs w:val="20"/>
            <w:lang w:val="en-GB"/>
          </w:rPr>
          <w:t>2</w:t>
        </w:r>
        <w:r w:rsidRPr="00B1177C">
          <w:rPr>
            <w:rFonts w:ascii="Arial" w:hAnsi="Arial" w:cs="Arial"/>
            <w:sz w:val="20"/>
            <w:szCs w:val="20"/>
          </w:rPr>
          <w:fldChar w:fldCharType="end"/>
        </w:r>
      </w:p>
    </w:sdtContent>
  </w:sdt>
  <w:p w14:paraId="10D40260" w14:textId="77777777" w:rsidR="00B1177C" w:rsidRPr="00B1177C" w:rsidRDefault="00B1177C">
    <w:pPr>
      <w:pStyle w:val="Footer"/>
      <w:rPr>
        <w:rFonts w:ascii="Arial" w:hAnsi="Arial" w:cs="Arial"/>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9AB95A" w14:textId="77777777" w:rsidR="001D0E1A" w:rsidRDefault="001D0E1A" w:rsidP="00B1177C">
      <w:r>
        <w:separator/>
      </w:r>
    </w:p>
  </w:footnote>
  <w:footnote w:type="continuationSeparator" w:id="0">
    <w:p w14:paraId="1F5C1167" w14:textId="77777777" w:rsidR="001D0E1A" w:rsidRDefault="001D0E1A" w:rsidP="00B117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521890"/>
    <w:multiLevelType w:val="hybridMultilevel"/>
    <w:tmpl w:val="0AB29EBA"/>
    <w:lvl w:ilvl="0" w:tplc="CB5AF532">
      <w:start w:val="1"/>
      <w:numFmt w:val="bullet"/>
      <w:lvlText w:val="●"/>
      <w:lvlJc w:val="left"/>
      <w:pPr>
        <w:ind w:left="720" w:hanging="360"/>
      </w:pPr>
    </w:lvl>
    <w:lvl w:ilvl="1" w:tplc="3A0AD9D2">
      <w:start w:val="1"/>
      <w:numFmt w:val="bullet"/>
      <w:lvlText w:val="○"/>
      <w:lvlJc w:val="left"/>
      <w:pPr>
        <w:ind w:left="1440" w:hanging="360"/>
      </w:pPr>
    </w:lvl>
    <w:lvl w:ilvl="2" w:tplc="DCD21AA6">
      <w:start w:val="1"/>
      <w:numFmt w:val="bullet"/>
      <w:lvlText w:val="■"/>
      <w:lvlJc w:val="left"/>
      <w:pPr>
        <w:ind w:left="2160" w:hanging="360"/>
      </w:pPr>
    </w:lvl>
    <w:lvl w:ilvl="3" w:tplc="B90EEC06">
      <w:start w:val="1"/>
      <w:numFmt w:val="bullet"/>
      <w:lvlText w:val="●"/>
      <w:lvlJc w:val="left"/>
      <w:pPr>
        <w:ind w:left="2880" w:hanging="360"/>
      </w:pPr>
    </w:lvl>
    <w:lvl w:ilvl="4" w:tplc="4BAC5D36">
      <w:start w:val="1"/>
      <w:numFmt w:val="bullet"/>
      <w:lvlText w:val="○"/>
      <w:lvlJc w:val="left"/>
      <w:pPr>
        <w:ind w:left="3600" w:hanging="360"/>
      </w:pPr>
    </w:lvl>
    <w:lvl w:ilvl="5" w:tplc="49083E58">
      <w:start w:val="1"/>
      <w:numFmt w:val="bullet"/>
      <w:lvlText w:val="■"/>
      <w:lvlJc w:val="left"/>
      <w:pPr>
        <w:ind w:left="4320" w:hanging="360"/>
      </w:pPr>
    </w:lvl>
    <w:lvl w:ilvl="6" w:tplc="00D8CD00">
      <w:start w:val="1"/>
      <w:numFmt w:val="bullet"/>
      <w:lvlText w:val="●"/>
      <w:lvlJc w:val="left"/>
      <w:pPr>
        <w:ind w:left="5040" w:hanging="360"/>
      </w:pPr>
    </w:lvl>
    <w:lvl w:ilvl="7" w:tplc="25C445EC">
      <w:start w:val="1"/>
      <w:numFmt w:val="bullet"/>
      <w:lvlText w:val="●"/>
      <w:lvlJc w:val="left"/>
      <w:pPr>
        <w:ind w:left="5760" w:hanging="360"/>
      </w:pPr>
    </w:lvl>
    <w:lvl w:ilvl="8" w:tplc="C804E438">
      <w:start w:val="1"/>
      <w:numFmt w:val="bullet"/>
      <w:lvlText w:val="●"/>
      <w:lvlJc w:val="left"/>
      <w:pPr>
        <w:ind w:left="6480" w:hanging="360"/>
      </w:pPr>
    </w:lvl>
  </w:abstractNum>
  <w:num w:numId="1" w16cid:durableId="174105406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3F47"/>
    <w:rsid w:val="00050815"/>
    <w:rsid w:val="00145D76"/>
    <w:rsid w:val="001D0E1A"/>
    <w:rsid w:val="002978AF"/>
    <w:rsid w:val="0052115A"/>
    <w:rsid w:val="007862B2"/>
    <w:rsid w:val="00934E4B"/>
    <w:rsid w:val="009641E8"/>
    <w:rsid w:val="00966AC4"/>
    <w:rsid w:val="00A946CD"/>
    <w:rsid w:val="00B1177C"/>
    <w:rsid w:val="00B5305F"/>
    <w:rsid w:val="00B81106"/>
    <w:rsid w:val="00C50AE7"/>
    <w:rsid w:val="00C81E6F"/>
    <w:rsid w:val="00C86803"/>
    <w:rsid w:val="00CC31E4"/>
    <w:rsid w:val="00D31E5E"/>
    <w:rsid w:val="00D93F47"/>
    <w:rsid w:val="00EE119B"/>
    <w:rsid w:val="00EE6C91"/>
    <w:rsid w:val="00F07DC0"/>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AD5E1C"/>
  <w15:docId w15:val="{440F4FB2-7590-4BB6-8E87-3FE2E1A86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Title"/>
    <w:uiPriority w:val="9"/>
    <w:qFormat/>
    <w:rsid w:val="00C81E6F"/>
    <w:pPr>
      <w:spacing w:after="300" w:line="360" w:lineRule="auto"/>
      <w:jc w:val="both"/>
      <w:outlineLvl w:val="0"/>
    </w:pPr>
    <w:rPr>
      <w:rFonts w:ascii="Times New Roman" w:hAnsi="Times New Roman" w:cs="Times New Roman"/>
      <w:b/>
      <w:bCs/>
      <w:sz w:val="24"/>
      <w:szCs w:val="24"/>
    </w:rPr>
  </w:style>
  <w:style w:type="paragraph" w:styleId="Heading2">
    <w:name w:val="heading 2"/>
    <w:uiPriority w:val="9"/>
    <w:unhideWhenUsed/>
    <w:qFormat/>
    <w:rsid w:val="00C81E6F"/>
    <w:pPr>
      <w:spacing w:before="240" w:after="120" w:line="360" w:lineRule="auto"/>
      <w:jc w:val="both"/>
      <w:outlineLvl w:val="1"/>
    </w:pPr>
    <w:rPr>
      <w:rFonts w:ascii="Times New Roman" w:hAnsi="Times New Roman" w:cs="Times New Roman"/>
      <w:b/>
      <w:bCs/>
      <w:sz w:val="24"/>
      <w:szCs w:val="24"/>
    </w:rPr>
  </w:style>
  <w:style w:type="paragraph" w:styleId="Heading3">
    <w:name w:val="heading 3"/>
    <w:uiPriority w:val="9"/>
    <w:unhideWhenUsed/>
    <w:qFormat/>
    <w:rsid w:val="00C81E6F"/>
    <w:pPr>
      <w:spacing w:before="200" w:after="100" w:line="360" w:lineRule="auto"/>
      <w:jc w:val="both"/>
      <w:outlineLvl w:val="2"/>
    </w:pPr>
    <w:rPr>
      <w:rFonts w:ascii="Times New Roman" w:hAnsi="Times New Roman" w:cs="Times New Roman"/>
      <w:b/>
      <w:bCs/>
      <w:i/>
      <w:iCs/>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B81106"/>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B81106"/>
    <w:pPr>
      <w:spacing w:after="100"/>
    </w:pPr>
  </w:style>
  <w:style w:type="paragraph" w:styleId="TOC2">
    <w:name w:val="toc 2"/>
    <w:basedOn w:val="Normal"/>
    <w:next w:val="Normal"/>
    <w:autoRedefine/>
    <w:uiPriority w:val="39"/>
    <w:unhideWhenUsed/>
    <w:rsid w:val="00B81106"/>
    <w:pPr>
      <w:spacing w:after="100"/>
      <w:ind w:left="220"/>
    </w:pPr>
  </w:style>
  <w:style w:type="paragraph" w:styleId="TOC3">
    <w:name w:val="toc 3"/>
    <w:basedOn w:val="Normal"/>
    <w:next w:val="Normal"/>
    <w:autoRedefine/>
    <w:uiPriority w:val="39"/>
    <w:unhideWhenUsed/>
    <w:rsid w:val="00B81106"/>
    <w:pPr>
      <w:spacing w:after="100"/>
      <w:ind w:left="440"/>
    </w:pPr>
  </w:style>
  <w:style w:type="paragraph" w:styleId="Header">
    <w:name w:val="header"/>
    <w:basedOn w:val="Normal"/>
    <w:link w:val="HeaderChar"/>
    <w:uiPriority w:val="99"/>
    <w:unhideWhenUsed/>
    <w:rsid w:val="00B1177C"/>
    <w:pPr>
      <w:tabs>
        <w:tab w:val="center" w:pos="4513"/>
        <w:tab w:val="right" w:pos="9026"/>
      </w:tabs>
    </w:pPr>
  </w:style>
  <w:style w:type="character" w:customStyle="1" w:styleId="HeaderChar">
    <w:name w:val="Header Char"/>
    <w:basedOn w:val="DefaultParagraphFont"/>
    <w:link w:val="Header"/>
    <w:uiPriority w:val="99"/>
    <w:rsid w:val="00B1177C"/>
  </w:style>
  <w:style w:type="paragraph" w:styleId="Footer">
    <w:name w:val="footer"/>
    <w:basedOn w:val="Normal"/>
    <w:link w:val="FooterChar"/>
    <w:uiPriority w:val="99"/>
    <w:unhideWhenUsed/>
    <w:rsid w:val="00B1177C"/>
    <w:pPr>
      <w:tabs>
        <w:tab w:val="center" w:pos="4513"/>
        <w:tab w:val="right" w:pos="9026"/>
      </w:tabs>
    </w:pPr>
  </w:style>
  <w:style w:type="character" w:customStyle="1" w:styleId="FooterChar">
    <w:name w:val="Footer Char"/>
    <w:basedOn w:val="DefaultParagraphFont"/>
    <w:link w:val="Footer"/>
    <w:uiPriority w:val="99"/>
    <w:rsid w:val="00B117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58DF80-7C41-4DB3-9DDC-478EBED01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3880</Words>
  <Characters>22121</Characters>
  <Application>Microsoft Office Word</Application>
  <DocSecurity>0</DocSecurity>
  <Lines>184</Lines>
  <Paragraphs>51</Paragraphs>
  <ScaleCrop>false</ScaleCrop>
  <Company/>
  <LinksUpToDate>false</LinksUpToDate>
  <CharactersWithSpaces>25950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PRAJAPATI HIMANI</dc:creator>
  <cp:lastModifiedBy>PRAJAPATI HIMANI</cp:lastModifiedBy>
  <cp:revision>2</cp:revision>
  <dcterms:created xsi:type="dcterms:W3CDTF">2026-08-17T00:46:00Z</dcterms:created>
  <dcterms:modified xsi:type="dcterms:W3CDTF">2026-08-17T00:46:00Z</dcterms:modified>
</cp:coreProperties>
</file>