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46AF14" w14:textId="7F7A1D5E" w:rsidR="00F228F3" w:rsidRPr="00467A40" w:rsidRDefault="00F228F3">
      <w:pPr>
        <w:rPr>
          <w:rFonts w:ascii="Arial" w:hAnsi="Arial" w:cs="Arial"/>
          <w:sz w:val="24"/>
          <w:szCs w:val="24"/>
        </w:rPr>
      </w:pPr>
      <w:r w:rsidRPr="00467A40">
        <w:rPr>
          <w:rFonts w:ascii="Arial" w:hAnsi="Arial" w:cs="Arial"/>
          <w:sz w:val="24"/>
          <w:szCs w:val="24"/>
        </w:rPr>
        <w:t xml:space="preserve">Exploring </w:t>
      </w:r>
      <w:r w:rsidR="000C6764" w:rsidRPr="00467A40">
        <w:rPr>
          <w:rFonts w:ascii="Arial" w:hAnsi="Arial" w:cs="Arial"/>
          <w:sz w:val="24"/>
          <w:szCs w:val="24"/>
        </w:rPr>
        <w:t>T</w:t>
      </w:r>
      <w:r w:rsidRPr="00467A40">
        <w:rPr>
          <w:rFonts w:ascii="Arial" w:hAnsi="Arial" w:cs="Arial"/>
          <w:sz w:val="24"/>
          <w:szCs w:val="24"/>
        </w:rPr>
        <w:t xml:space="preserve">he </w:t>
      </w:r>
      <w:r w:rsidR="000C6764" w:rsidRPr="00467A40">
        <w:rPr>
          <w:rFonts w:ascii="Arial" w:hAnsi="Arial" w:cs="Arial"/>
          <w:sz w:val="24"/>
          <w:szCs w:val="24"/>
        </w:rPr>
        <w:t>R</w:t>
      </w:r>
      <w:r w:rsidRPr="00467A40">
        <w:rPr>
          <w:rFonts w:ascii="Arial" w:hAnsi="Arial" w:cs="Arial"/>
          <w:sz w:val="24"/>
          <w:szCs w:val="24"/>
        </w:rPr>
        <w:t xml:space="preserve">elationship </w:t>
      </w:r>
      <w:r w:rsidR="000C6764" w:rsidRPr="00467A40">
        <w:rPr>
          <w:rFonts w:ascii="Arial" w:hAnsi="Arial" w:cs="Arial"/>
          <w:sz w:val="24"/>
          <w:szCs w:val="24"/>
        </w:rPr>
        <w:t>B</w:t>
      </w:r>
      <w:r w:rsidRPr="00467A40">
        <w:rPr>
          <w:rFonts w:ascii="Arial" w:hAnsi="Arial" w:cs="Arial"/>
          <w:sz w:val="24"/>
          <w:szCs w:val="24"/>
        </w:rPr>
        <w:t xml:space="preserve">etween </w:t>
      </w:r>
      <w:r w:rsidR="000C6764" w:rsidRPr="00467A40">
        <w:rPr>
          <w:rFonts w:ascii="Arial" w:hAnsi="Arial" w:cs="Arial"/>
          <w:sz w:val="24"/>
          <w:szCs w:val="24"/>
        </w:rPr>
        <w:t>C</w:t>
      </w:r>
      <w:r w:rsidRPr="00467A40">
        <w:rPr>
          <w:rFonts w:ascii="Arial" w:hAnsi="Arial" w:cs="Arial"/>
          <w:sz w:val="24"/>
          <w:szCs w:val="24"/>
        </w:rPr>
        <w:t xml:space="preserve">onservation </w:t>
      </w:r>
      <w:r w:rsidR="000C6764" w:rsidRPr="00467A40">
        <w:rPr>
          <w:rFonts w:ascii="Arial" w:hAnsi="Arial" w:cs="Arial"/>
          <w:sz w:val="24"/>
          <w:szCs w:val="24"/>
        </w:rPr>
        <w:t>A</w:t>
      </w:r>
      <w:r w:rsidRPr="00467A40">
        <w:rPr>
          <w:rFonts w:ascii="Arial" w:hAnsi="Arial" w:cs="Arial"/>
          <w:sz w:val="24"/>
          <w:szCs w:val="24"/>
        </w:rPr>
        <w:t xml:space="preserve">rchitecture </w:t>
      </w:r>
      <w:r w:rsidR="00810D74" w:rsidRPr="00467A40">
        <w:rPr>
          <w:rFonts w:ascii="Arial" w:hAnsi="Arial" w:cs="Arial"/>
          <w:sz w:val="24"/>
          <w:szCs w:val="24"/>
        </w:rPr>
        <w:t>and</w:t>
      </w:r>
      <w:r w:rsidRPr="00467A40">
        <w:rPr>
          <w:rFonts w:ascii="Arial" w:hAnsi="Arial" w:cs="Arial"/>
          <w:sz w:val="24"/>
          <w:szCs w:val="24"/>
        </w:rPr>
        <w:t xml:space="preserve"> </w:t>
      </w:r>
      <w:r w:rsidR="000C6764" w:rsidRPr="00467A40">
        <w:rPr>
          <w:rFonts w:ascii="Arial" w:hAnsi="Arial" w:cs="Arial"/>
          <w:sz w:val="24"/>
          <w:szCs w:val="24"/>
        </w:rPr>
        <w:t>H</w:t>
      </w:r>
      <w:r w:rsidRPr="00467A40">
        <w:rPr>
          <w:rFonts w:ascii="Arial" w:hAnsi="Arial" w:cs="Arial"/>
          <w:sz w:val="24"/>
          <w:szCs w:val="24"/>
        </w:rPr>
        <w:t xml:space="preserve">uman </w:t>
      </w:r>
      <w:r w:rsidR="000C6764" w:rsidRPr="00467A40">
        <w:rPr>
          <w:rFonts w:ascii="Arial" w:hAnsi="Arial" w:cs="Arial"/>
          <w:sz w:val="24"/>
          <w:szCs w:val="24"/>
        </w:rPr>
        <w:t>E</w:t>
      </w:r>
      <w:r w:rsidRPr="00467A40">
        <w:rPr>
          <w:rFonts w:ascii="Arial" w:hAnsi="Arial" w:cs="Arial"/>
          <w:sz w:val="24"/>
          <w:szCs w:val="24"/>
        </w:rPr>
        <w:t>motions</w:t>
      </w:r>
    </w:p>
    <w:p w14:paraId="4A2A61CE" w14:textId="7B4028A0" w:rsidR="000C6764" w:rsidRPr="00467A40" w:rsidRDefault="000C6764" w:rsidP="000C6764">
      <w:pPr>
        <w:rPr>
          <w:rFonts w:ascii="Arial" w:hAnsi="Arial" w:cs="Arial"/>
          <w:b/>
          <w:bCs/>
          <w:sz w:val="24"/>
          <w:szCs w:val="24"/>
        </w:rPr>
      </w:pPr>
      <w:r w:rsidRPr="00467A40">
        <w:rPr>
          <w:rFonts w:ascii="Arial" w:hAnsi="Arial" w:cs="Arial"/>
          <w:b/>
          <w:bCs/>
          <w:sz w:val="24"/>
          <w:szCs w:val="24"/>
        </w:rPr>
        <w:t xml:space="preserve">Introduction: </w:t>
      </w:r>
      <w:r w:rsidRPr="00467A40">
        <w:rPr>
          <w:rFonts w:ascii="Arial" w:hAnsi="Arial" w:cs="Arial"/>
          <w:sz w:val="24"/>
          <w:szCs w:val="24"/>
        </w:rPr>
        <w:t xml:space="preserve">This study explores the relationship between conservation architecture and human emotions. Understanding what leads to an emotional response to conservation architecture is an important factor to consider so that the conservation of buildings continues to remain important to communities and countries. The study will explore how the conservation and adaptive reuse of historic buildings impacts and effects human emotions. Through understanding the emotional responses people have to a building and why, the emotional connection to a site can be carefully considered for future conservation projects. What part memory, continuity, community identity, previous knowledge, a sense of belonging is part of a </w:t>
      </w:r>
      <w:r w:rsidR="00810D74" w:rsidRPr="00467A40">
        <w:rPr>
          <w:rFonts w:ascii="Arial" w:hAnsi="Arial" w:cs="Arial"/>
          <w:sz w:val="24"/>
          <w:szCs w:val="24"/>
        </w:rPr>
        <w:t>person’s</w:t>
      </w:r>
      <w:r w:rsidRPr="00467A40">
        <w:rPr>
          <w:rFonts w:ascii="Arial" w:hAnsi="Arial" w:cs="Arial"/>
          <w:sz w:val="24"/>
          <w:szCs w:val="24"/>
        </w:rPr>
        <w:t xml:space="preserve"> emotionally intelligent response to a conservation project is an area that has become important to consider. The visual attention of people to the unique details of a building will also be explored as the cause of positive emotions. </w:t>
      </w:r>
    </w:p>
    <w:p w14:paraId="56F6EB8F" w14:textId="77777777" w:rsidR="000C6764" w:rsidRPr="00467A40" w:rsidRDefault="000C6764" w:rsidP="000C6764">
      <w:pPr>
        <w:rPr>
          <w:rFonts w:ascii="Arial" w:hAnsi="Arial" w:cs="Arial"/>
          <w:b/>
          <w:bCs/>
          <w:sz w:val="24"/>
          <w:szCs w:val="24"/>
        </w:rPr>
      </w:pPr>
      <w:r w:rsidRPr="00467A40">
        <w:rPr>
          <w:rFonts w:ascii="Arial" w:hAnsi="Arial" w:cs="Arial"/>
          <w:b/>
          <w:bCs/>
          <w:sz w:val="24"/>
          <w:szCs w:val="24"/>
        </w:rPr>
        <w:t xml:space="preserve">Methodology: </w:t>
      </w:r>
      <w:r w:rsidRPr="00467A40">
        <w:rPr>
          <w:rFonts w:ascii="Arial" w:hAnsi="Arial" w:cs="Arial"/>
          <w:sz w:val="24"/>
          <w:szCs w:val="24"/>
        </w:rPr>
        <w:t>I will carry out research into case studies that show emotional impact and reactions of people to building conservation projects.</w:t>
      </w:r>
      <w:r w:rsidRPr="00467A40">
        <w:rPr>
          <w:rFonts w:ascii="Arial" w:hAnsi="Arial" w:cs="Arial"/>
          <w:b/>
          <w:bCs/>
          <w:sz w:val="24"/>
          <w:szCs w:val="24"/>
        </w:rPr>
        <w:t xml:space="preserve"> </w:t>
      </w:r>
      <w:r w:rsidRPr="00467A40">
        <w:rPr>
          <w:rFonts w:ascii="Arial" w:hAnsi="Arial" w:cs="Arial"/>
          <w:sz w:val="24"/>
          <w:szCs w:val="24"/>
        </w:rPr>
        <w:t>There will be Quantitative research in the form of a Questionnaire on a site. A Site observation will be carried out.</w:t>
      </w:r>
    </w:p>
    <w:p w14:paraId="59B7B0FA" w14:textId="77777777" w:rsidR="000C6764" w:rsidRPr="00467A40" w:rsidRDefault="000C6764" w:rsidP="000C6764">
      <w:pPr>
        <w:rPr>
          <w:rFonts w:ascii="Arial" w:hAnsi="Arial" w:cs="Arial"/>
          <w:b/>
          <w:bCs/>
          <w:sz w:val="24"/>
          <w:szCs w:val="24"/>
        </w:rPr>
      </w:pPr>
      <w:r w:rsidRPr="00467A40">
        <w:rPr>
          <w:rFonts w:ascii="Arial" w:hAnsi="Arial" w:cs="Arial"/>
          <w:b/>
          <w:bCs/>
          <w:sz w:val="24"/>
          <w:szCs w:val="24"/>
        </w:rPr>
        <w:t xml:space="preserve">Aim: </w:t>
      </w:r>
      <w:r w:rsidRPr="00467A40">
        <w:rPr>
          <w:rFonts w:ascii="Arial" w:hAnsi="Arial" w:cs="Arial"/>
          <w:sz w:val="24"/>
          <w:szCs w:val="24"/>
        </w:rPr>
        <w:t xml:space="preserve">To understand what makes people have strong emotional responses to a conservation site and how this can help inform conservation architecture practice. </w:t>
      </w:r>
    </w:p>
    <w:p w14:paraId="770D5377" w14:textId="77777777" w:rsidR="000C6764" w:rsidRPr="00467A40" w:rsidRDefault="000C6764" w:rsidP="000C6764">
      <w:pPr>
        <w:rPr>
          <w:rFonts w:ascii="Arial" w:hAnsi="Arial" w:cs="Arial"/>
          <w:b/>
          <w:bCs/>
          <w:sz w:val="24"/>
          <w:szCs w:val="24"/>
        </w:rPr>
      </w:pPr>
      <w:r w:rsidRPr="00467A40">
        <w:rPr>
          <w:rFonts w:ascii="Arial" w:hAnsi="Arial" w:cs="Arial"/>
          <w:b/>
          <w:bCs/>
          <w:sz w:val="24"/>
          <w:szCs w:val="24"/>
        </w:rPr>
        <w:t>Objectives:</w:t>
      </w:r>
    </w:p>
    <w:p w14:paraId="5547E49B" w14:textId="77777777" w:rsidR="000C6764" w:rsidRPr="00467A40" w:rsidRDefault="000C6764" w:rsidP="000C6764">
      <w:pPr>
        <w:rPr>
          <w:rFonts w:ascii="Arial" w:hAnsi="Arial" w:cs="Arial"/>
          <w:sz w:val="24"/>
          <w:szCs w:val="24"/>
        </w:rPr>
      </w:pPr>
      <w:r w:rsidRPr="00467A40">
        <w:rPr>
          <w:rFonts w:ascii="Arial" w:hAnsi="Arial" w:cs="Arial"/>
          <w:sz w:val="24"/>
          <w:szCs w:val="24"/>
        </w:rPr>
        <w:t>1. To identify, from current research, emotional engagement at conservation sites where it has been successful and unsuccessful.</w:t>
      </w:r>
    </w:p>
    <w:p w14:paraId="4219E932" w14:textId="77777777" w:rsidR="000C6764" w:rsidRPr="00467A40" w:rsidRDefault="000C6764" w:rsidP="000C6764">
      <w:pPr>
        <w:rPr>
          <w:rFonts w:ascii="Arial" w:hAnsi="Arial" w:cs="Arial"/>
          <w:sz w:val="24"/>
          <w:szCs w:val="24"/>
        </w:rPr>
      </w:pPr>
      <w:r w:rsidRPr="00467A40">
        <w:rPr>
          <w:rFonts w:ascii="Arial" w:hAnsi="Arial" w:cs="Arial"/>
          <w:sz w:val="24"/>
          <w:szCs w:val="24"/>
        </w:rPr>
        <w:t>2. To consider how social media and reporting can affect people’s emotional responses to a conservation project.</w:t>
      </w:r>
    </w:p>
    <w:p w14:paraId="771409AA" w14:textId="77777777" w:rsidR="000C6764" w:rsidRPr="00467A40" w:rsidRDefault="000C6764" w:rsidP="000C6764">
      <w:pPr>
        <w:rPr>
          <w:rFonts w:ascii="Arial" w:hAnsi="Arial" w:cs="Arial"/>
          <w:sz w:val="24"/>
          <w:szCs w:val="24"/>
        </w:rPr>
      </w:pPr>
      <w:r w:rsidRPr="00467A40">
        <w:rPr>
          <w:rFonts w:ascii="Arial" w:hAnsi="Arial" w:cs="Arial"/>
          <w:sz w:val="24"/>
          <w:szCs w:val="24"/>
        </w:rPr>
        <w:t>3. To research what architectural elements are involved in the using of emotionally intelligent conservation practices to conserve buildings that will have an emotional connection to the communities they sit in: materiality, special memory, symbolism, visual attention to detail.</w:t>
      </w:r>
    </w:p>
    <w:p w14:paraId="56C3AB2E" w14:textId="77777777" w:rsidR="000C6764" w:rsidRPr="00467A40" w:rsidRDefault="000C6764" w:rsidP="000C6764">
      <w:pPr>
        <w:rPr>
          <w:rFonts w:ascii="Arial" w:hAnsi="Arial" w:cs="Arial"/>
          <w:sz w:val="24"/>
          <w:szCs w:val="24"/>
        </w:rPr>
      </w:pPr>
      <w:r w:rsidRPr="00467A40">
        <w:rPr>
          <w:rFonts w:ascii="Arial" w:hAnsi="Arial" w:cs="Arial"/>
          <w:sz w:val="24"/>
          <w:szCs w:val="24"/>
        </w:rPr>
        <w:t>4. To look at where adaptive reuse sits within people’s emotional connections to a building.</w:t>
      </w:r>
    </w:p>
    <w:p w14:paraId="2B8AD742" w14:textId="50D15277" w:rsidR="000C6764" w:rsidRPr="00467A40" w:rsidRDefault="000C6764" w:rsidP="000C6764">
      <w:pPr>
        <w:rPr>
          <w:rFonts w:ascii="Arial" w:hAnsi="Arial" w:cs="Arial"/>
          <w:sz w:val="24"/>
          <w:szCs w:val="24"/>
        </w:rPr>
      </w:pPr>
      <w:r w:rsidRPr="00467A40">
        <w:rPr>
          <w:rFonts w:ascii="Arial" w:hAnsi="Arial" w:cs="Arial"/>
          <w:sz w:val="24"/>
          <w:szCs w:val="24"/>
        </w:rPr>
        <w:t>5. To explore why restored sites, hold such emotional meaning for the public by looking at a local conservation site case study</w:t>
      </w:r>
      <w:r w:rsidR="00DD379A">
        <w:rPr>
          <w:rFonts w:ascii="Arial" w:hAnsi="Arial" w:cs="Arial"/>
          <w:sz w:val="24"/>
          <w:szCs w:val="24"/>
        </w:rPr>
        <w:t>.</w:t>
      </w:r>
    </w:p>
    <w:p w14:paraId="0870C6C3" w14:textId="77777777" w:rsidR="000C6764" w:rsidRPr="00467A40" w:rsidRDefault="000C6764" w:rsidP="000C6764">
      <w:pPr>
        <w:rPr>
          <w:rFonts w:ascii="Arial" w:hAnsi="Arial" w:cs="Arial"/>
          <w:sz w:val="24"/>
          <w:szCs w:val="24"/>
        </w:rPr>
      </w:pPr>
      <w:r w:rsidRPr="00467A40">
        <w:rPr>
          <w:rFonts w:ascii="Arial" w:hAnsi="Arial" w:cs="Arial"/>
          <w:sz w:val="24"/>
          <w:szCs w:val="24"/>
        </w:rPr>
        <w:t xml:space="preserve">6.To consider what future strategies can be implemented so that emotional response to the conservation design is always a consideration for a conservation architecture project. </w:t>
      </w:r>
    </w:p>
    <w:p w14:paraId="53D72E0A" w14:textId="77777777" w:rsidR="000C6764" w:rsidRPr="00467A40" w:rsidRDefault="000C6764" w:rsidP="000C6764">
      <w:pPr>
        <w:rPr>
          <w:rFonts w:ascii="Arial" w:hAnsi="Arial" w:cs="Arial"/>
          <w:b/>
          <w:bCs/>
          <w:sz w:val="24"/>
          <w:szCs w:val="24"/>
        </w:rPr>
      </w:pPr>
      <w:r w:rsidRPr="00467A40">
        <w:rPr>
          <w:rFonts w:ascii="Arial" w:hAnsi="Arial" w:cs="Arial"/>
          <w:b/>
          <w:bCs/>
          <w:sz w:val="24"/>
          <w:szCs w:val="24"/>
        </w:rPr>
        <w:t xml:space="preserve">Limitations: </w:t>
      </w:r>
      <w:r w:rsidRPr="00467A40">
        <w:rPr>
          <w:rFonts w:ascii="Arial" w:hAnsi="Arial" w:cs="Arial"/>
          <w:sz w:val="24"/>
          <w:szCs w:val="24"/>
        </w:rPr>
        <w:t>I would like to be able to visit case studies I have researched to see in person the emotional responses of people, but this will not be possible due to the distance and cost. My knowledge of quantitative research methods for gathering data will limit my data collecting to the use of questionnaires.</w:t>
      </w:r>
    </w:p>
    <w:p w14:paraId="010E1F70" w14:textId="55E71B5A" w:rsidR="000C6764" w:rsidRPr="00467A40" w:rsidRDefault="000C6764" w:rsidP="000C6764">
      <w:pPr>
        <w:rPr>
          <w:rFonts w:ascii="Arial" w:hAnsi="Arial" w:cs="Arial"/>
          <w:b/>
          <w:bCs/>
          <w:sz w:val="24"/>
          <w:szCs w:val="24"/>
        </w:rPr>
      </w:pPr>
      <w:r w:rsidRPr="00467A40">
        <w:rPr>
          <w:rFonts w:ascii="Arial" w:hAnsi="Arial" w:cs="Arial"/>
          <w:b/>
          <w:bCs/>
          <w:sz w:val="24"/>
          <w:szCs w:val="24"/>
        </w:rPr>
        <w:lastRenderedPageBreak/>
        <w:t xml:space="preserve">Ethical Considerations: </w:t>
      </w:r>
      <w:r w:rsidRPr="00467A40">
        <w:rPr>
          <w:rFonts w:ascii="Arial" w:hAnsi="Arial" w:cs="Arial"/>
          <w:sz w:val="24"/>
          <w:szCs w:val="24"/>
        </w:rPr>
        <w:t>I will gain consent to use data from questionnaires and anonymity of participants.</w:t>
      </w:r>
      <w:r w:rsidRPr="00467A40">
        <w:rPr>
          <w:rFonts w:ascii="Arial" w:hAnsi="Arial" w:cs="Arial"/>
          <w:b/>
          <w:bCs/>
          <w:sz w:val="24"/>
          <w:szCs w:val="24"/>
        </w:rPr>
        <w:t xml:space="preserve"> </w:t>
      </w:r>
      <w:r w:rsidRPr="00467A40">
        <w:rPr>
          <w:rFonts w:ascii="Arial" w:hAnsi="Arial" w:cs="Arial"/>
          <w:sz w:val="24"/>
          <w:szCs w:val="24"/>
        </w:rPr>
        <w:t>I will be aware of cultural sensitivity of conservation sites to be considered. Sensitivity of dealing with emotional responses and transparency of how this information is being used will be acknowledged by myself</w:t>
      </w:r>
      <w:r w:rsidR="000D2653" w:rsidRPr="00467A40">
        <w:rPr>
          <w:rFonts w:ascii="Arial" w:hAnsi="Arial" w:cs="Arial"/>
          <w:sz w:val="24"/>
          <w:szCs w:val="24"/>
        </w:rPr>
        <w:t>.</w:t>
      </w:r>
    </w:p>
    <w:p w14:paraId="15D8AB16" w14:textId="77777777" w:rsidR="000C6764" w:rsidRPr="00467A40" w:rsidRDefault="000C6764" w:rsidP="000C6764">
      <w:pPr>
        <w:rPr>
          <w:rFonts w:ascii="Arial" w:hAnsi="Arial" w:cs="Arial"/>
          <w:b/>
          <w:bCs/>
          <w:sz w:val="24"/>
          <w:szCs w:val="24"/>
        </w:rPr>
      </w:pPr>
      <w:r w:rsidRPr="00467A40">
        <w:rPr>
          <w:rFonts w:ascii="Arial" w:hAnsi="Arial" w:cs="Arial"/>
          <w:b/>
          <w:bCs/>
          <w:sz w:val="24"/>
          <w:szCs w:val="24"/>
        </w:rPr>
        <w:t xml:space="preserve">Timeframe: </w:t>
      </w:r>
      <w:r w:rsidRPr="00467A40">
        <w:rPr>
          <w:rFonts w:ascii="Arial" w:hAnsi="Arial" w:cs="Arial"/>
          <w:sz w:val="24"/>
          <w:szCs w:val="24"/>
        </w:rPr>
        <w:t>I will start background reading into articles on triggers for human emotions and what research has shown. In July and August, I will identify a local conservation project and gather data from that site.</w:t>
      </w:r>
    </w:p>
    <w:p w14:paraId="34282297" w14:textId="2A4A65BD" w:rsidR="000C6764" w:rsidRPr="00467A40" w:rsidRDefault="000C6764" w:rsidP="000C6764">
      <w:pPr>
        <w:rPr>
          <w:rFonts w:ascii="Arial" w:hAnsi="Arial" w:cs="Arial"/>
          <w:sz w:val="24"/>
          <w:szCs w:val="24"/>
        </w:rPr>
      </w:pPr>
      <w:r w:rsidRPr="00467A40">
        <w:rPr>
          <w:rFonts w:ascii="Arial" w:hAnsi="Arial" w:cs="Arial"/>
          <w:sz w:val="24"/>
          <w:szCs w:val="24"/>
        </w:rPr>
        <w:t xml:space="preserve"> </w:t>
      </w:r>
      <w:r w:rsidRPr="00467A40">
        <w:rPr>
          <w:rFonts w:ascii="Arial" w:hAnsi="Arial" w:cs="Arial"/>
          <w:b/>
          <w:bCs/>
          <w:sz w:val="24"/>
          <w:szCs w:val="24"/>
        </w:rPr>
        <w:t>Conclusion:</w:t>
      </w:r>
      <w:r w:rsidRPr="00467A40">
        <w:rPr>
          <w:rFonts w:ascii="Arial" w:hAnsi="Arial" w:cs="Arial"/>
          <w:sz w:val="24"/>
          <w:szCs w:val="24"/>
        </w:rPr>
        <w:t xml:space="preserve"> </w:t>
      </w:r>
      <w:r w:rsidR="000D2653" w:rsidRPr="00467A40">
        <w:rPr>
          <w:rFonts w:ascii="Arial" w:hAnsi="Arial" w:cs="Arial"/>
          <w:sz w:val="24"/>
          <w:szCs w:val="24"/>
        </w:rPr>
        <w:t>The</w:t>
      </w:r>
      <w:r w:rsidRPr="00467A40">
        <w:rPr>
          <w:rFonts w:ascii="Arial" w:hAnsi="Arial" w:cs="Arial"/>
          <w:sz w:val="24"/>
          <w:szCs w:val="24"/>
        </w:rPr>
        <w:t xml:space="preserve"> identifying</w:t>
      </w:r>
      <w:r w:rsidR="000D2653" w:rsidRPr="00467A40">
        <w:rPr>
          <w:rFonts w:ascii="Arial" w:hAnsi="Arial" w:cs="Arial"/>
          <w:sz w:val="24"/>
          <w:szCs w:val="24"/>
        </w:rPr>
        <w:t xml:space="preserve"> of </w:t>
      </w:r>
      <w:r w:rsidRPr="00467A40">
        <w:rPr>
          <w:rFonts w:ascii="Arial" w:hAnsi="Arial" w:cs="Arial"/>
          <w:sz w:val="24"/>
          <w:szCs w:val="24"/>
        </w:rPr>
        <w:t>what causes strong emotional responses to a site will inform what needs to be incorporated into a conservation project to nurture emotional connections and the user’s well-being in the future.</w:t>
      </w:r>
    </w:p>
    <w:p w14:paraId="70630CDE" w14:textId="77777777" w:rsidR="00467A40" w:rsidRPr="00467A40" w:rsidRDefault="00467A40" w:rsidP="00467A40">
      <w:pPr>
        <w:rPr>
          <w:rFonts w:ascii="Arial" w:hAnsi="Arial" w:cs="Arial"/>
          <w:b/>
          <w:bCs/>
          <w:sz w:val="24"/>
          <w:szCs w:val="24"/>
        </w:rPr>
      </w:pPr>
      <w:r w:rsidRPr="00D409FD">
        <w:rPr>
          <w:rFonts w:ascii="Arial" w:hAnsi="Arial" w:cs="Arial"/>
          <w:b/>
          <w:bCs/>
          <w:sz w:val="24"/>
          <w:szCs w:val="24"/>
        </w:rPr>
        <w:t>Literature Review:</w:t>
      </w:r>
    </w:p>
    <w:p w14:paraId="22F18581" w14:textId="77777777" w:rsidR="00467A40" w:rsidRPr="00467A40" w:rsidRDefault="00467A40" w:rsidP="00467A40">
      <w:pPr>
        <w:rPr>
          <w:rFonts w:ascii="Arial" w:hAnsi="Arial" w:cs="Arial"/>
          <w:sz w:val="24"/>
          <w:szCs w:val="24"/>
        </w:rPr>
      </w:pPr>
      <w:r w:rsidRPr="00467A40">
        <w:rPr>
          <w:rFonts w:ascii="Arial" w:hAnsi="Arial" w:cs="Arial"/>
          <w:sz w:val="24"/>
          <w:szCs w:val="24"/>
        </w:rPr>
        <w:t>Articles Objective1:</w:t>
      </w:r>
    </w:p>
    <w:p w14:paraId="53AC97CD" w14:textId="36C04695" w:rsidR="00555954" w:rsidRDefault="00AF3F74" w:rsidP="00AF3F7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European Heritage Tribune. (2019). </w:t>
      </w:r>
      <w:r w:rsidRPr="00AF3F74">
        <w:rPr>
          <w:rFonts w:ascii="Calibri" w:hAnsi="Calibri" w:cs="Calibri"/>
          <w:color w:val="000000"/>
          <w:sz w:val="27"/>
          <w:szCs w:val="27"/>
        </w:rPr>
        <w:t>How Notre Dame and Rijksmuseum boosted public engagement with restoration and conservation - European Heritage Tribune.</w:t>
      </w:r>
      <w:r>
        <w:rPr>
          <w:rFonts w:ascii="Calibri" w:hAnsi="Calibri" w:cs="Calibri"/>
          <w:color w:val="000000"/>
          <w:sz w:val="27"/>
          <w:szCs w:val="27"/>
        </w:rPr>
        <w:t xml:space="preserve"> [online] Available at: https://heritagetribune.eu/europe/how-notre-dame-and-rijksmuseum-boosted-public-engagement-with-restoration-and-conservation/ [Accessed 6 May 2025].</w:t>
      </w:r>
    </w:p>
    <w:p w14:paraId="57556CE8" w14:textId="77777777" w:rsidR="00AF3F74" w:rsidRPr="00AF3F74" w:rsidRDefault="00AF3F74" w:rsidP="00AF3F74">
      <w:pPr>
        <w:pStyle w:val="NormalWeb"/>
        <w:spacing w:before="0" w:beforeAutospacing="0" w:after="0" w:afterAutospacing="0" w:line="360" w:lineRule="atLeast"/>
        <w:rPr>
          <w:rFonts w:ascii="Calibri" w:hAnsi="Calibri" w:cs="Calibri"/>
          <w:color w:val="000000"/>
          <w:sz w:val="27"/>
          <w:szCs w:val="27"/>
        </w:rPr>
      </w:pPr>
    </w:p>
    <w:p w14:paraId="13392A8D" w14:textId="77777777" w:rsidR="00446D54" w:rsidRDefault="00446D54" w:rsidP="00446D54">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Dezeen</w:t>
      </w:r>
      <w:proofErr w:type="spellEnd"/>
      <w:r>
        <w:rPr>
          <w:rFonts w:ascii="Calibri" w:hAnsi="Calibri" w:cs="Calibri"/>
          <w:color w:val="000000"/>
          <w:sz w:val="27"/>
          <w:szCs w:val="27"/>
        </w:rPr>
        <w:t>. (2021). </w:t>
      </w:r>
      <w:r w:rsidRPr="00446D54">
        <w:rPr>
          <w:rFonts w:ascii="Calibri" w:hAnsi="Calibri" w:cs="Calibri"/>
          <w:color w:val="000000"/>
          <w:sz w:val="27"/>
          <w:szCs w:val="27"/>
        </w:rPr>
        <w:t>Controversy over Notre-Dame restoration reignites as interiors plans emerge.</w:t>
      </w:r>
      <w:r>
        <w:rPr>
          <w:rFonts w:ascii="Calibri" w:hAnsi="Calibri" w:cs="Calibri"/>
          <w:color w:val="000000"/>
          <w:sz w:val="27"/>
          <w:szCs w:val="27"/>
        </w:rPr>
        <w:t xml:space="preserve"> [online] Available at: https://www.dezeen.com/2021/12/02/notre-dame-interiors-disney/.</w:t>
      </w:r>
    </w:p>
    <w:p w14:paraId="07590D02" w14:textId="77777777" w:rsidR="00446D54" w:rsidRDefault="00446D54" w:rsidP="00446D54">
      <w:pPr>
        <w:pStyle w:val="NormalWeb"/>
        <w:rPr>
          <w:rFonts w:ascii="Calibri" w:hAnsi="Calibri" w:cs="Calibri"/>
          <w:color w:val="000000"/>
          <w:sz w:val="27"/>
          <w:szCs w:val="27"/>
        </w:rPr>
      </w:pPr>
      <w:r>
        <w:rPr>
          <w:rFonts w:ascii="Calibri" w:hAnsi="Calibri" w:cs="Calibri"/>
          <w:color w:val="000000"/>
          <w:sz w:val="27"/>
          <w:szCs w:val="27"/>
        </w:rPr>
        <w:t>‌</w:t>
      </w:r>
    </w:p>
    <w:p w14:paraId="33938FB0" w14:textId="02EADE26" w:rsidR="00467A40" w:rsidRPr="00446D54" w:rsidRDefault="00467A40" w:rsidP="00446D54">
      <w:pPr>
        <w:pStyle w:val="NormalWeb"/>
        <w:rPr>
          <w:rFonts w:ascii="Calibri" w:hAnsi="Calibri" w:cs="Calibri"/>
          <w:color w:val="000000"/>
          <w:sz w:val="27"/>
          <w:szCs w:val="27"/>
        </w:rPr>
      </w:pPr>
      <w:r w:rsidRPr="00467A40">
        <w:rPr>
          <w:rFonts w:ascii="Arial" w:hAnsi="Arial" w:cs="Arial"/>
        </w:rPr>
        <w:t>Articles Objective2:</w:t>
      </w:r>
    </w:p>
    <w:p w14:paraId="774BFD50" w14:textId="77777777" w:rsidR="004E029A" w:rsidRDefault="003A2C12" w:rsidP="004E029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Morse, C., Niess, J., Bongard-Blanchy, K., Rivas, S., Lallemand, C. and Koenig, V. (2022). Impressions that last: representing the meaningful museum experience. </w:t>
      </w:r>
      <w:r w:rsidRPr="003A2C12">
        <w:rPr>
          <w:rFonts w:ascii="Calibri" w:hAnsi="Calibri" w:cs="Calibri"/>
          <w:color w:val="000000"/>
          <w:sz w:val="27"/>
          <w:szCs w:val="27"/>
        </w:rPr>
        <w:t>Behaviour &amp; Information Technology,</w:t>
      </w:r>
      <w:r>
        <w:rPr>
          <w:rFonts w:ascii="Calibri" w:hAnsi="Calibri" w:cs="Calibri"/>
          <w:color w:val="000000"/>
          <w:sz w:val="27"/>
          <w:szCs w:val="27"/>
        </w:rPr>
        <w:t xml:space="preserve"> pp.1–28.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://doi.org/10.1080/0144929x.2022.2061375</w:t>
      </w:r>
      <w:proofErr w:type="gramEnd"/>
      <w:r>
        <w:rPr>
          <w:rFonts w:ascii="Calibri" w:hAnsi="Calibri" w:cs="Calibri"/>
          <w:color w:val="000000"/>
          <w:sz w:val="27"/>
          <w:szCs w:val="27"/>
        </w:rPr>
        <w:t>.</w:t>
      </w:r>
    </w:p>
    <w:p w14:paraId="1E8439FC" w14:textId="12EF097F" w:rsidR="003D222E" w:rsidRDefault="003D222E" w:rsidP="004E029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02D494A8" w14:textId="77777777" w:rsidR="004E029A" w:rsidRDefault="004E029A" w:rsidP="004E029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Historic England (2023). </w:t>
      </w:r>
      <w:r w:rsidRPr="004E029A">
        <w:rPr>
          <w:rFonts w:ascii="Calibri" w:hAnsi="Calibri" w:cs="Calibri"/>
          <w:color w:val="000000"/>
          <w:sz w:val="27"/>
          <w:szCs w:val="27"/>
        </w:rPr>
        <w:t xml:space="preserve">People’s attachment to historic places and the benefits | heritage counts | historic </w:t>
      </w:r>
      <w:proofErr w:type="spellStart"/>
      <w:r w:rsidRPr="004E029A">
        <w:rPr>
          <w:rFonts w:ascii="Calibri" w:hAnsi="Calibri" w:cs="Calibri"/>
          <w:color w:val="000000"/>
          <w:sz w:val="27"/>
          <w:szCs w:val="27"/>
        </w:rPr>
        <w:t>england</w:t>
      </w:r>
      <w:proofErr w:type="spellEnd"/>
      <w:r w:rsidRPr="004E029A">
        <w:rPr>
          <w:rFonts w:ascii="Calibri" w:hAnsi="Calibri" w:cs="Calibri"/>
          <w:color w:val="000000"/>
          <w:sz w:val="27"/>
          <w:szCs w:val="27"/>
        </w:rPr>
        <w:t xml:space="preserve">. </w:t>
      </w:r>
      <w:r>
        <w:rPr>
          <w:rFonts w:ascii="Calibri" w:hAnsi="Calibri" w:cs="Calibri"/>
          <w:color w:val="000000"/>
          <w:sz w:val="27"/>
          <w:szCs w:val="27"/>
        </w:rPr>
        <w:t>[online] historicengland.org.uk. Available at: https://historicengland.org.uk/research/heritage-counts/heritage-and-society/attachment-historic-places/.</w:t>
      </w:r>
    </w:p>
    <w:p w14:paraId="77A78A22" w14:textId="77777777" w:rsidR="00EA784B" w:rsidRDefault="004E029A" w:rsidP="00EA784B">
      <w:pPr>
        <w:pStyle w:val="NormalWeb"/>
        <w:rPr>
          <w:rFonts w:ascii="Calibri" w:hAnsi="Calibri" w:cs="Calibri"/>
          <w:color w:val="000000"/>
          <w:sz w:val="27"/>
          <w:szCs w:val="27"/>
        </w:rPr>
      </w:pPr>
      <w:r>
        <w:rPr>
          <w:rFonts w:ascii="Calibri" w:hAnsi="Calibri" w:cs="Calibri"/>
          <w:color w:val="000000"/>
          <w:sz w:val="27"/>
          <w:szCs w:val="27"/>
        </w:rPr>
        <w:t>‌</w:t>
      </w:r>
    </w:p>
    <w:p w14:paraId="36A16EB7" w14:textId="77777777" w:rsidR="00EA784B" w:rsidRDefault="00EA784B" w:rsidP="00EA784B">
      <w:pPr>
        <w:pStyle w:val="NormalWeb"/>
        <w:rPr>
          <w:rFonts w:ascii="Calibri" w:hAnsi="Calibri" w:cs="Calibri"/>
          <w:color w:val="000000"/>
          <w:sz w:val="27"/>
          <w:szCs w:val="27"/>
        </w:rPr>
      </w:pPr>
    </w:p>
    <w:p w14:paraId="02A83124" w14:textId="716B2619" w:rsidR="00FF34F7" w:rsidRDefault="00FF34F7" w:rsidP="00EA784B">
      <w:pPr>
        <w:pStyle w:val="NormalWeb"/>
        <w:rPr>
          <w:rFonts w:ascii="Calibri" w:hAnsi="Calibri" w:cs="Calibri"/>
          <w:color w:val="000000"/>
          <w:sz w:val="27"/>
          <w:szCs w:val="27"/>
        </w:rPr>
      </w:pPr>
      <w:r>
        <w:rPr>
          <w:rFonts w:ascii="Calibri" w:hAnsi="Calibri" w:cs="Calibri"/>
          <w:color w:val="000000"/>
          <w:sz w:val="27"/>
          <w:szCs w:val="27"/>
        </w:rPr>
        <w:lastRenderedPageBreak/>
        <w:t>Richardson, M., Butler, C.W., Alcock, I., Tindley, A., Sheffield, D. and White, P.C.L. (2025). Introducing Heritage Connectedness: Connections to People, Nature and Place Across Time are Associated with Wellbeing and Environmentalism. </w:t>
      </w:r>
      <w:r w:rsidRPr="00FF34F7">
        <w:rPr>
          <w:rFonts w:ascii="Calibri" w:hAnsi="Calibri" w:cs="Calibri"/>
          <w:color w:val="000000"/>
          <w:sz w:val="27"/>
          <w:szCs w:val="27"/>
        </w:rPr>
        <w:t>The Historic Environment: Policy &amp; Practice,</w:t>
      </w:r>
      <w:r>
        <w:rPr>
          <w:rFonts w:ascii="Calibri" w:hAnsi="Calibri" w:cs="Calibri"/>
          <w:color w:val="000000"/>
          <w:sz w:val="27"/>
          <w:szCs w:val="27"/>
        </w:rPr>
        <w:t xml:space="preserve"> pp.1–21.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://doi.org/10.1080/17567505.2025.2482163</w:t>
      </w:r>
      <w:proofErr w:type="gramEnd"/>
      <w:r>
        <w:rPr>
          <w:rFonts w:ascii="Calibri" w:hAnsi="Calibri" w:cs="Calibri"/>
          <w:color w:val="000000"/>
          <w:sz w:val="27"/>
          <w:szCs w:val="27"/>
        </w:rPr>
        <w:t>.</w:t>
      </w:r>
    </w:p>
    <w:p w14:paraId="74E63766" w14:textId="48F19321" w:rsidR="00FF34F7" w:rsidRPr="00EA784B" w:rsidRDefault="00FF34F7" w:rsidP="00EA784B">
      <w:pPr>
        <w:pStyle w:val="NormalWeb"/>
        <w:rPr>
          <w:rFonts w:ascii="Calibri" w:hAnsi="Calibri" w:cs="Calibri"/>
          <w:color w:val="000000"/>
          <w:sz w:val="27"/>
          <w:szCs w:val="27"/>
        </w:rPr>
      </w:pPr>
      <w:r>
        <w:rPr>
          <w:rFonts w:ascii="Calibri" w:hAnsi="Calibri" w:cs="Calibri"/>
          <w:color w:val="000000"/>
          <w:sz w:val="27"/>
          <w:szCs w:val="27"/>
        </w:rPr>
        <w:t>‌</w:t>
      </w:r>
    </w:p>
    <w:p w14:paraId="3EFC29A1" w14:textId="77777777" w:rsidR="00467A40" w:rsidRPr="00467A40" w:rsidRDefault="00467A40" w:rsidP="00467A40">
      <w:pPr>
        <w:rPr>
          <w:rFonts w:ascii="Arial" w:hAnsi="Arial" w:cs="Arial"/>
          <w:sz w:val="24"/>
          <w:szCs w:val="24"/>
        </w:rPr>
      </w:pPr>
      <w:r w:rsidRPr="00467A40">
        <w:rPr>
          <w:rFonts w:ascii="Arial" w:hAnsi="Arial" w:cs="Arial"/>
          <w:sz w:val="24"/>
          <w:szCs w:val="24"/>
        </w:rPr>
        <w:t>Articles Objective3:</w:t>
      </w:r>
    </w:p>
    <w:p w14:paraId="04E23139" w14:textId="77777777" w:rsidR="00EA784B" w:rsidRDefault="00EA784B" w:rsidP="00EA784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Dalton, R. (2023). The Science behind our Emotional Connection to Architecture.</w:t>
      </w:r>
      <w:r w:rsidRPr="00EA784B">
        <w:rPr>
          <w:rFonts w:ascii="Calibri" w:hAnsi="Calibri" w:cs="Calibri"/>
          <w:color w:val="000000"/>
          <w:sz w:val="27"/>
          <w:szCs w:val="27"/>
        </w:rPr>
        <w:t> </w:t>
      </w:r>
      <w:proofErr w:type="spellStart"/>
      <w:r w:rsidRPr="00EA784B">
        <w:rPr>
          <w:rFonts w:ascii="Calibri" w:hAnsi="Calibri" w:cs="Calibri"/>
          <w:color w:val="000000"/>
          <w:sz w:val="27"/>
          <w:szCs w:val="27"/>
        </w:rPr>
        <w:t>a+u</w:t>
      </w:r>
      <w:proofErr w:type="spellEnd"/>
      <w:r w:rsidRPr="00EA784B">
        <w:rPr>
          <w:rFonts w:ascii="Calibri" w:hAnsi="Calibri" w:cs="Calibri"/>
          <w:color w:val="000000"/>
          <w:sz w:val="27"/>
          <w:szCs w:val="27"/>
        </w:rPr>
        <w:t xml:space="preserve"> magazine</w:t>
      </w:r>
      <w:r>
        <w:rPr>
          <w:rFonts w:ascii="Calibri" w:hAnsi="Calibri" w:cs="Calibri"/>
          <w:color w:val="000000"/>
          <w:sz w:val="27"/>
          <w:szCs w:val="27"/>
        </w:rPr>
        <w:t>. [online] Available at: https://researchportal.northumbria.ac.uk/en/publications/the-science-behind-our-emotional-connection-to-architecture.</w:t>
      </w:r>
    </w:p>
    <w:p w14:paraId="47A2D303" w14:textId="572AEF5D" w:rsidR="00EA784B" w:rsidRPr="00EA784B" w:rsidRDefault="00EA784B" w:rsidP="00EA784B">
      <w:pPr>
        <w:pStyle w:val="NormalWeb"/>
        <w:rPr>
          <w:rFonts w:ascii="Calibri" w:hAnsi="Calibri" w:cs="Calibri"/>
          <w:color w:val="000000"/>
          <w:sz w:val="27"/>
          <w:szCs w:val="27"/>
        </w:rPr>
      </w:pPr>
      <w:r>
        <w:rPr>
          <w:rFonts w:ascii="Calibri" w:hAnsi="Calibri" w:cs="Calibri"/>
          <w:color w:val="000000"/>
          <w:sz w:val="27"/>
          <w:szCs w:val="27"/>
        </w:rPr>
        <w:t>‌</w:t>
      </w:r>
    </w:p>
    <w:p w14:paraId="4807B3BA" w14:textId="6E004587" w:rsidR="006B37C1" w:rsidRPr="006B37C1" w:rsidRDefault="00467A40" w:rsidP="006B37C1">
      <w:pPr>
        <w:rPr>
          <w:rFonts w:ascii="Arial" w:hAnsi="Arial" w:cs="Arial"/>
          <w:sz w:val="24"/>
          <w:szCs w:val="24"/>
        </w:rPr>
      </w:pPr>
      <w:r w:rsidRPr="00467A40">
        <w:rPr>
          <w:rFonts w:ascii="Arial" w:hAnsi="Arial" w:cs="Arial"/>
          <w:sz w:val="24"/>
          <w:szCs w:val="24"/>
        </w:rPr>
        <w:t>Articles Objective4:</w:t>
      </w:r>
    </w:p>
    <w:p w14:paraId="5DA3CFAD" w14:textId="2D29B6E7" w:rsidR="00467A40" w:rsidRDefault="006B37C1" w:rsidP="006B37C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Green, A. (2024). </w:t>
      </w:r>
      <w:r w:rsidRPr="006B37C1">
        <w:rPr>
          <w:rFonts w:ascii="Calibri" w:hAnsi="Calibri" w:cs="Calibri"/>
          <w:color w:val="000000"/>
          <w:sz w:val="27"/>
          <w:szCs w:val="27"/>
        </w:rPr>
        <w:t>Transforming Historic Buildings: The Power of Adaptive Reuse.</w:t>
      </w:r>
      <w:r>
        <w:rPr>
          <w:rFonts w:ascii="Calibri" w:hAnsi="Calibri" w:cs="Calibri"/>
          <w:color w:val="000000"/>
          <w:sz w:val="27"/>
          <w:szCs w:val="27"/>
        </w:rPr>
        <w:t xml:space="preserve"> [online] A9 Architecture. Available at: </w:t>
      </w:r>
      <w:hyperlink r:id="rId4" w:history="1">
        <w:r w:rsidRPr="00A833A8">
          <w:rPr>
            <w:rStyle w:val="Hyperlink"/>
            <w:rFonts w:ascii="Calibri" w:hAnsi="Calibri" w:cs="Calibri"/>
            <w:sz w:val="27"/>
            <w:szCs w:val="27"/>
          </w:rPr>
          <w:t>https://a9architecture.co.uk/advice-centre/transforming-historic-buildings-adaptive-reuse/</w:t>
        </w:r>
      </w:hyperlink>
      <w:r>
        <w:rPr>
          <w:rFonts w:ascii="Calibri" w:hAnsi="Calibri" w:cs="Calibri"/>
          <w:color w:val="000000"/>
          <w:sz w:val="27"/>
          <w:szCs w:val="27"/>
        </w:rPr>
        <w:t>.</w:t>
      </w:r>
    </w:p>
    <w:p w14:paraId="1877E21E" w14:textId="77777777" w:rsidR="000C6764" w:rsidRPr="00467A40" w:rsidRDefault="000C6764">
      <w:pPr>
        <w:rPr>
          <w:rFonts w:ascii="Arial" w:hAnsi="Arial" w:cs="Arial"/>
          <w:sz w:val="24"/>
          <w:szCs w:val="24"/>
        </w:rPr>
      </w:pPr>
    </w:p>
    <w:p w14:paraId="1AA6F056" w14:textId="77777777" w:rsidR="001B38C4" w:rsidRDefault="001B38C4" w:rsidP="001B38C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Vafaie, F., Remøy, H. and Gruis, V. (2023). Adaptive reuse of heritage buildings; a systematic literature review of success factors. </w:t>
      </w:r>
      <w:r w:rsidRPr="001B38C4">
        <w:rPr>
          <w:rFonts w:ascii="Calibri" w:hAnsi="Calibri" w:cs="Calibri"/>
          <w:color w:val="000000"/>
          <w:sz w:val="27"/>
          <w:szCs w:val="27"/>
        </w:rPr>
        <w:t>Habitat International,</w:t>
      </w:r>
      <w:r>
        <w:rPr>
          <w:rFonts w:ascii="Calibri" w:hAnsi="Calibri" w:cs="Calibri"/>
          <w:color w:val="000000"/>
          <w:sz w:val="27"/>
          <w:szCs w:val="27"/>
        </w:rPr>
        <w:t xml:space="preserve"> [online] 142, pp.102926–102926.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://doi.org/10.1016/j.habitatint.2023.102926</w:t>
      </w:r>
      <w:proofErr w:type="gramEnd"/>
      <w:r>
        <w:rPr>
          <w:rFonts w:ascii="Calibri" w:hAnsi="Calibri" w:cs="Calibri"/>
          <w:color w:val="000000"/>
          <w:sz w:val="27"/>
          <w:szCs w:val="27"/>
        </w:rPr>
        <w:t>.</w:t>
      </w:r>
    </w:p>
    <w:p w14:paraId="115ED389" w14:textId="77777777" w:rsidR="001B38C4" w:rsidRDefault="001B38C4" w:rsidP="001B38C4">
      <w:pPr>
        <w:pStyle w:val="NormalWeb"/>
        <w:rPr>
          <w:rFonts w:ascii="Calibri" w:hAnsi="Calibri" w:cs="Calibri"/>
          <w:color w:val="000000"/>
          <w:sz w:val="27"/>
          <w:szCs w:val="27"/>
        </w:rPr>
      </w:pPr>
      <w:r>
        <w:rPr>
          <w:rFonts w:ascii="Calibri" w:hAnsi="Calibri" w:cs="Calibri"/>
          <w:color w:val="000000"/>
          <w:sz w:val="27"/>
          <w:szCs w:val="27"/>
        </w:rPr>
        <w:t>‌</w:t>
      </w:r>
    </w:p>
    <w:p w14:paraId="0FEDDC51" w14:textId="32038EDE" w:rsidR="000D2653" w:rsidRPr="00467A40" w:rsidRDefault="000D2653">
      <w:pPr>
        <w:rPr>
          <w:rFonts w:ascii="Arial" w:hAnsi="Arial" w:cs="Arial"/>
          <w:sz w:val="24"/>
          <w:szCs w:val="24"/>
        </w:rPr>
      </w:pPr>
    </w:p>
    <w:sectPr w:rsidR="000D2653" w:rsidRPr="00467A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4441"/>
    <w:rsid w:val="00054441"/>
    <w:rsid w:val="000C6764"/>
    <w:rsid w:val="000D2653"/>
    <w:rsid w:val="001B38C4"/>
    <w:rsid w:val="00214AF4"/>
    <w:rsid w:val="002E5582"/>
    <w:rsid w:val="003A2C12"/>
    <w:rsid w:val="003D222E"/>
    <w:rsid w:val="00446D54"/>
    <w:rsid w:val="00464861"/>
    <w:rsid w:val="00467A40"/>
    <w:rsid w:val="004E029A"/>
    <w:rsid w:val="004E5F04"/>
    <w:rsid w:val="00501B16"/>
    <w:rsid w:val="00555954"/>
    <w:rsid w:val="006479CB"/>
    <w:rsid w:val="006B37C1"/>
    <w:rsid w:val="007B6B24"/>
    <w:rsid w:val="00810D74"/>
    <w:rsid w:val="00861E8F"/>
    <w:rsid w:val="00864426"/>
    <w:rsid w:val="008F2FDA"/>
    <w:rsid w:val="00915AFE"/>
    <w:rsid w:val="00AE3E9C"/>
    <w:rsid w:val="00AF3F74"/>
    <w:rsid w:val="00B077FB"/>
    <w:rsid w:val="00B36E27"/>
    <w:rsid w:val="00B46DA3"/>
    <w:rsid w:val="00BE7809"/>
    <w:rsid w:val="00C37425"/>
    <w:rsid w:val="00C7003C"/>
    <w:rsid w:val="00D409FD"/>
    <w:rsid w:val="00DD379A"/>
    <w:rsid w:val="00EA25ED"/>
    <w:rsid w:val="00EA784B"/>
    <w:rsid w:val="00F228F3"/>
    <w:rsid w:val="00F32CAD"/>
    <w:rsid w:val="00F53035"/>
    <w:rsid w:val="00FD26F4"/>
    <w:rsid w:val="00FE2034"/>
    <w:rsid w:val="00FF34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607B6"/>
  <w15:chartTrackingRefBased/>
  <w15:docId w15:val="{25869401-3400-434E-945B-76A7DCAF3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44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44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44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44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44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44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44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44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44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44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44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44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44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44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44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44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44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4441"/>
    <w:rPr>
      <w:rFonts w:eastAsiaTheme="majorEastAsia" w:cstheme="majorBidi"/>
      <w:color w:val="272727" w:themeColor="text1" w:themeTint="D8"/>
    </w:rPr>
  </w:style>
  <w:style w:type="paragraph" w:styleId="Title">
    <w:name w:val="Title"/>
    <w:basedOn w:val="Normal"/>
    <w:next w:val="Normal"/>
    <w:link w:val="TitleChar"/>
    <w:uiPriority w:val="10"/>
    <w:qFormat/>
    <w:rsid w:val="000544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44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44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44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4441"/>
    <w:pPr>
      <w:spacing w:before="160"/>
      <w:jc w:val="center"/>
    </w:pPr>
    <w:rPr>
      <w:i/>
      <w:iCs/>
      <w:color w:val="404040" w:themeColor="text1" w:themeTint="BF"/>
    </w:rPr>
  </w:style>
  <w:style w:type="character" w:customStyle="1" w:styleId="QuoteChar">
    <w:name w:val="Quote Char"/>
    <w:basedOn w:val="DefaultParagraphFont"/>
    <w:link w:val="Quote"/>
    <w:uiPriority w:val="29"/>
    <w:rsid w:val="00054441"/>
    <w:rPr>
      <w:i/>
      <w:iCs/>
      <w:color w:val="404040" w:themeColor="text1" w:themeTint="BF"/>
    </w:rPr>
  </w:style>
  <w:style w:type="paragraph" w:styleId="ListParagraph">
    <w:name w:val="List Paragraph"/>
    <w:basedOn w:val="Normal"/>
    <w:uiPriority w:val="34"/>
    <w:qFormat/>
    <w:rsid w:val="00054441"/>
    <w:pPr>
      <w:ind w:left="720"/>
      <w:contextualSpacing/>
    </w:pPr>
  </w:style>
  <w:style w:type="character" w:styleId="IntenseEmphasis">
    <w:name w:val="Intense Emphasis"/>
    <w:basedOn w:val="DefaultParagraphFont"/>
    <w:uiPriority w:val="21"/>
    <w:qFormat/>
    <w:rsid w:val="00054441"/>
    <w:rPr>
      <w:i/>
      <w:iCs/>
      <w:color w:val="0F4761" w:themeColor="accent1" w:themeShade="BF"/>
    </w:rPr>
  </w:style>
  <w:style w:type="paragraph" w:styleId="IntenseQuote">
    <w:name w:val="Intense Quote"/>
    <w:basedOn w:val="Normal"/>
    <w:next w:val="Normal"/>
    <w:link w:val="IntenseQuoteChar"/>
    <w:uiPriority w:val="30"/>
    <w:qFormat/>
    <w:rsid w:val="000544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4441"/>
    <w:rPr>
      <w:i/>
      <w:iCs/>
      <w:color w:val="0F4761" w:themeColor="accent1" w:themeShade="BF"/>
    </w:rPr>
  </w:style>
  <w:style w:type="character" w:styleId="IntenseReference">
    <w:name w:val="Intense Reference"/>
    <w:basedOn w:val="DefaultParagraphFont"/>
    <w:uiPriority w:val="32"/>
    <w:qFormat/>
    <w:rsid w:val="00054441"/>
    <w:rPr>
      <w:b/>
      <w:bCs/>
      <w:smallCaps/>
      <w:color w:val="0F4761" w:themeColor="accent1" w:themeShade="BF"/>
      <w:spacing w:val="5"/>
    </w:rPr>
  </w:style>
  <w:style w:type="paragraph" w:styleId="NormalWeb">
    <w:name w:val="Normal (Web)"/>
    <w:basedOn w:val="Normal"/>
    <w:uiPriority w:val="99"/>
    <w:unhideWhenUsed/>
    <w:rsid w:val="00AF3F7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446D54"/>
    <w:rPr>
      <w:color w:val="467886" w:themeColor="hyperlink"/>
      <w:u w:val="single"/>
    </w:rPr>
  </w:style>
  <w:style w:type="character" w:styleId="UnresolvedMention">
    <w:name w:val="Unresolved Mention"/>
    <w:basedOn w:val="DefaultParagraphFont"/>
    <w:uiPriority w:val="99"/>
    <w:semiHidden/>
    <w:unhideWhenUsed/>
    <w:rsid w:val="00446D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2410788">
      <w:bodyDiv w:val="1"/>
      <w:marLeft w:val="0"/>
      <w:marRight w:val="0"/>
      <w:marTop w:val="0"/>
      <w:marBottom w:val="0"/>
      <w:divBdr>
        <w:top w:val="none" w:sz="0" w:space="0" w:color="auto"/>
        <w:left w:val="none" w:sz="0" w:space="0" w:color="auto"/>
        <w:bottom w:val="none" w:sz="0" w:space="0" w:color="auto"/>
        <w:right w:val="none" w:sz="0" w:space="0" w:color="auto"/>
      </w:divBdr>
    </w:div>
    <w:div w:id="587883820">
      <w:bodyDiv w:val="1"/>
      <w:marLeft w:val="0"/>
      <w:marRight w:val="0"/>
      <w:marTop w:val="0"/>
      <w:marBottom w:val="0"/>
      <w:divBdr>
        <w:top w:val="none" w:sz="0" w:space="0" w:color="auto"/>
        <w:left w:val="none" w:sz="0" w:space="0" w:color="auto"/>
        <w:bottom w:val="none" w:sz="0" w:space="0" w:color="auto"/>
        <w:right w:val="none" w:sz="0" w:space="0" w:color="auto"/>
      </w:divBdr>
    </w:div>
    <w:div w:id="632253267">
      <w:bodyDiv w:val="1"/>
      <w:marLeft w:val="0"/>
      <w:marRight w:val="0"/>
      <w:marTop w:val="0"/>
      <w:marBottom w:val="0"/>
      <w:divBdr>
        <w:top w:val="none" w:sz="0" w:space="0" w:color="auto"/>
        <w:left w:val="none" w:sz="0" w:space="0" w:color="auto"/>
        <w:bottom w:val="none" w:sz="0" w:space="0" w:color="auto"/>
        <w:right w:val="none" w:sz="0" w:space="0" w:color="auto"/>
      </w:divBdr>
    </w:div>
    <w:div w:id="1376468073">
      <w:bodyDiv w:val="1"/>
      <w:marLeft w:val="0"/>
      <w:marRight w:val="0"/>
      <w:marTop w:val="0"/>
      <w:marBottom w:val="0"/>
      <w:divBdr>
        <w:top w:val="none" w:sz="0" w:space="0" w:color="auto"/>
        <w:left w:val="none" w:sz="0" w:space="0" w:color="auto"/>
        <w:bottom w:val="none" w:sz="0" w:space="0" w:color="auto"/>
        <w:right w:val="none" w:sz="0" w:space="0" w:color="auto"/>
      </w:divBdr>
    </w:div>
    <w:div w:id="1426534386">
      <w:bodyDiv w:val="1"/>
      <w:marLeft w:val="0"/>
      <w:marRight w:val="0"/>
      <w:marTop w:val="0"/>
      <w:marBottom w:val="0"/>
      <w:divBdr>
        <w:top w:val="none" w:sz="0" w:space="0" w:color="auto"/>
        <w:left w:val="none" w:sz="0" w:space="0" w:color="auto"/>
        <w:bottom w:val="none" w:sz="0" w:space="0" w:color="auto"/>
        <w:right w:val="none" w:sz="0" w:space="0" w:color="auto"/>
      </w:divBdr>
    </w:div>
    <w:div w:id="1542399548">
      <w:bodyDiv w:val="1"/>
      <w:marLeft w:val="0"/>
      <w:marRight w:val="0"/>
      <w:marTop w:val="0"/>
      <w:marBottom w:val="0"/>
      <w:divBdr>
        <w:top w:val="none" w:sz="0" w:space="0" w:color="auto"/>
        <w:left w:val="none" w:sz="0" w:space="0" w:color="auto"/>
        <w:bottom w:val="none" w:sz="0" w:space="0" w:color="auto"/>
        <w:right w:val="none" w:sz="0" w:space="0" w:color="auto"/>
      </w:divBdr>
    </w:div>
    <w:div w:id="1611931319">
      <w:bodyDiv w:val="1"/>
      <w:marLeft w:val="0"/>
      <w:marRight w:val="0"/>
      <w:marTop w:val="0"/>
      <w:marBottom w:val="0"/>
      <w:divBdr>
        <w:top w:val="none" w:sz="0" w:space="0" w:color="auto"/>
        <w:left w:val="none" w:sz="0" w:space="0" w:color="auto"/>
        <w:bottom w:val="none" w:sz="0" w:space="0" w:color="auto"/>
        <w:right w:val="none" w:sz="0" w:space="0" w:color="auto"/>
      </w:divBdr>
    </w:div>
    <w:div w:id="1616710068">
      <w:bodyDiv w:val="1"/>
      <w:marLeft w:val="0"/>
      <w:marRight w:val="0"/>
      <w:marTop w:val="0"/>
      <w:marBottom w:val="0"/>
      <w:divBdr>
        <w:top w:val="none" w:sz="0" w:space="0" w:color="auto"/>
        <w:left w:val="none" w:sz="0" w:space="0" w:color="auto"/>
        <w:bottom w:val="none" w:sz="0" w:space="0" w:color="auto"/>
        <w:right w:val="none" w:sz="0" w:space="0" w:color="auto"/>
      </w:divBdr>
    </w:div>
    <w:div w:id="1648195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a9architecture.co.uk/advice-centre/transforming-historic-buildings-adaptive-re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3</Pages>
  <Words>859</Words>
  <Characters>4901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MorganL</dc:creator>
  <cp:keywords/>
  <dc:description/>
  <cp:lastModifiedBy>ella morgan- dennis</cp:lastModifiedBy>
  <cp:revision>28</cp:revision>
  <dcterms:created xsi:type="dcterms:W3CDTF">2025-05-04T11:25:00Z</dcterms:created>
  <dcterms:modified xsi:type="dcterms:W3CDTF">2025-05-06T15:25:00Z</dcterms:modified>
</cp:coreProperties>
</file>