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FC6F47" w14:textId="77777777" w:rsidR="00D60C9B" w:rsidRPr="0053460C" w:rsidRDefault="00D60C9B" w:rsidP="00D60C9B">
      <w:pPr>
        <w:spacing w:line="259" w:lineRule="auto"/>
        <w:jc w:val="center"/>
        <w:rPr>
          <w:sz w:val="40"/>
          <w:szCs w:val="40"/>
        </w:rPr>
      </w:pPr>
    </w:p>
    <w:p w14:paraId="375FCDB7" w14:textId="77777777" w:rsidR="00D60C9B" w:rsidRPr="0053460C" w:rsidRDefault="00D60C9B" w:rsidP="00D60C9B">
      <w:pPr>
        <w:spacing w:line="259" w:lineRule="auto"/>
        <w:jc w:val="center"/>
        <w:rPr>
          <w:sz w:val="40"/>
          <w:szCs w:val="40"/>
        </w:rPr>
      </w:pPr>
    </w:p>
    <w:p w14:paraId="17934249" w14:textId="77777777" w:rsidR="00D60C9B" w:rsidRPr="0053460C" w:rsidRDefault="00D60C9B" w:rsidP="00D60C9B">
      <w:pPr>
        <w:spacing w:line="259" w:lineRule="auto"/>
        <w:jc w:val="center"/>
        <w:rPr>
          <w:sz w:val="40"/>
          <w:szCs w:val="40"/>
        </w:rPr>
      </w:pPr>
    </w:p>
    <w:p w14:paraId="3B16285A" w14:textId="719E1FE7" w:rsidR="00D60C9B" w:rsidRPr="0053460C" w:rsidRDefault="00D60C9B" w:rsidP="00D60C9B">
      <w:pPr>
        <w:spacing w:line="259" w:lineRule="auto"/>
        <w:jc w:val="center"/>
        <w:rPr>
          <w:sz w:val="40"/>
          <w:szCs w:val="40"/>
        </w:rPr>
      </w:pPr>
      <w:r w:rsidRPr="0053460C">
        <w:rPr>
          <w:sz w:val="40"/>
          <w:szCs w:val="40"/>
        </w:rPr>
        <w:t>University of Wales Trinity Saint David</w:t>
      </w:r>
    </w:p>
    <w:p w14:paraId="3B4941C1" w14:textId="77777777" w:rsidR="00D60C9B" w:rsidRPr="0053460C" w:rsidRDefault="00D60C9B" w:rsidP="00D60C9B">
      <w:pPr>
        <w:spacing w:line="259" w:lineRule="auto"/>
        <w:jc w:val="center"/>
        <w:rPr>
          <w:sz w:val="40"/>
          <w:szCs w:val="40"/>
        </w:rPr>
      </w:pPr>
      <w:r w:rsidRPr="0053460C">
        <w:rPr>
          <w:sz w:val="40"/>
          <w:szCs w:val="40"/>
        </w:rPr>
        <w:t>School of Engineering</w:t>
      </w:r>
    </w:p>
    <w:p w14:paraId="4C0BE899" w14:textId="77777777" w:rsidR="00D60C9B" w:rsidRPr="0053460C" w:rsidRDefault="00D60C9B" w:rsidP="00D60C9B">
      <w:pPr>
        <w:spacing w:line="259" w:lineRule="auto"/>
        <w:jc w:val="center"/>
        <w:rPr>
          <w:sz w:val="40"/>
          <w:szCs w:val="40"/>
        </w:rPr>
      </w:pPr>
    </w:p>
    <w:p w14:paraId="5602D4B9" w14:textId="39E497DE" w:rsidR="00D60C9B" w:rsidRPr="0053460C" w:rsidRDefault="00562740" w:rsidP="00D60C9B">
      <w:pPr>
        <w:spacing w:line="259" w:lineRule="auto"/>
        <w:jc w:val="center"/>
        <w:rPr>
          <w:sz w:val="40"/>
          <w:szCs w:val="40"/>
        </w:rPr>
      </w:pPr>
      <w:r w:rsidRPr="0053460C">
        <w:rPr>
          <w:sz w:val="40"/>
          <w:szCs w:val="40"/>
        </w:rPr>
        <w:t>D</w:t>
      </w:r>
      <w:r w:rsidRPr="0053460C">
        <w:rPr>
          <w:sz w:val="40"/>
          <w:szCs w:val="40"/>
        </w:rPr>
        <w:t>esigning a kiteboard hydrofoil: Fluid flow assessment</w:t>
      </w:r>
    </w:p>
    <w:p w14:paraId="54A8FFB1" w14:textId="5084BDCC" w:rsidR="00D60C9B" w:rsidRPr="0053460C" w:rsidRDefault="00562740" w:rsidP="00D60C9B">
      <w:pPr>
        <w:spacing w:line="259" w:lineRule="auto"/>
        <w:jc w:val="center"/>
        <w:rPr>
          <w:sz w:val="40"/>
          <w:szCs w:val="40"/>
        </w:rPr>
      </w:pPr>
      <w:r w:rsidRPr="0053460C">
        <w:rPr>
          <w:sz w:val="40"/>
          <w:szCs w:val="40"/>
        </w:rPr>
        <w:t>S</w:t>
      </w:r>
      <w:r w:rsidRPr="0053460C">
        <w:rPr>
          <w:sz w:val="40"/>
          <w:szCs w:val="40"/>
        </w:rPr>
        <w:t>tructural &amp; Fluid Analysis</w:t>
      </w:r>
    </w:p>
    <w:p w14:paraId="25920BD9" w14:textId="148C7A49" w:rsidR="00562740" w:rsidRPr="0053460C" w:rsidRDefault="00562740" w:rsidP="00D60C9B">
      <w:pPr>
        <w:spacing w:line="259" w:lineRule="auto"/>
        <w:jc w:val="center"/>
        <w:rPr>
          <w:sz w:val="40"/>
          <w:szCs w:val="40"/>
        </w:rPr>
      </w:pPr>
      <w:r w:rsidRPr="0053460C">
        <w:rPr>
          <w:sz w:val="40"/>
          <w:szCs w:val="40"/>
        </w:rPr>
        <w:t>ACMA6010</w:t>
      </w:r>
    </w:p>
    <w:p w14:paraId="560AEA45" w14:textId="77777777" w:rsidR="00562740" w:rsidRPr="0053460C" w:rsidRDefault="00562740" w:rsidP="00D60C9B">
      <w:pPr>
        <w:spacing w:line="259" w:lineRule="auto"/>
        <w:jc w:val="center"/>
        <w:rPr>
          <w:sz w:val="40"/>
          <w:szCs w:val="40"/>
        </w:rPr>
      </w:pPr>
    </w:p>
    <w:p w14:paraId="5599FF42" w14:textId="00D9EA08" w:rsidR="00D60C9B" w:rsidRPr="0053460C" w:rsidRDefault="00562740" w:rsidP="00D60C9B">
      <w:pPr>
        <w:spacing w:line="259" w:lineRule="auto"/>
        <w:jc w:val="center"/>
        <w:rPr>
          <w:sz w:val="40"/>
          <w:szCs w:val="40"/>
        </w:rPr>
      </w:pPr>
      <w:r w:rsidRPr="0053460C">
        <w:rPr>
          <w:sz w:val="40"/>
          <w:szCs w:val="40"/>
        </w:rPr>
        <w:t>Heather Came</w:t>
      </w:r>
    </w:p>
    <w:p w14:paraId="1F4AF451" w14:textId="1BF0BC1D" w:rsidR="00D60C9B" w:rsidRPr="0053460C" w:rsidRDefault="00562740" w:rsidP="00D60C9B">
      <w:pPr>
        <w:spacing w:line="259" w:lineRule="auto"/>
        <w:jc w:val="center"/>
        <w:rPr>
          <w:sz w:val="40"/>
          <w:szCs w:val="40"/>
        </w:rPr>
      </w:pPr>
      <w:r w:rsidRPr="0053460C">
        <w:rPr>
          <w:sz w:val="40"/>
          <w:szCs w:val="40"/>
        </w:rPr>
        <w:t>2208198</w:t>
      </w:r>
    </w:p>
    <w:p w14:paraId="69DB5F0A" w14:textId="1771D106" w:rsidR="001F1450" w:rsidRPr="0053460C" w:rsidRDefault="00562740" w:rsidP="00D60C9B">
      <w:pPr>
        <w:spacing w:line="259" w:lineRule="auto"/>
        <w:jc w:val="center"/>
        <w:rPr>
          <w:sz w:val="40"/>
          <w:szCs w:val="40"/>
        </w:rPr>
      </w:pPr>
      <w:r w:rsidRPr="0053460C">
        <w:rPr>
          <w:sz w:val="40"/>
          <w:szCs w:val="40"/>
        </w:rPr>
        <w:t>23/11/2025</w:t>
      </w:r>
    </w:p>
    <w:p w14:paraId="07ABF470" w14:textId="77777777" w:rsidR="001F1450" w:rsidRPr="0053460C" w:rsidRDefault="001F1450" w:rsidP="00D60C9B">
      <w:pPr>
        <w:spacing w:line="259" w:lineRule="auto"/>
        <w:jc w:val="center"/>
        <w:rPr>
          <w:sz w:val="40"/>
          <w:szCs w:val="40"/>
        </w:rPr>
      </w:pPr>
    </w:p>
    <w:p w14:paraId="5AF8B5B0" w14:textId="77777777" w:rsidR="001F1450" w:rsidRPr="0053460C" w:rsidRDefault="001F1450" w:rsidP="00D60C9B">
      <w:pPr>
        <w:spacing w:line="259" w:lineRule="auto"/>
        <w:jc w:val="center"/>
        <w:rPr>
          <w:sz w:val="40"/>
          <w:szCs w:val="40"/>
        </w:rPr>
      </w:pPr>
    </w:p>
    <w:p w14:paraId="60A4F784" w14:textId="77777777" w:rsidR="001F1450" w:rsidRPr="0053460C" w:rsidRDefault="001F1450" w:rsidP="00D60C9B">
      <w:pPr>
        <w:spacing w:line="259" w:lineRule="auto"/>
        <w:jc w:val="center"/>
        <w:rPr>
          <w:sz w:val="40"/>
          <w:szCs w:val="40"/>
        </w:rPr>
      </w:pPr>
    </w:p>
    <w:p w14:paraId="4464D70E" w14:textId="77777777" w:rsidR="001F1450" w:rsidRPr="0053460C" w:rsidRDefault="001F1450" w:rsidP="00D60C9B">
      <w:pPr>
        <w:spacing w:line="259" w:lineRule="auto"/>
        <w:jc w:val="center"/>
        <w:rPr>
          <w:sz w:val="40"/>
          <w:szCs w:val="40"/>
        </w:rPr>
      </w:pPr>
    </w:p>
    <w:p w14:paraId="34EB205C" w14:textId="77777777" w:rsidR="001F1450" w:rsidRPr="0053460C" w:rsidRDefault="001F1450" w:rsidP="00D60C9B">
      <w:pPr>
        <w:spacing w:line="259" w:lineRule="auto"/>
        <w:jc w:val="center"/>
        <w:rPr>
          <w:sz w:val="40"/>
          <w:szCs w:val="40"/>
        </w:rPr>
      </w:pPr>
    </w:p>
    <w:p w14:paraId="68E7CD64" w14:textId="77777777" w:rsidR="001F1450" w:rsidRPr="0053460C" w:rsidRDefault="001F1450" w:rsidP="00D60C9B">
      <w:pPr>
        <w:spacing w:line="259" w:lineRule="auto"/>
        <w:jc w:val="center"/>
        <w:rPr>
          <w:sz w:val="40"/>
          <w:szCs w:val="40"/>
        </w:rPr>
      </w:pPr>
    </w:p>
    <w:p w14:paraId="0E7CFA8C" w14:textId="77777777" w:rsidR="001F1450" w:rsidRPr="0053460C" w:rsidRDefault="001F1450" w:rsidP="00D60C9B">
      <w:pPr>
        <w:spacing w:line="259" w:lineRule="auto"/>
        <w:jc w:val="center"/>
        <w:rPr>
          <w:sz w:val="40"/>
          <w:szCs w:val="40"/>
        </w:rPr>
      </w:pPr>
    </w:p>
    <w:p w14:paraId="22685255" w14:textId="77777777" w:rsidR="001F1450" w:rsidRPr="0053460C" w:rsidRDefault="001F1450" w:rsidP="00EA71E9">
      <w:pPr>
        <w:spacing w:line="259" w:lineRule="auto"/>
        <w:rPr>
          <w:sz w:val="40"/>
          <w:szCs w:val="40"/>
        </w:rPr>
      </w:pPr>
    </w:p>
    <w:p w14:paraId="4D8CBE55" w14:textId="77777777" w:rsidR="00C85B12" w:rsidRPr="0053460C" w:rsidRDefault="001F1450" w:rsidP="001F1450">
      <w:pPr>
        <w:pStyle w:val="TOCHeading"/>
        <w:rPr>
          <w:lang w:val="en-GB"/>
        </w:rPr>
      </w:pPr>
      <w:r w:rsidRPr="0053460C">
        <w:rPr>
          <w:lang w:val="en-GB"/>
        </w:rPr>
        <w:lastRenderedPageBreak/>
        <w:t xml:space="preserve">Abstract </w:t>
      </w:r>
    </w:p>
    <w:p w14:paraId="60B61283" w14:textId="77777777" w:rsidR="00C85B12" w:rsidRPr="0053460C" w:rsidRDefault="00C85B12" w:rsidP="00C85B12"/>
    <w:p w14:paraId="675853A3" w14:textId="39CC5019" w:rsidR="0064767D" w:rsidRPr="0064767D" w:rsidRDefault="0064767D" w:rsidP="0064767D">
      <w:r w:rsidRPr="0064767D">
        <w:t xml:space="preserve">Hydrofoil wings enable efficient lift generation in water by controlling viscous and inertial interactions within the boundary layer. Understanding this flow behaviour is fundamental to predicting lift, drag, separation onset and cavitation risk. This report critically appraises the fluid flow around the kiteboard hydrofoil geometry developed in </w:t>
      </w:r>
      <w:r w:rsidR="00075E95" w:rsidRPr="00293931">
        <w:t xml:space="preserve">the report </w:t>
      </w:r>
      <w:r w:rsidR="00075E95" w:rsidRPr="00293931">
        <w:t>Designing a Kiteboard Hydrofoil Wing: Structural Design</w:t>
      </w:r>
      <w:r w:rsidR="00075E95" w:rsidRPr="00293931">
        <w:t xml:space="preserve"> (</w:t>
      </w:r>
      <w:proofErr w:type="gramStart"/>
      <w:r w:rsidR="00075E95" w:rsidRPr="00293931">
        <w:t xml:space="preserve">Assignment </w:t>
      </w:r>
      <w:r w:rsidRPr="0064767D">
        <w:t xml:space="preserve"> 1</w:t>
      </w:r>
      <w:proofErr w:type="gramEnd"/>
      <w:r w:rsidR="00075E95" w:rsidRPr="00293931">
        <w:t>)</w:t>
      </w:r>
      <w:r w:rsidRPr="0064767D">
        <w:t>, maintaining the same configuration and 500N vertical load per side to ensure structural and aerodynamic consistency. Six sequential tasks evaluate the governing flow parameters, hydrodynamic validity of loading, material implications, modelling fidelity and laboratory validation methods.</w:t>
      </w:r>
    </w:p>
    <w:p w14:paraId="428D7BD7" w14:textId="70FAF729" w:rsidR="0064767D" w:rsidRPr="0064767D" w:rsidRDefault="0064767D" w:rsidP="0064767D">
      <w:r w:rsidRPr="0064767D">
        <w:t xml:space="preserve">The analysis establishes a chord-based Reynolds number range of approximately </w:t>
      </w:r>
      <m:oMath>
        <m:r>
          <w:rPr>
            <w:rFonts w:ascii="Cambria Math" w:hAnsi="Cambria Math"/>
          </w:rPr>
          <m:t>7×</m:t>
        </m:r>
        <m:sSup>
          <m:sSupPr>
            <m:ctrlPr>
              <w:rPr>
                <w:rFonts w:ascii="Cambria Math" w:hAnsi="Cambria Math"/>
              </w:rPr>
            </m:ctrlPr>
          </m:sSupPr>
          <m:e>
            <m:r>
              <w:rPr>
                <w:rFonts w:ascii="Cambria Math" w:hAnsi="Cambria Math"/>
              </w:rPr>
              <m:t>10</m:t>
            </m:r>
          </m:e>
          <m:sup>
            <m:r>
              <w:rPr>
                <w:rFonts w:ascii="Cambria Math" w:hAnsi="Cambria Math"/>
              </w:rPr>
              <m:t>5</m:t>
            </m:r>
          </m:sup>
        </m:sSup>
      </m:oMath>
      <w:r w:rsidR="005E2C08">
        <w:rPr>
          <w:rFonts w:eastAsiaTheme="minorEastAsia"/>
        </w:rPr>
        <w:t xml:space="preserve"> </w:t>
      </w:r>
      <w:r w:rsidRPr="0064767D">
        <w:t xml:space="preserve">to </w:t>
      </w:r>
      <m:oMath>
        <m:r>
          <w:rPr>
            <w:rFonts w:ascii="Cambria Math" w:hAnsi="Cambria Math"/>
          </w:rPr>
          <m:t>2.5×</m:t>
        </m:r>
        <m:sSup>
          <m:sSupPr>
            <m:ctrlPr>
              <w:rPr>
                <w:rFonts w:ascii="Cambria Math" w:hAnsi="Cambria Math"/>
              </w:rPr>
            </m:ctrlPr>
          </m:sSupPr>
          <m:e>
            <m:r>
              <w:rPr>
                <w:rFonts w:ascii="Cambria Math" w:hAnsi="Cambria Math"/>
              </w:rPr>
              <m:t>10</m:t>
            </m:r>
          </m:e>
          <m:sup>
            <m:r>
              <w:rPr>
                <w:rFonts w:ascii="Cambria Math" w:hAnsi="Cambria Math"/>
              </w:rPr>
              <m:t>6</m:t>
            </m:r>
          </m:sup>
        </m:sSup>
      </m:oMath>
      <w:r w:rsidRPr="0064767D">
        <w:t>, spanning transitional to fully turbulent regimes. Boundary-layer evolution and separation behaviour are interpreted to justify the hydrofoil’s camber, thickness and planform design. The use of carbon-fibre-reinforced plastic (CFRP) is assessed in relation to stiffness-to-mass advantage, fatigue and water-ingress durability, guided by relevant ASTM and ASME standards.</w:t>
      </w:r>
    </w:p>
    <w:p w14:paraId="48D4C8F6" w14:textId="5D7CAAB8" w:rsidR="0064767D" w:rsidRPr="0064767D" w:rsidRDefault="0064767D" w:rsidP="0064767D">
      <w:r w:rsidRPr="0064767D">
        <w:t>Modelling techniques from potential flow and lifting-line methods to steady three-dimensional Reynolds-averaged Navier–Stokes (RANS) computational fluid dynamics (CFD) are compared; in RANS the Navier–Stokes equations are solved in time-averaged form and turbulence effects are represented through additional transport equations, providing an efficient approximation of turbulent flow. A steady 3D RANS CFD model with an appropriate turbulence closure is identified as offering the best balance of accuracy and efficiency for this geometry. A prototype water-tunnel test plan is then proposed to correlate measured lift, drag and centre deflection to simulation results through repeatable, uncertainty-bounded validation. The overall recommendation is to adopt the RANS approach, verify it experimentally, and update the model iteratively until convergence between physical and computational data is achieved.</w:t>
      </w:r>
    </w:p>
    <w:sdt>
      <w:sdtPr>
        <w:rPr>
          <w:rFonts w:ascii="Times New Roman" w:eastAsiaTheme="minorHAnsi" w:hAnsi="Times New Roman" w:cstheme="minorBidi"/>
          <w:color w:val="auto"/>
          <w:sz w:val="22"/>
          <w:szCs w:val="22"/>
          <w:lang w:val="en-GB"/>
        </w:rPr>
        <w:id w:val="1995452659"/>
        <w:docPartObj>
          <w:docPartGallery w:val="Table of Contents"/>
          <w:docPartUnique/>
        </w:docPartObj>
      </w:sdtPr>
      <w:sdtEndPr>
        <w:rPr>
          <w:b/>
          <w:bCs/>
        </w:rPr>
      </w:sdtEndPr>
      <w:sdtContent>
        <w:p w14:paraId="235C34A7" w14:textId="12EA241F" w:rsidR="004658BF" w:rsidRDefault="004658BF">
          <w:pPr>
            <w:pStyle w:val="TOCHeading"/>
            <w:rPr>
              <w:lang w:val="en-GB"/>
            </w:rPr>
          </w:pPr>
          <w:r w:rsidRPr="0053460C">
            <w:rPr>
              <w:lang w:val="en-GB"/>
            </w:rPr>
            <w:t>Contents</w:t>
          </w:r>
        </w:p>
        <w:p w14:paraId="363C93FE" w14:textId="77777777" w:rsidR="00075E95" w:rsidRPr="00075E95" w:rsidRDefault="00075E95" w:rsidP="00075E95"/>
        <w:p w14:paraId="0EC5D69C" w14:textId="03C86566" w:rsidR="00293931" w:rsidRDefault="004658BF">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r w:rsidRPr="0053460C">
            <w:fldChar w:fldCharType="begin"/>
          </w:r>
          <w:r w:rsidRPr="0053460C">
            <w:instrText xml:space="preserve"> TOC \o "1-3" \h \z \u </w:instrText>
          </w:r>
          <w:r w:rsidRPr="0053460C">
            <w:fldChar w:fldCharType="separate"/>
          </w:r>
          <w:hyperlink w:anchor="_Toc214817340" w:history="1">
            <w:r w:rsidR="00293931" w:rsidRPr="007A6AEF">
              <w:rPr>
                <w:rStyle w:val="Hyperlink"/>
                <w:noProof/>
              </w:rPr>
              <w:t>1</w:t>
            </w:r>
            <w:r w:rsidR="00293931">
              <w:rPr>
                <w:rFonts w:asciiTheme="minorHAnsi" w:eastAsiaTheme="minorEastAsia" w:hAnsiTheme="minorHAnsi"/>
                <w:noProof/>
                <w:kern w:val="2"/>
                <w:sz w:val="24"/>
                <w:szCs w:val="24"/>
                <w:lang w:eastAsia="en-GB"/>
                <w14:ligatures w14:val="standardContextual"/>
              </w:rPr>
              <w:tab/>
            </w:r>
            <w:r w:rsidR="00293931" w:rsidRPr="007A6AEF">
              <w:rPr>
                <w:rStyle w:val="Hyperlink"/>
                <w:noProof/>
              </w:rPr>
              <w:t>Introduction</w:t>
            </w:r>
            <w:r w:rsidR="00293931">
              <w:rPr>
                <w:noProof/>
                <w:webHidden/>
              </w:rPr>
              <w:tab/>
            </w:r>
            <w:r w:rsidR="00293931">
              <w:rPr>
                <w:noProof/>
                <w:webHidden/>
              </w:rPr>
              <w:fldChar w:fldCharType="begin"/>
            </w:r>
            <w:r w:rsidR="00293931">
              <w:rPr>
                <w:noProof/>
                <w:webHidden/>
              </w:rPr>
              <w:instrText xml:space="preserve"> PAGEREF _Toc214817340 \h </w:instrText>
            </w:r>
            <w:r w:rsidR="00293931">
              <w:rPr>
                <w:noProof/>
                <w:webHidden/>
              </w:rPr>
            </w:r>
            <w:r w:rsidR="00293931">
              <w:rPr>
                <w:noProof/>
                <w:webHidden/>
              </w:rPr>
              <w:fldChar w:fldCharType="separate"/>
            </w:r>
            <w:r w:rsidR="00293931">
              <w:rPr>
                <w:noProof/>
                <w:webHidden/>
              </w:rPr>
              <w:t>1</w:t>
            </w:r>
            <w:r w:rsidR="00293931">
              <w:rPr>
                <w:noProof/>
                <w:webHidden/>
              </w:rPr>
              <w:fldChar w:fldCharType="end"/>
            </w:r>
          </w:hyperlink>
        </w:p>
        <w:p w14:paraId="56C6D764" w14:textId="6131B0DD" w:rsidR="00293931" w:rsidRDefault="00293931">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214817341" w:history="1">
            <w:r w:rsidRPr="007A6AEF">
              <w:rPr>
                <w:rStyle w:val="Hyperlink"/>
                <w:noProof/>
              </w:rPr>
              <w:t>2</w:t>
            </w:r>
            <w:r>
              <w:rPr>
                <w:rFonts w:asciiTheme="minorHAnsi" w:eastAsiaTheme="minorEastAsia" w:hAnsiTheme="minorHAnsi"/>
                <w:noProof/>
                <w:kern w:val="2"/>
                <w:sz w:val="24"/>
                <w:szCs w:val="24"/>
                <w:lang w:eastAsia="en-GB"/>
                <w14:ligatures w14:val="standardContextual"/>
              </w:rPr>
              <w:tab/>
            </w:r>
            <w:r w:rsidRPr="007A6AEF">
              <w:rPr>
                <w:rStyle w:val="Hyperlink"/>
                <w:noProof/>
              </w:rPr>
              <w:t>Task 1 — Reynolds number: importance and estimate</w:t>
            </w:r>
            <w:r>
              <w:rPr>
                <w:noProof/>
                <w:webHidden/>
              </w:rPr>
              <w:tab/>
            </w:r>
            <w:r>
              <w:rPr>
                <w:noProof/>
                <w:webHidden/>
              </w:rPr>
              <w:fldChar w:fldCharType="begin"/>
            </w:r>
            <w:r>
              <w:rPr>
                <w:noProof/>
                <w:webHidden/>
              </w:rPr>
              <w:instrText xml:space="preserve"> PAGEREF _Toc214817341 \h </w:instrText>
            </w:r>
            <w:r>
              <w:rPr>
                <w:noProof/>
                <w:webHidden/>
              </w:rPr>
            </w:r>
            <w:r>
              <w:rPr>
                <w:noProof/>
                <w:webHidden/>
              </w:rPr>
              <w:fldChar w:fldCharType="separate"/>
            </w:r>
            <w:r>
              <w:rPr>
                <w:noProof/>
                <w:webHidden/>
              </w:rPr>
              <w:t>2</w:t>
            </w:r>
            <w:r>
              <w:rPr>
                <w:noProof/>
                <w:webHidden/>
              </w:rPr>
              <w:fldChar w:fldCharType="end"/>
            </w:r>
          </w:hyperlink>
        </w:p>
        <w:p w14:paraId="2542046D" w14:textId="1C5147C2" w:rsidR="00293931" w:rsidRDefault="00293931">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214817342" w:history="1">
            <w:r w:rsidRPr="007A6AEF">
              <w:rPr>
                <w:rStyle w:val="Hyperlink"/>
                <w:noProof/>
              </w:rPr>
              <w:t>3</w:t>
            </w:r>
            <w:r>
              <w:rPr>
                <w:rFonts w:asciiTheme="minorHAnsi" w:eastAsiaTheme="minorEastAsia" w:hAnsiTheme="minorHAnsi"/>
                <w:noProof/>
                <w:kern w:val="2"/>
                <w:sz w:val="24"/>
                <w:szCs w:val="24"/>
                <w:lang w:eastAsia="en-GB"/>
                <w14:ligatures w14:val="standardContextual"/>
              </w:rPr>
              <w:tab/>
            </w:r>
            <w:r w:rsidRPr="007A6AEF">
              <w:rPr>
                <w:rStyle w:val="Hyperlink"/>
                <w:noProof/>
              </w:rPr>
              <w:t>Task 2 — Boundary layer, separation, turbulence; design rationale</w:t>
            </w:r>
            <w:r>
              <w:rPr>
                <w:noProof/>
                <w:webHidden/>
              </w:rPr>
              <w:tab/>
            </w:r>
            <w:r>
              <w:rPr>
                <w:noProof/>
                <w:webHidden/>
              </w:rPr>
              <w:fldChar w:fldCharType="begin"/>
            </w:r>
            <w:r>
              <w:rPr>
                <w:noProof/>
                <w:webHidden/>
              </w:rPr>
              <w:instrText xml:space="preserve"> PAGEREF _Toc214817342 \h </w:instrText>
            </w:r>
            <w:r>
              <w:rPr>
                <w:noProof/>
                <w:webHidden/>
              </w:rPr>
            </w:r>
            <w:r>
              <w:rPr>
                <w:noProof/>
                <w:webHidden/>
              </w:rPr>
              <w:fldChar w:fldCharType="separate"/>
            </w:r>
            <w:r>
              <w:rPr>
                <w:noProof/>
                <w:webHidden/>
              </w:rPr>
              <w:t>4</w:t>
            </w:r>
            <w:r>
              <w:rPr>
                <w:noProof/>
                <w:webHidden/>
              </w:rPr>
              <w:fldChar w:fldCharType="end"/>
            </w:r>
          </w:hyperlink>
        </w:p>
        <w:p w14:paraId="70B08F0E" w14:textId="6302D05F" w:rsidR="00293931" w:rsidRDefault="00293931">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214817343" w:history="1">
            <w:r w:rsidRPr="007A6AEF">
              <w:rPr>
                <w:rStyle w:val="Hyperlink"/>
                <w:noProof/>
              </w:rPr>
              <w:t>4</w:t>
            </w:r>
            <w:r>
              <w:rPr>
                <w:rFonts w:asciiTheme="minorHAnsi" w:eastAsiaTheme="minorEastAsia" w:hAnsiTheme="minorHAnsi"/>
                <w:noProof/>
                <w:kern w:val="2"/>
                <w:sz w:val="24"/>
                <w:szCs w:val="24"/>
                <w:lang w:eastAsia="en-GB"/>
                <w14:ligatures w14:val="standardContextual"/>
              </w:rPr>
              <w:tab/>
            </w:r>
            <w:r w:rsidRPr="007A6AEF">
              <w:rPr>
                <w:rStyle w:val="Hyperlink"/>
                <w:noProof/>
              </w:rPr>
              <w:t>Task 3 — Critical appraisal of the assumed forces</w:t>
            </w:r>
            <w:r>
              <w:rPr>
                <w:noProof/>
                <w:webHidden/>
              </w:rPr>
              <w:tab/>
            </w:r>
            <w:r>
              <w:rPr>
                <w:noProof/>
                <w:webHidden/>
              </w:rPr>
              <w:fldChar w:fldCharType="begin"/>
            </w:r>
            <w:r>
              <w:rPr>
                <w:noProof/>
                <w:webHidden/>
              </w:rPr>
              <w:instrText xml:space="preserve"> PAGEREF _Toc214817343 \h </w:instrText>
            </w:r>
            <w:r>
              <w:rPr>
                <w:noProof/>
                <w:webHidden/>
              </w:rPr>
            </w:r>
            <w:r>
              <w:rPr>
                <w:noProof/>
                <w:webHidden/>
              </w:rPr>
              <w:fldChar w:fldCharType="separate"/>
            </w:r>
            <w:r>
              <w:rPr>
                <w:noProof/>
                <w:webHidden/>
              </w:rPr>
              <w:t>6</w:t>
            </w:r>
            <w:r>
              <w:rPr>
                <w:noProof/>
                <w:webHidden/>
              </w:rPr>
              <w:fldChar w:fldCharType="end"/>
            </w:r>
          </w:hyperlink>
        </w:p>
        <w:p w14:paraId="406CF489" w14:textId="7C284346" w:rsidR="00293931" w:rsidRDefault="00293931">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214817344" w:history="1">
            <w:r w:rsidRPr="007A6AEF">
              <w:rPr>
                <w:rStyle w:val="Hyperlink"/>
                <w:noProof/>
              </w:rPr>
              <w:t>5</w:t>
            </w:r>
            <w:r>
              <w:rPr>
                <w:rFonts w:asciiTheme="minorHAnsi" w:eastAsiaTheme="minorEastAsia" w:hAnsiTheme="minorHAnsi"/>
                <w:noProof/>
                <w:kern w:val="2"/>
                <w:sz w:val="24"/>
                <w:szCs w:val="24"/>
                <w:lang w:eastAsia="en-GB"/>
                <w14:ligatures w14:val="standardContextual"/>
              </w:rPr>
              <w:tab/>
            </w:r>
            <w:r w:rsidRPr="007A6AEF">
              <w:rPr>
                <w:rStyle w:val="Hyperlink"/>
                <w:noProof/>
              </w:rPr>
              <w:t>Task 4 - CFRP material implications: past, present and future</w:t>
            </w:r>
            <w:r>
              <w:rPr>
                <w:noProof/>
                <w:webHidden/>
              </w:rPr>
              <w:tab/>
            </w:r>
            <w:r>
              <w:rPr>
                <w:noProof/>
                <w:webHidden/>
              </w:rPr>
              <w:fldChar w:fldCharType="begin"/>
            </w:r>
            <w:r>
              <w:rPr>
                <w:noProof/>
                <w:webHidden/>
              </w:rPr>
              <w:instrText xml:space="preserve"> PAGEREF _Toc214817344 \h </w:instrText>
            </w:r>
            <w:r>
              <w:rPr>
                <w:noProof/>
                <w:webHidden/>
              </w:rPr>
            </w:r>
            <w:r>
              <w:rPr>
                <w:noProof/>
                <w:webHidden/>
              </w:rPr>
              <w:fldChar w:fldCharType="separate"/>
            </w:r>
            <w:r>
              <w:rPr>
                <w:noProof/>
                <w:webHidden/>
              </w:rPr>
              <w:t>8</w:t>
            </w:r>
            <w:r>
              <w:rPr>
                <w:noProof/>
                <w:webHidden/>
              </w:rPr>
              <w:fldChar w:fldCharType="end"/>
            </w:r>
          </w:hyperlink>
        </w:p>
        <w:p w14:paraId="2EEE0DB4" w14:textId="222992C6" w:rsidR="00293931" w:rsidRDefault="00293931">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214817345" w:history="1">
            <w:r w:rsidRPr="007A6AEF">
              <w:rPr>
                <w:rStyle w:val="Hyperlink"/>
                <w:noProof/>
              </w:rPr>
              <w:t>6</w:t>
            </w:r>
            <w:r>
              <w:rPr>
                <w:rFonts w:asciiTheme="minorHAnsi" w:eastAsiaTheme="minorEastAsia" w:hAnsiTheme="minorHAnsi"/>
                <w:noProof/>
                <w:kern w:val="2"/>
                <w:sz w:val="24"/>
                <w:szCs w:val="24"/>
                <w:lang w:eastAsia="en-GB"/>
                <w14:ligatures w14:val="standardContextual"/>
              </w:rPr>
              <w:tab/>
            </w:r>
            <w:r w:rsidRPr="007A6AEF">
              <w:rPr>
                <w:rStyle w:val="Hyperlink"/>
                <w:noProof/>
              </w:rPr>
              <w:t>Task 5 - Flow modelling and force estimate</w:t>
            </w:r>
            <w:r>
              <w:rPr>
                <w:noProof/>
                <w:webHidden/>
              </w:rPr>
              <w:tab/>
            </w:r>
            <w:r>
              <w:rPr>
                <w:noProof/>
                <w:webHidden/>
              </w:rPr>
              <w:fldChar w:fldCharType="begin"/>
            </w:r>
            <w:r>
              <w:rPr>
                <w:noProof/>
                <w:webHidden/>
              </w:rPr>
              <w:instrText xml:space="preserve"> PAGEREF _Toc214817345 \h </w:instrText>
            </w:r>
            <w:r>
              <w:rPr>
                <w:noProof/>
                <w:webHidden/>
              </w:rPr>
            </w:r>
            <w:r>
              <w:rPr>
                <w:noProof/>
                <w:webHidden/>
              </w:rPr>
              <w:fldChar w:fldCharType="separate"/>
            </w:r>
            <w:r>
              <w:rPr>
                <w:noProof/>
                <w:webHidden/>
              </w:rPr>
              <w:t>10</w:t>
            </w:r>
            <w:r>
              <w:rPr>
                <w:noProof/>
                <w:webHidden/>
              </w:rPr>
              <w:fldChar w:fldCharType="end"/>
            </w:r>
          </w:hyperlink>
        </w:p>
        <w:p w14:paraId="7D907560" w14:textId="35112C11" w:rsidR="00293931" w:rsidRDefault="0029393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4817346" w:history="1">
            <w:r w:rsidRPr="007A6AEF">
              <w:rPr>
                <w:rStyle w:val="Hyperlink"/>
                <w:noProof/>
              </w:rPr>
              <w:t>6.1</w:t>
            </w:r>
            <w:r>
              <w:rPr>
                <w:rFonts w:asciiTheme="minorHAnsi" w:eastAsiaTheme="minorEastAsia" w:hAnsiTheme="minorHAnsi"/>
                <w:noProof/>
                <w:kern w:val="2"/>
                <w:sz w:val="24"/>
                <w:szCs w:val="24"/>
                <w:lang w:eastAsia="en-GB"/>
                <w14:ligatures w14:val="standardContextual"/>
              </w:rPr>
              <w:tab/>
            </w:r>
            <w:r w:rsidRPr="007A6AEF">
              <w:rPr>
                <w:rStyle w:val="Hyperlink"/>
                <w:noProof/>
              </w:rPr>
              <w:t>Modelling options and trade-offs</w:t>
            </w:r>
            <w:r>
              <w:rPr>
                <w:noProof/>
                <w:webHidden/>
              </w:rPr>
              <w:tab/>
            </w:r>
            <w:r>
              <w:rPr>
                <w:noProof/>
                <w:webHidden/>
              </w:rPr>
              <w:fldChar w:fldCharType="begin"/>
            </w:r>
            <w:r>
              <w:rPr>
                <w:noProof/>
                <w:webHidden/>
              </w:rPr>
              <w:instrText xml:space="preserve"> PAGEREF _Toc214817346 \h </w:instrText>
            </w:r>
            <w:r>
              <w:rPr>
                <w:noProof/>
                <w:webHidden/>
              </w:rPr>
            </w:r>
            <w:r>
              <w:rPr>
                <w:noProof/>
                <w:webHidden/>
              </w:rPr>
              <w:fldChar w:fldCharType="separate"/>
            </w:r>
            <w:r>
              <w:rPr>
                <w:noProof/>
                <w:webHidden/>
              </w:rPr>
              <w:t>10</w:t>
            </w:r>
            <w:r>
              <w:rPr>
                <w:noProof/>
                <w:webHidden/>
              </w:rPr>
              <w:fldChar w:fldCharType="end"/>
            </w:r>
          </w:hyperlink>
        </w:p>
        <w:p w14:paraId="29F3CC8D" w14:textId="62D57B3D" w:rsidR="00293931" w:rsidRDefault="0029393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4817347" w:history="1">
            <w:r w:rsidRPr="007A6AEF">
              <w:rPr>
                <w:rStyle w:val="Hyperlink"/>
                <w:noProof/>
              </w:rPr>
              <w:t>6.2</w:t>
            </w:r>
            <w:r>
              <w:rPr>
                <w:rFonts w:asciiTheme="minorHAnsi" w:eastAsiaTheme="minorEastAsia" w:hAnsiTheme="minorHAnsi"/>
                <w:noProof/>
                <w:kern w:val="2"/>
                <w:sz w:val="24"/>
                <w:szCs w:val="24"/>
                <w:lang w:eastAsia="en-GB"/>
                <w14:ligatures w14:val="standardContextual"/>
              </w:rPr>
              <w:tab/>
            </w:r>
            <w:r w:rsidRPr="007A6AEF">
              <w:rPr>
                <w:rStyle w:val="Hyperlink"/>
                <w:noProof/>
              </w:rPr>
              <w:t>Recommended modelling route</w:t>
            </w:r>
            <w:r>
              <w:rPr>
                <w:noProof/>
                <w:webHidden/>
              </w:rPr>
              <w:tab/>
            </w:r>
            <w:r>
              <w:rPr>
                <w:noProof/>
                <w:webHidden/>
              </w:rPr>
              <w:fldChar w:fldCharType="begin"/>
            </w:r>
            <w:r>
              <w:rPr>
                <w:noProof/>
                <w:webHidden/>
              </w:rPr>
              <w:instrText xml:space="preserve"> PAGEREF _Toc214817347 \h </w:instrText>
            </w:r>
            <w:r>
              <w:rPr>
                <w:noProof/>
                <w:webHidden/>
              </w:rPr>
            </w:r>
            <w:r>
              <w:rPr>
                <w:noProof/>
                <w:webHidden/>
              </w:rPr>
              <w:fldChar w:fldCharType="separate"/>
            </w:r>
            <w:r>
              <w:rPr>
                <w:noProof/>
                <w:webHidden/>
              </w:rPr>
              <w:t>11</w:t>
            </w:r>
            <w:r>
              <w:rPr>
                <w:noProof/>
                <w:webHidden/>
              </w:rPr>
              <w:fldChar w:fldCharType="end"/>
            </w:r>
          </w:hyperlink>
        </w:p>
        <w:p w14:paraId="08FB0DA0" w14:textId="323B92E1" w:rsidR="00293931" w:rsidRDefault="0029393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4817348" w:history="1">
            <w:r w:rsidRPr="007A6AEF">
              <w:rPr>
                <w:rStyle w:val="Hyperlink"/>
                <w:noProof/>
              </w:rPr>
              <w:t>6.3</w:t>
            </w:r>
            <w:r>
              <w:rPr>
                <w:rFonts w:asciiTheme="minorHAnsi" w:eastAsiaTheme="minorEastAsia" w:hAnsiTheme="minorHAnsi"/>
                <w:noProof/>
                <w:kern w:val="2"/>
                <w:sz w:val="24"/>
                <w:szCs w:val="24"/>
                <w:lang w:eastAsia="en-GB"/>
                <w14:ligatures w14:val="standardContextual"/>
              </w:rPr>
              <w:tab/>
            </w:r>
            <w:r w:rsidRPr="007A6AEF">
              <w:rPr>
                <w:rStyle w:val="Hyperlink"/>
                <w:noProof/>
              </w:rPr>
              <w:t>Force estimate</w:t>
            </w:r>
            <w:r>
              <w:rPr>
                <w:noProof/>
                <w:webHidden/>
              </w:rPr>
              <w:tab/>
            </w:r>
            <w:r>
              <w:rPr>
                <w:noProof/>
                <w:webHidden/>
              </w:rPr>
              <w:fldChar w:fldCharType="begin"/>
            </w:r>
            <w:r>
              <w:rPr>
                <w:noProof/>
                <w:webHidden/>
              </w:rPr>
              <w:instrText xml:space="preserve"> PAGEREF _Toc214817348 \h </w:instrText>
            </w:r>
            <w:r>
              <w:rPr>
                <w:noProof/>
                <w:webHidden/>
              </w:rPr>
            </w:r>
            <w:r>
              <w:rPr>
                <w:noProof/>
                <w:webHidden/>
              </w:rPr>
              <w:fldChar w:fldCharType="separate"/>
            </w:r>
            <w:r>
              <w:rPr>
                <w:noProof/>
                <w:webHidden/>
              </w:rPr>
              <w:t>11</w:t>
            </w:r>
            <w:r>
              <w:rPr>
                <w:noProof/>
                <w:webHidden/>
              </w:rPr>
              <w:fldChar w:fldCharType="end"/>
            </w:r>
          </w:hyperlink>
        </w:p>
        <w:p w14:paraId="224662C8" w14:textId="39AB41E9" w:rsidR="00293931" w:rsidRDefault="0029393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4817349" w:history="1">
            <w:r w:rsidRPr="007A6AEF">
              <w:rPr>
                <w:rStyle w:val="Hyperlink"/>
                <w:noProof/>
              </w:rPr>
              <w:t>6.4</w:t>
            </w:r>
            <w:r>
              <w:rPr>
                <w:rFonts w:asciiTheme="minorHAnsi" w:eastAsiaTheme="minorEastAsia" w:hAnsiTheme="minorHAnsi"/>
                <w:noProof/>
                <w:kern w:val="2"/>
                <w:sz w:val="24"/>
                <w:szCs w:val="24"/>
                <w:lang w:eastAsia="en-GB"/>
                <w14:ligatures w14:val="standardContextual"/>
              </w:rPr>
              <w:tab/>
            </w:r>
            <w:r w:rsidRPr="007A6AEF">
              <w:rPr>
                <w:rStyle w:val="Hyperlink"/>
                <w:noProof/>
              </w:rPr>
              <w:t>Validation hierarchy</w:t>
            </w:r>
            <w:r>
              <w:rPr>
                <w:noProof/>
                <w:webHidden/>
              </w:rPr>
              <w:tab/>
            </w:r>
            <w:r>
              <w:rPr>
                <w:noProof/>
                <w:webHidden/>
              </w:rPr>
              <w:fldChar w:fldCharType="begin"/>
            </w:r>
            <w:r>
              <w:rPr>
                <w:noProof/>
                <w:webHidden/>
              </w:rPr>
              <w:instrText xml:space="preserve"> PAGEREF _Toc214817349 \h </w:instrText>
            </w:r>
            <w:r>
              <w:rPr>
                <w:noProof/>
                <w:webHidden/>
              </w:rPr>
            </w:r>
            <w:r>
              <w:rPr>
                <w:noProof/>
                <w:webHidden/>
              </w:rPr>
              <w:fldChar w:fldCharType="separate"/>
            </w:r>
            <w:r>
              <w:rPr>
                <w:noProof/>
                <w:webHidden/>
              </w:rPr>
              <w:t>12</w:t>
            </w:r>
            <w:r>
              <w:rPr>
                <w:noProof/>
                <w:webHidden/>
              </w:rPr>
              <w:fldChar w:fldCharType="end"/>
            </w:r>
          </w:hyperlink>
        </w:p>
        <w:p w14:paraId="01485A38" w14:textId="468934CA" w:rsidR="00293931" w:rsidRDefault="00293931">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214817350" w:history="1">
            <w:r w:rsidRPr="007A6AEF">
              <w:rPr>
                <w:rStyle w:val="Hyperlink"/>
                <w:noProof/>
              </w:rPr>
              <w:t>7</w:t>
            </w:r>
            <w:r>
              <w:rPr>
                <w:rFonts w:asciiTheme="minorHAnsi" w:eastAsiaTheme="minorEastAsia" w:hAnsiTheme="minorHAnsi"/>
                <w:noProof/>
                <w:kern w:val="2"/>
                <w:sz w:val="24"/>
                <w:szCs w:val="24"/>
                <w:lang w:eastAsia="en-GB"/>
                <w14:ligatures w14:val="standardContextual"/>
              </w:rPr>
              <w:tab/>
            </w:r>
            <w:r w:rsidRPr="007A6AEF">
              <w:rPr>
                <w:rStyle w:val="Hyperlink"/>
                <w:noProof/>
              </w:rPr>
              <w:t>Task 6 - Prototype test and correlation</w:t>
            </w:r>
            <w:r>
              <w:rPr>
                <w:noProof/>
                <w:webHidden/>
              </w:rPr>
              <w:tab/>
            </w:r>
            <w:r>
              <w:rPr>
                <w:noProof/>
                <w:webHidden/>
              </w:rPr>
              <w:fldChar w:fldCharType="begin"/>
            </w:r>
            <w:r>
              <w:rPr>
                <w:noProof/>
                <w:webHidden/>
              </w:rPr>
              <w:instrText xml:space="preserve"> PAGEREF _Toc214817350 \h </w:instrText>
            </w:r>
            <w:r>
              <w:rPr>
                <w:noProof/>
                <w:webHidden/>
              </w:rPr>
            </w:r>
            <w:r>
              <w:rPr>
                <w:noProof/>
                <w:webHidden/>
              </w:rPr>
              <w:fldChar w:fldCharType="separate"/>
            </w:r>
            <w:r>
              <w:rPr>
                <w:noProof/>
                <w:webHidden/>
              </w:rPr>
              <w:t>13</w:t>
            </w:r>
            <w:r>
              <w:rPr>
                <w:noProof/>
                <w:webHidden/>
              </w:rPr>
              <w:fldChar w:fldCharType="end"/>
            </w:r>
          </w:hyperlink>
        </w:p>
        <w:p w14:paraId="4FB9B55D" w14:textId="5A7467FF" w:rsidR="00293931" w:rsidRDefault="0029393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4817351" w:history="1">
            <w:r w:rsidRPr="007A6AEF">
              <w:rPr>
                <w:rStyle w:val="Hyperlink"/>
                <w:noProof/>
              </w:rPr>
              <w:t>7.1</w:t>
            </w:r>
            <w:r>
              <w:rPr>
                <w:rFonts w:asciiTheme="minorHAnsi" w:eastAsiaTheme="minorEastAsia" w:hAnsiTheme="minorHAnsi"/>
                <w:noProof/>
                <w:kern w:val="2"/>
                <w:sz w:val="24"/>
                <w:szCs w:val="24"/>
                <w:lang w:eastAsia="en-GB"/>
                <w14:ligatures w14:val="standardContextual"/>
              </w:rPr>
              <w:tab/>
            </w:r>
            <w:r w:rsidRPr="007A6AEF">
              <w:rPr>
                <w:rStyle w:val="Hyperlink"/>
                <w:noProof/>
              </w:rPr>
              <w:t>Test specimen and facility</w:t>
            </w:r>
            <w:r>
              <w:rPr>
                <w:noProof/>
                <w:webHidden/>
              </w:rPr>
              <w:tab/>
            </w:r>
            <w:r>
              <w:rPr>
                <w:noProof/>
                <w:webHidden/>
              </w:rPr>
              <w:fldChar w:fldCharType="begin"/>
            </w:r>
            <w:r>
              <w:rPr>
                <w:noProof/>
                <w:webHidden/>
              </w:rPr>
              <w:instrText xml:space="preserve"> PAGEREF _Toc214817351 \h </w:instrText>
            </w:r>
            <w:r>
              <w:rPr>
                <w:noProof/>
                <w:webHidden/>
              </w:rPr>
            </w:r>
            <w:r>
              <w:rPr>
                <w:noProof/>
                <w:webHidden/>
              </w:rPr>
              <w:fldChar w:fldCharType="separate"/>
            </w:r>
            <w:r>
              <w:rPr>
                <w:noProof/>
                <w:webHidden/>
              </w:rPr>
              <w:t>13</w:t>
            </w:r>
            <w:r>
              <w:rPr>
                <w:noProof/>
                <w:webHidden/>
              </w:rPr>
              <w:fldChar w:fldCharType="end"/>
            </w:r>
          </w:hyperlink>
        </w:p>
        <w:p w14:paraId="226F9245" w14:textId="628F658E" w:rsidR="00293931" w:rsidRDefault="0029393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4817352" w:history="1">
            <w:r w:rsidRPr="007A6AEF">
              <w:rPr>
                <w:rStyle w:val="Hyperlink"/>
                <w:noProof/>
              </w:rPr>
              <w:t>7.2</w:t>
            </w:r>
            <w:r>
              <w:rPr>
                <w:rFonts w:asciiTheme="minorHAnsi" w:eastAsiaTheme="minorEastAsia" w:hAnsiTheme="minorHAnsi"/>
                <w:noProof/>
                <w:kern w:val="2"/>
                <w:sz w:val="24"/>
                <w:szCs w:val="24"/>
                <w:lang w:eastAsia="en-GB"/>
                <w14:ligatures w14:val="standardContextual"/>
              </w:rPr>
              <w:tab/>
            </w:r>
            <w:r w:rsidRPr="007A6AEF">
              <w:rPr>
                <w:rStyle w:val="Hyperlink"/>
                <w:noProof/>
              </w:rPr>
              <w:t>Instrumentation</w:t>
            </w:r>
            <w:r>
              <w:rPr>
                <w:noProof/>
                <w:webHidden/>
              </w:rPr>
              <w:tab/>
            </w:r>
            <w:r>
              <w:rPr>
                <w:noProof/>
                <w:webHidden/>
              </w:rPr>
              <w:fldChar w:fldCharType="begin"/>
            </w:r>
            <w:r>
              <w:rPr>
                <w:noProof/>
                <w:webHidden/>
              </w:rPr>
              <w:instrText xml:space="preserve"> PAGEREF _Toc214817352 \h </w:instrText>
            </w:r>
            <w:r>
              <w:rPr>
                <w:noProof/>
                <w:webHidden/>
              </w:rPr>
            </w:r>
            <w:r>
              <w:rPr>
                <w:noProof/>
                <w:webHidden/>
              </w:rPr>
              <w:fldChar w:fldCharType="separate"/>
            </w:r>
            <w:r>
              <w:rPr>
                <w:noProof/>
                <w:webHidden/>
              </w:rPr>
              <w:t>14</w:t>
            </w:r>
            <w:r>
              <w:rPr>
                <w:noProof/>
                <w:webHidden/>
              </w:rPr>
              <w:fldChar w:fldCharType="end"/>
            </w:r>
          </w:hyperlink>
        </w:p>
        <w:p w14:paraId="2D4B2C12" w14:textId="25C0CC8B" w:rsidR="00293931" w:rsidRDefault="0029393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4817353" w:history="1">
            <w:r w:rsidRPr="007A6AEF">
              <w:rPr>
                <w:rStyle w:val="Hyperlink"/>
                <w:noProof/>
              </w:rPr>
              <w:t>7.3</w:t>
            </w:r>
            <w:r>
              <w:rPr>
                <w:rFonts w:asciiTheme="minorHAnsi" w:eastAsiaTheme="minorEastAsia" w:hAnsiTheme="minorHAnsi"/>
                <w:noProof/>
                <w:kern w:val="2"/>
                <w:sz w:val="24"/>
                <w:szCs w:val="24"/>
                <w:lang w:eastAsia="en-GB"/>
                <w14:ligatures w14:val="standardContextual"/>
              </w:rPr>
              <w:tab/>
            </w:r>
            <w:r w:rsidRPr="007A6AEF">
              <w:rPr>
                <w:rStyle w:val="Hyperlink"/>
                <w:noProof/>
              </w:rPr>
              <w:t>Test procedure</w:t>
            </w:r>
            <w:r>
              <w:rPr>
                <w:noProof/>
                <w:webHidden/>
              </w:rPr>
              <w:tab/>
            </w:r>
            <w:r>
              <w:rPr>
                <w:noProof/>
                <w:webHidden/>
              </w:rPr>
              <w:fldChar w:fldCharType="begin"/>
            </w:r>
            <w:r>
              <w:rPr>
                <w:noProof/>
                <w:webHidden/>
              </w:rPr>
              <w:instrText xml:space="preserve"> PAGEREF _Toc214817353 \h </w:instrText>
            </w:r>
            <w:r>
              <w:rPr>
                <w:noProof/>
                <w:webHidden/>
              </w:rPr>
            </w:r>
            <w:r>
              <w:rPr>
                <w:noProof/>
                <w:webHidden/>
              </w:rPr>
              <w:fldChar w:fldCharType="separate"/>
            </w:r>
            <w:r>
              <w:rPr>
                <w:noProof/>
                <w:webHidden/>
              </w:rPr>
              <w:t>14</w:t>
            </w:r>
            <w:r>
              <w:rPr>
                <w:noProof/>
                <w:webHidden/>
              </w:rPr>
              <w:fldChar w:fldCharType="end"/>
            </w:r>
          </w:hyperlink>
        </w:p>
        <w:p w14:paraId="37E6818F" w14:textId="22297951" w:rsidR="00293931" w:rsidRDefault="0029393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4817354" w:history="1">
            <w:r w:rsidRPr="007A6AEF">
              <w:rPr>
                <w:rStyle w:val="Hyperlink"/>
                <w:noProof/>
              </w:rPr>
              <w:t>7.4</w:t>
            </w:r>
            <w:r>
              <w:rPr>
                <w:rFonts w:asciiTheme="minorHAnsi" w:eastAsiaTheme="minorEastAsia" w:hAnsiTheme="minorHAnsi"/>
                <w:noProof/>
                <w:kern w:val="2"/>
                <w:sz w:val="24"/>
                <w:szCs w:val="24"/>
                <w:lang w:eastAsia="en-GB"/>
                <w14:ligatures w14:val="standardContextual"/>
              </w:rPr>
              <w:tab/>
            </w:r>
            <w:r w:rsidRPr="007A6AEF">
              <w:rPr>
                <w:rStyle w:val="Hyperlink"/>
                <w:noProof/>
              </w:rPr>
              <w:t>Data processing and uncertainty</w:t>
            </w:r>
            <w:r>
              <w:rPr>
                <w:noProof/>
                <w:webHidden/>
              </w:rPr>
              <w:tab/>
            </w:r>
            <w:r>
              <w:rPr>
                <w:noProof/>
                <w:webHidden/>
              </w:rPr>
              <w:fldChar w:fldCharType="begin"/>
            </w:r>
            <w:r>
              <w:rPr>
                <w:noProof/>
                <w:webHidden/>
              </w:rPr>
              <w:instrText xml:space="preserve"> PAGEREF _Toc214817354 \h </w:instrText>
            </w:r>
            <w:r>
              <w:rPr>
                <w:noProof/>
                <w:webHidden/>
              </w:rPr>
            </w:r>
            <w:r>
              <w:rPr>
                <w:noProof/>
                <w:webHidden/>
              </w:rPr>
              <w:fldChar w:fldCharType="separate"/>
            </w:r>
            <w:r>
              <w:rPr>
                <w:noProof/>
                <w:webHidden/>
              </w:rPr>
              <w:t>14</w:t>
            </w:r>
            <w:r>
              <w:rPr>
                <w:noProof/>
                <w:webHidden/>
              </w:rPr>
              <w:fldChar w:fldCharType="end"/>
            </w:r>
          </w:hyperlink>
        </w:p>
        <w:p w14:paraId="21052EAE" w14:textId="5E1A0958" w:rsidR="00293931" w:rsidRDefault="0029393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4817355" w:history="1">
            <w:r w:rsidRPr="007A6AEF">
              <w:rPr>
                <w:rStyle w:val="Hyperlink"/>
                <w:noProof/>
              </w:rPr>
              <w:t>7.5</w:t>
            </w:r>
            <w:r>
              <w:rPr>
                <w:rFonts w:asciiTheme="minorHAnsi" w:eastAsiaTheme="minorEastAsia" w:hAnsiTheme="minorHAnsi"/>
                <w:noProof/>
                <w:kern w:val="2"/>
                <w:sz w:val="24"/>
                <w:szCs w:val="24"/>
                <w:lang w:eastAsia="en-GB"/>
                <w14:ligatures w14:val="standardContextual"/>
              </w:rPr>
              <w:tab/>
            </w:r>
            <w:r w:rsidRPr="007A6AEF">
              <w:rPr>
                <w:rStyle w:val="Hyperlink"/>
                <w:noProof/>
              </w:rPr>
              <w:t>Correlation and acceptance criteria</w:t>
            </w:r>
            <w:r>
              <w:rPr>
                <w:noProof/>
                <w:webHidden/>
              </w:rPr>
              <w:tab/>
            </w:r>
            <w:r>
              <w:rPr>
                <w:noProof/>
                <w:webHidden/>
              </w:rPr>
              <w:fldChar w:fldCharType="begin"/>
            </w:r>
            <w:r>
              <w:rPr>
                <w:noProof/>
                <w:webHidden/>
              </w:rPr>
              <w:instrText xml:space="preserve"> PAGEREF _Toc214817355 \h </w:instrText>
            </w:r>
            <w:r>
              <w:rPr>
                <w:noProof/>
                <w:webHidden/>
              </w:rPr>
            </w:r>
            <w:r>
              <w:rPr>
                <w:noProof/>
                <w:webHidden/>
              </w:rPr>
              <w:fldChar w:fldCharType="separate"/>
            </w:r>
            <w:r>
              <w:rPr>
                <w:noProof/>
                <w:webHidden/>
              </w:rPr>
              <w:t>14</w:t>
            </w:r>
            <w:r>
              <w:rPr>
                <w:noProof/>
                <w:webHidden/>
              </w:rPr>
              <w:fldChar w:fldCharType="end"/>
            </w:r>
          </w:hyperlink>
        </w:p>
        <w:p w14:paraId="5EDC99FB" w14:textId="2357E983" w:rsidR="00293931" w:rsidRDefault="00293931">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14817356" w:history="1">
            <w:r w:rsidRPr="007A6AEF">
              <w:rPr>
                <w:rStyle w:val="Hyperlink"/>
                <w:noProof/>
              </w:rPr>
              <w:t>7.6</w:t>
            </w:r>
            <w:r>
              <w:rPr>
                <w:rFonts w:asciiTheme="minorHAnsi" w:eastAsiaTheme="minorEastAsia" w:hAnsiTheme="minorHAnsi"/>
                <w:noProof/>
                <w:kern w:val="2"/>
                <w:sz w:val="24"/>
                <w:szCs w:val="24"/>
                <w:lang w:eastAsia="en-GB"/>
                <w14:ligatures w14:val="standardContextual"/>
              </w:rPr>
              <w:tab/>
            </w:r>
            <w:r w:rsidRPr="007A6AEF">
              <w:rPr>
                <w:rStyle w:val="Hyperlink"/>
                <w:noProof/>
              </w:rPr>
              <w:t>Outcome</w:t>
            </w:r>
            <w:r>
              <w:rPr>
                <w:noProof/>
                <w:webHidden/>
              </w:rPr>
              <w:tab/>
            </w:r>
            <w:r>
              <w:rPr>
                <w:noProof/>
                <w:webHidden/>
              </w:rPr>
              <w:fldChar w:fldCharType="begin"/>
            </w:r>
            <w:r>
              <w:rPr>
                <w:noProof/>
                <w:webHidden/>
              </w:rPr>
              <w:instrText xml:space="preserve"> PAGEREF _Toc214817356 \h </w:instrText>
            </w:r>
            <w:r>
              <w:rPr>
                <w:noProof/>
                <w:webHidden/>
              </w:rPr>
            </w:r>
            <w:r>
              <w:rPr>
                <w:noProof/>
                <w:webHidden/>
              </w:rPr>
              <w:fldChar w:fldCharType="separate"/>
            </w:r>
            <w:r>
              <w:rPr>
                <w:noProof/>
                <w:webHidden/>
              </w:rPr>
              <w:t>15</w:t>
            </w:r>
            <w:r>
              <w:rPr>
                <w:noProof/>
                <w:webHidden/>
              </w:rPr>
              <w:fldChar w:fldCharType="end"/>
            </w:r>
          </w:hyperlink>
        </w:p>
        <w:p w14:paraId="500C2B0B" w14:textId="4196A2EA" w:rsidR="00293931" w:rsidRDefault="00293931">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214817357" w:history="1">
            <w:r w:rsidRPr="007A6AEF">
              <w:rPr>
                <w:rStyle w:val="Hyperlink"/>
                <w:noProof/>
              </w:rPr>
              <w:t>8</w:t>
            </w:r>
            <w:r>
              <w:rPr>
                <w:rFonts w:asciiTheme="minorHAnsi" w:eastAsiaTheme="minorEastAsia" w:hAnsiTheme="minorHAnsi"/>
                <w:noProof/>
                <w:kern w:val="2"/>
                <w:sz w:val="24"/>
                <w:szCs w:val="24"/>
                <w:lang w:eastAsia="en-GB"/>
                <w14:ligatures w14:val="standardContextual"/>
              </w:rPr>
              <w:tab/>
            </w:r>
            <w:r w:rsidRPr="007A6AEF">
              <w:rPr>
                <w:rStyle w:val="Hyperlink"/>
                <w:noProof/>
              </w:rPr>
              <w:t>Conclusion</w:t>
            </w:r>
            <w:r>
              <w:rPr>
                <w:noProof/>
                <w:webHidden/>
              </w:rPr>
              <w:tab/>
            </w:r>
            <w:r>
              <w:rPr>
                <w:noProof/>
                <w:webHidden/>
              </w:rPr>
              <w:fldChar w:fldCharType="begin"/>
            </w:r>
            <w:r>
              <w:rPr>
                <w:noProof/>
                <w:webHidden/>
              </w:rPr>
              <w:instrText xml:space="preserve"> PAGEREF _Toc214817357 \h </w:instrText>
            </w:r>
            <w:r>
              <w:rPr>
                <w:noProof/>
                <w:webHidden/>
              </w:rPr>
            </w:r>
            <w:r>
              <w:rPr>
                <w:noProof/>
                <w:webHidden/>
              </w:rPr>
              <w:fldChar w:fldCharType="separate"/>
            </w:r>
            <w:r>
              <w:rPr>
                <w:noProof/>
                <w:webHidden/>
              </w:rPr>
              <w:t>16</w:t>
            </w:r>
            <w:r>
              <w:rPr>
                <w:noProof/>
                <w:webHidden/>
              </w:rPr>
              <w:fldChar w:fldCharType="end"/>
            </w:r>
          </w:hyperlink>
        </w:p>
        <w:p w14:paraId="7DDC1E4F" w14:textId="2CA079F4" w:rsidR="00293931" w:rsidRDefault="00293931">
          <w:pPr>
            <w:pStyle w:val="TOC1"/>
            <w:tabs>
              <w:tab w:val="left" w:pos="480"/>
              <w:tab w:val="right" w:leader="dot" w:pos="9016"/>
            </w:tabs>
            <w:rPr>
              <w:rFonts w:asciiTheme="minorHAnsi" w:eastAsiaTheme="minorEastAsia" w:hAnsiTheme="minorHAnsi"/>
              <w:noProof/>
              <w:kern w:val="2"/>
              <w:sz w:val="24"/>
              <w:szCs w:val="24"/>
              <w:lang w:eastAsia="en-GB"/>
              <w14:ligatures w14:val="standardContextual"/>
            </w:rPr>
          </w:pPr>
          <w:hyperlink w:anchor="_Toc214817358" w:history="1">
            <w:r w:rsidRPr="007A6AEF">
              <w:rPr>
                <w:rStyle w:val="Hyperlink"/>
                <w:noProof/>
              </w:rPr>
              <w:t>9</w:t>
            </w:r>
            <w:r>
              <w:rPr>
                <w:rFonts w:asciiTheme="minorHAnsi" w:eastAsiaTheme="minorEastAsia" w:hAnsiTheme="minorHAnsi"/>
                <w:noProof/>
                <w:kern w:val="2"/>
                <w:sz w:val="24"/>
                <w:szCs w:val="24"/>
                <w:lang w:eastAsia="en-GB"/>
                <w14:ligatures w14:val="standardContextual"/>
              </w:rPr>
              <w:tab/>
            </w:r>
            <w:r w:rsidRPr="007A6AEF">
              <w:rPr>
                <w:rStyle w:val="Hyperlink"/>
                <w:noProof/>
              </w:rPr>
              <w:t>References</w:t>
            </w:r>
            <w:r>
              <w:rPr>
                <w:noProof/>
                <w:webHidden/>
              </w:rPr>
              <w:tab/>
            </w:r>
            <w:r>
              <w:rPr>
                <w:noProof/>
                <w:webHidden/>
              </w:rPr>
              <w:fldChar w:fldCharType="begin"/>
            </w:r>
            <w:r>
              <w:rPr>
                <w:noProof/>
                <w:webHidden/>
              </w:rPr>
              <w:instrText xml:space="preserve"> PAGEREF _Toc214817358 \h </w:instrText>
            </w:r>
            <w:r>
              <w:rPr>
                <w:noProof/>
                <w:webHidden/>
              </w:rPr>
            </w:r>
            <w:r>
              <w:rPr>
                <w:noProof/>
                <w:webHidden/>
              </w:rPr>
              <w:fldChar w:fldCharType="separate"/>
            </w:r>
            <w:r>
              <w:rPr>
                <w:noProof/>
                <w:webHidden/>
              </w:rPr>
              <w:t>17</w:t>
            </w:r>
            <w:r>
              <w:rPr>
                <w:noProof/>
                <w:webHidden/>
              </w:rPr>
              <w:fldChar w:fldCharType="end"/>
            </w:r>
          </w:hyperlink>
        </w:p>
        <w:p w14:paraId="235CAFD4" w14:textId="0083AA53" w:rsidR="004658BF" w:rsidRPr="0053460C" w:rsidRDefault="004658BF">
          <w:r w:rsidRPr="0053460C">
            <w:rPr>
              <w:b/>
              <w:bCs/>
            </w:rPr>
            <w:fldChar w:fldCharType="end"/>
          </w:r>
        </w:p>
      </w:sdtContent>
    </w:sdt>
    <w:p w14:paraId="4E415F43" w14:textId="157C95DC" w:rsidR="00293931" w:rsidRDefault="00D60C9B">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rsidRPr="0053460C">
        <w:fldChar w:fldCharType="begin"/>
      </w:r>
      <w:r w:rsidRPr="0053460C">
        <w:instrText xml:space="preserve"> TOC \h \z \c "Figure" </w:instrText>
      </w:r>
      <w:r w:rsidRPr="0053460C">
        <w:fldChar w:fldCharType="separate"/>
      </w:r>
      <w:hyperlink w:anchor="_Toc214817359" w:history="1">
        <w:r w:rsidR="00293931" w:rsidRPr="009B1769">
          <w:rPr>
            <w:rStyle w:val="Hyperlink"/>
            <w:noProof/>
          </w:rPr>
          <w:t>Figure 1 - Schematic aerofoil section, representative of the mid-span section of the hydrofoil (Wikimedia Commons, 2006)</w:t>
        </w:r>
        <w:r w:rsidR="00293931">
          <w:rPr>
            <w:noProof/>
            <w:webHidden/>
          </w:rPr>
          <w:tab/>
        </w:r>
        <w:r w:rsidR="00293931">
          <w:rPr>
            <w:noProof/>
            <w:webHidden/>
          </w:rPr>
          <w:fldChar w:fldCharType="begin"/>
        </w:r>
        <w:r w:rsidR="00293931">
          <w:rPr>
            <w:noProof/>
            <w:webHidden/>
          </w:rPr>
          <w:instrText xml:space="preserve"> PAGEREF _Toc214817359 \h </w:instrText>
        </w:r>
        <w:r w:rsidR="00293931">
          <w:rPr>
            <w:noProof/>
            <w:webHidden/>
          </w:rPr>
        </w:r>
        <w:r w:rsidR="00293931">
          <w:rPr>
            <w:noProof/>
            <w:webHidden/>
          </w:rPr>
          <w:fldChar w:fldCharType="separate"/>
        </w:r>
        <w:r w:rsidR="00293931">
          <w:rPr>
            <w:noProof/>
            <w:webHidden/>
          </w:rPr>
          <w:t>2</w:t>
        </w:r>
        <w:r w:rsidR="00293931">
          <w:rPr>
            <w:noProof/>
            <w:webHidden/>
          </w:rPr>
          <w:fldChar w:fldCharType="end"/>
        </w:r>
      </w:hyperlink>
    </w:p>
    <w:p w14:paraId="3CF07E2F" w14:textId="4A25C5D7" w:rsidR="00293931" w:rsidRDefault="0029393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4817360" w:history="1">
        <w:r w:rsidRPr="009B1769">
          <w:rPr>
            <w:rStyle w:val="Hyperlink"/>
            <w:noProof/>
          </w:rPr>
          <w:t>Figure 2 – Reynolds number as a function of speed for the hydrofoil section, created using Excel</w:t>
        </w:r>
        <w:r>
          <w:rPr>
            <w:noProof/>
            <w:webHidden/>
          </w:rPr>
          <w:tab/>
        </w:r>
        <w:r>
          <w:rPr>
            <w:noProof/>
            <w:webHidden/>
          </w:rPr>
          <w:fldChar w:fldCharType="begin"/>
        </w:r>
        <w:r>
          <w:rPr>
            <w:noProof/>
            <w:webHidden/>
          </w:rPr>
          <w:instrText xml:space="preserve"> PAGEREF _Toc214817360 \h </w:instrText>
        </w:r>
        <w:r>
          <w:rPr>
            <w:noProof/>
            <w:webHidden/>
          </w:rPr>
        </w:r>
        <w:r>
          <w:rPr>
            <w:noProof/>
            <w:webHidden/>
          </w:rPr>
          <w:fldChar w:fldCharType="separate"/>
        </w:r>
        <w:r>
          <w:rPr>
            <w:noProof/>
            <w:webHidden/>
          </w:rPr>
          <w:t>3</w:t>
        </w:r>
        <w:r>
          <w:rPr>
            <w:noProof/>
            <w:webHidden/>
          </w:rPr>
          <w:fldChar w:fldCharType="end"/>
        </w:r>
      </w:hyperlink>
    </w:p>
    <w:p w14:paraId="712599AD" w14:textId="4262563D" w:rsidR="00293931" w:rsidRDefault="0029393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4817361" w:history="1">
        <w:r w:rsidRPr="009B1769">
          <w:rPr>
            <w:rStyle w:val="Hyperlink"/>
            <w:noProof/>
          </w:rPr>
          <w:t>Figure 3 - Conceptual development of the boundary layer over the upper and lower surfaces of an aerofoil (Leishman, 2006).</w:t>
        </w:r>
        <w:r>
          <w:rPr>
            <w:noProof/>
            <w:webHidden/>
          </w:rPr>
          <w:tab/>
        </w:r>
        <w:r>
          <w:rPr>
            <w:noProof/>
            <w:webHidden/>
          </w:rPr>
          <w:fldChar w:fldCharType="begin"/>
        </w:r>
        <w:r>
          <w:rPr>
            <w:noProof/>
            <w:webHidden/>
          </w:rPr>
          <w:instrText xml:space="preserve"> PAGEREF _Toc214817361 \h </w:instrText>
        </w:r>
        <w:r>
          <w:rPr>
            <w:noProof/>
            <w:webHidden/>
          </w:rPr>
        </w:r>
        <w:r>
          <w:rPr>
            <w:noProof/>
            <w:webHidden/>
          </w:rPr>
          <w:fldChar w:fldCharType="separate"/>
        </w:r>
        <w:r>
          <w:rPr>
            <w:noProof/>
            <w:webHidden/>
          </w:rPr>
          <w:t>5</w:t>
        </w:r>
        <w:r>
          <w:rPr>
            <w:noProof/>
            <w:webHidden/>
          </w:rPr>
          <w:fldChar w:fldCharType="end"/>
        </w:r>
      </w:hyperlink>
    </w:p>
    <w:p w14:paraId="4A85826D" w14:textId="180FE212" w:rsidR="00293931" w:rsidRDefault="0029393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4817362" w:history="1">
        <w:r w:rsidRPr="009B1769">
          <w:rPr>
            <w:rStyle w:val="Hyperlink"/>
            <w:noProof/>
          </w:rPr>
          <w:t>Figure 4 - Representative CFRP laminate stacking sequences illustrating how ply angles are combined to tailor stiffness and strength in laminates (Aspinall et al., 2023).</w:t>
        </w:r>
        <w:r>
          <w:rPr>
            <w:noProof/>
            <w:webHidden/>
          </w:rPr>
          <w:tab/>
        </w:r>
        <w:r>
          <w:rPr>
            <w:noProof/>
            <w:webHidden/>
          </w:rPr>
          <w:fldChar w:fldCharType="begin"/>
        </w:r>
        <w:r>
          <w:rPr>
            <w:noProof/>
            <w:webHidden/>
          </w:rPr>
          <w:instrText xml:space="preserve"> PAGEREF _Toc214817362 \h </w:instrText>
        </w:r>
        <w:r>
          <w:rPr>
            <w:noProof/>
            <w:webHidden/>
          </w:rPr>
        </w:r>
        <w:r>
          <w:rPr>
            <w:noProof/>
            <w:webHidden/>
          </w:rPr>
          <w:fldChar w:fldCharType="separate"/>
        </w:r>
        <w:r>
          <w:rPr>
            <w:noProof/>
            <w:webHidden/>
          </w:rPr>
          <w:t>8</w:t>
        </w:r>
        <w:r>
          <w:rPr>
            <w:noProof/>
            <w:webHidden/>
          </w:rPr>
          <w:fldChar w:fldCharType="end"/>
        </w:r>
      </w:hyperlink>
    </w:p>
    <w:p w14:paraId="7EE95DBF" w14:textId="78CAC0B4" w:rsidR="00293931" w:rsidRDefault="0029393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14817363" w:history="1">
        <w:r w:rsidRPr="009B1769">
          <w:rPr>
            <w:rStyle w:val="Hyperlink"/>
            <w:noProof/>
          </w:rPr>
          <w:t>Figure 5 - Representative hydrofoil instrumentation and tunnel test section (Ducoin et al., 2012).</w:t>
        </w:r>
        <w:r>
          <w:rPr>
            <w:noProof/>
            <w:webHidden/>
          </w:rPr>
          <w:tab/>
        </w:r>
        <w:r>
          <w:rPr>
            <w:noProof/>
            <w:webHidden/>
          </w:rPr>
          <w:fldChar w:fldCharType="begin"/>
        </w:r>
        <w:r>
          <w:rPr>
            <w:noProof/>
            <w:webHidden/>
          </w:rPr>
          <w:instrText xml:space="preserve"> PAGEREF _Toc214817363 \h </w:instrText>
        </w:r>
        <w:r>
          <w:rPr>
            <w:noProof/>
            <w:webHidden/>
          </w:rPr>
        </w:r>
        <w:r>
          <w:rPr>
            <w:noProof/>
            <w:webHidden/>
          </w:rPr>
          <w:fldChar w:fldCharType="separate"/>
        </w:r>
        <w:r>
          <w:rPr>
            <w:noProof/>
            <w:webHidden/>
          </w:rPr>
          <w:t>13</w:t>
        </w:r>
        <w:r>
          <w:rPr>
            <w:noProof/>
            <w:webHidden/>
          </w:rPr>
          <w:fldChar w:fldCharType="end"/>
        </w:r>
      </w:hyperlink>
    </w:p>
    <w:p w14:paraId="67A3D4DB" w14:textId="59BE5388" w:rsidR="004658BF" w:rsidRPr="0053460C" w:rsidRDefault="00D60C9B">
      <w:r w:rsidRPr="0053460C">
        <w:fldChar w:fldCharType="end"/>
      </w:r>
    </w:p>
    <w:p w14:paraId="421DD223" w14:textId="0EC81174" w:rsidR="00483065" w:rsidRPr="0053460C" w:rsidRDefault="00483065" w:rsidP="00F91E56">
      <w:pPr>
        <w:spacing w:line="259" w:lineRule="auto"/>
        <w:sectPr w:rsidR="00483065" w:rsidRPr="0053460C" w:rsidSect="004C5FFE">
          <w:footerReference w:type="default" r:id="rId8"/>
          <w:pgSz w:w="11906" w:h="16838"/>
          <w:pgMar w:top="1440" w:right="1440" w:bottom="1440" w:left="1440" w:header="708" w:footer="708" w:gutter="0"/>
          <w:pgNumType w:fmt="lowerRoman"/>
          <w:cols w:space="708"/>
          <w:titlePg/>
          <w:docGrid w:linePitch="360"/>
        </w:sectPr>
      </w:pPr>
    </w:p>
    <w:p w14:paraId="3131D495" w14:textId="4E9DB054" w:rsidR="00483065" w:rsidRPr="0053460C" w:rsidRDefault="001F1450" w:rsidP="00483065">
      <w:pPr>
        <w:pStyle w:val="Heading1"/>
      </w:pPr>
      <w:bookmarkStart w:id="0" w:name="_Toc214817340"/>
      <w:r w:rsidRPr="0053460C">
        <w:lastRenderedPageBreak/>
        <w:t>Introduction</w:t>
      </w:r>
      <w:bookmarkEnd w:id="0"/>
      <w:r w:rsidRPr="0053460C">
        <w:t xml:space="preserve"> </w:t>
      </w:r>
    </w:p>
    <w:p w14:paraId="3DF533BE" w14:textId="77777777" w:rsidR="00EF123F" w:rsidRPr="0053460C" w:rsidRDefault="00EF123F" w:rsidP="00EF123F"/>
    <w:p w14:paraId="08B46636" w14:textId="0C0A695E" w:rsidR="00075E95" w:rsidRPr="00F91E56" w:rsidRDefault="00075E95" w:rsidP="0016677E">
      <w:r w:rsidRPr="00F91E56">
        <w:t>This report critiques fluid flow around the kiteboard hydrofoil wing designed in “Designing a Kiteboard Hydrofoil Wing: Structural Design” (Assignment 1) and sets out a validation plan. The same planform and section geometry are retained, and the structural loading assumption of 500N vertical force per wing side is carried forward so that structural and flow-based force estimates can be compared directly.</w:t>
      </w:r>
    </w:p>
    <w:p w14:paraId="0B685FB5" w14:textId="557692B6" w:rsidR="00EF123F" w:rsidRPr="0053460C" w:rsidRDefault="0016677E">
      <w:r w:rsidRPr="0016677E">
        <w:t xml:space="preserve">Water at 20°C is taken to have density ρ = 998kg/m³ and dynamic viscosity μ = 1× 10⁻³Pa s, based on standard water-property data (Schlichting </w:t>
      </w:r>
      <w:r w:rsidR="00AA26B1" w:rsidRPr="00F91E56">
        <w:t>and</w:t>
      </w:r>
      <w:r w:rsidRPr="0016677E">
        <w:t xml:space="preserve"> Gersten, 2017). The characteristic length is the chord c = 0.25m</w:t>
      </w:r>
      <w:r w:rsidR="00BE6776" w:rsidRPr="00F91E56">
        <w:t>, consistent with Assignment 1</w:t>
      </w:r>
      <w:r w:rsidRPr="0016677E">
        <w:t xml:space="preserve">. </w:t>
      </w:r>
      <w:r w:rsidR="00BE6776" w:rsidRPr="00F91E56">
        <w:t xml:space="preserve">Two operating speeds are assumed: take-off at V ≈ 3m/s and typical ride at V ≈ 10m/s, chosen to bracket reported minimum lift-off and cruising speeds for rider-scale hydrofoils (RYA, n.d.; </w:t>
      </w:r>
      <w:proofErr w:type="spellStart"/>
      <w:r w:rsidR="00BE6776" w:rsidRPr="00F91E56">
        <w:t>Fliteboard</w:t>
      </w:r>
      <w:proofErr w:type="spellEnd"/>
      <w:r w:rsidR="00BE6776" w:rsidRPr="00F91E56">
        <w:t xml:space="preserve">, 2024; </w:t>
      </w:r>
      <w:proofErr w:type="spellStart"/>
      <w:r w:rsidR="00BE6776" w:rsidRPr="00F91E56">
        <w:t>Foilboard</w:t>
      </w:r>
      <w:proofErr w:type="spellEnd"/>
      <w:r w:rsidR="00BE6776" w:rsidRPr="00F91E56">
        <w:t>, 2024).</w:t>
      </w:r>
    </w:p>
    <w:p w14:paraId="4672CAFD" w14:textId="7C624417" w:rsidR="004658BF" w:rsidRPr="0053460C" w:rsidRDefault="001F1450" w:rsidP="001F1450">
      <w:pPr>
        <w:pStyle w:val="Heading1"/>
      </w:pPr>
      <w:bookmarkStart w:id="1" w:name="_Toc214817341"/>
      <w:r w:rsidRPr="0053460C">
        <w:lastRenderedPageBreak/>
        <w:t xml:space="preserve">Task 1 — Reynolds number: importance </w:t>
      </w:r>
      <w:r w:rsidR="00AA26B1" w:rsidRPr="0053460C">
        <w:t>and</w:t>
      </w:r>
      <w:r w:rsidRPr="0053460C">
        <w:t xml:space="preserve"> estimate</w:t>
      </w:r>
      <w:bookmarkEnd w:id="1"/>
    </w:p>
    <w:p w14:paraId="0C6204AE" w14:textId="77777777" w:rsidR="001F1450" w:rsidRPr="0053460C" w:rsidRDefault="001F1450" w:rsidP="001F1450">
      <w:pPr>
        <w:pStyle w:val="Heading2"/>
        <w:numPr>
          <w:ilvl w:val="0"/>
          <w:numId w:val="0"/>
        </w:numPr>
      </w:pPr>
    </w:p>
    <w:p w14:paraId="1E0DBC52" w14:textId="181650FD" w:rsidR="004E7F43" w:rsidRPr="0053460C" w:rsidRDefault="004E7F43" w:rsidP="004E7F43">
      <w:r w:rsidRPr="0053460C">
        <w:t xml:space="preserve">The Reynolds number (Re) governs the balance between inertial and viscous forces in a fluid flow and therefore controls the behaviour of the boundary layer around the hydrofoil. It determines when and where the flow becomes turbulent, how resistant the surface is to separation, and how drag and lift scale with speed (Schlichting </w:t>
      </w:r>
      <w:r w:rsidR="00AA26B1" w:rsidRPr="0053460C">
        <w:t>and</w:t>
      </w:r>
      <w:r w:rsidRPr="0053460C">
        <w:t xml:space="preserve"> Gersten, 2017). </w:t>
      </w:r>
      <w:r w:rsidR="00AA11DE" w:rsidRPr="0053460C">
        <w:t>Dynamic similarity between laboratory models and full-scale hydrofoils is achieved by matching Re, provided geometry and incidence remain constant; for fully submerged foils, Froude-number wave effects are secondary within the present scope (ITTC, 2014a; ITTC, 2024).</w:t>
      </w:r>
    </w:p>
    <w:p w14:paraId="6169449C" w14:textId="77777777" w:rsidR="00FF2257" w:rsidRPr="0053460C" w:rsidRDefault="004E7F43" w:rsidP="004E7F43">
      <w:r w:rsidRPr="0053460C">
        <w:t>Re is defined as</w:t>
      </w:r>
      <w:r w:rsidR="00FF2257" w:rsidRPr="0053460C">
        <w:t xml:space="preserve">: </w:t>
      </w:r>
    </w:p>
    <w:p w14:paraId="1C348C70" w14:textId="147A11DD" w:rsidR="004E7F43" w:rsidRPr="0053460C" w:rsidRDefault="00FF2257" w:rsidP="00E04535">
      <w:pPr>
        <w:jc w:val="center"/>
      </w:pPr>
      <m:oMath>
        <m:r>
          <w:rPr>
            <w:rFonts w:ascii="Cambria Math" w:hAnsi="Cambria Math"/>
          </w:rPr>
          <m:t>Re = ρ V c / μ</m:t>
        </m:r>
      </m:oMath>
      <w:r w:rsidR="004E7F43" w:rsidRPr="0053460C">
        <w:t>,</w:t>
      </w:r>
    </w:p>
    <w:p w14:paraId="26FC6C3F" w14:textId="68479349" w:rsidR="004E7F43" w:rsidRPr="0053460C" w:rsidRDefault="004E7F43" w:rsidP="004E7F43">
      <w:r w:rsidRPr="0053460C">
        <w:t>where ρ is fluid density, V is speed, c is chord length and μ is dynamic viscosity.</w:t>
      </w:r>
      <w:r w:rsidR="00943351" w:rsidRPr="0053460C">
        <w:t xml:space="preserve"> </w:t>
      </w:r>
      <w:r w:rsidR="00943351" w:rsidRPr="0053460C">
        <w:t>The</w:t>
      </w:r>
      <w:r w:rsidR="00D105F9" w:rsidRPr="0053460C">
        <w:t xml:space="preserve"> </w:t>
      </w:r>
      <w:r w:rsidR="00943351" w:rsidRPr="0053460C">
        <w:t>definitions of chord length c, freestream speed V and angle of attack α adopted in this report are illustrated in Figure 1 for a representative mid-span section of the hydrofoil.</w:t>
      </w:r>
    </w:p>
    <w:p w14:paraId="7FC0ABF5" w14:textId="77777777" w:rsidR="00943351" w:rsidRPr="0053460C" w:rsidRDefault="00943351" w:rsidP="004E7F43"/>
    <w:p w14:paraId="4C57E822" w14:textId="475872AE" w:rsidR="00943351" w:rsidRPr="0053460C" w:rsidRDefault="00943351" w:rsidP="009665B6">
      <w:pPr>
        <w:jc w:val="center"/>
      </w:pPr>
      <w:r w:rsidRPr="0053460C">
        <w:drawing>
          <wp:inline distT="0" distB="0" distL="0" distR="0" wp14:anchorId="237383BF" wp14:editId="4698967A">
            <wp:extent cx="5736938" cy="2691580"/>
            <wp:effectExtent l="19050" t="19050" r="16510" b="13970"/>
            <wp:docPr id="1884732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92154" cy="2717485"/>
                    </a:xfrm>
                    <a:prstGeom prst="rect">
                      <a:avLst/>
                    </a:prstGeom>
                    <a:noFill/>
                    <a:ln>
                      <a:solidFill>
                        <a:schemeClr val="tx1"/>
                      </a:solidFill>
                    </a:ln>
                  </pic:spPr>
                </pic:pic>
              </a:graphicData>
            </a:graphic>
          </wp:inline>
        </w:drawing>
      </w:r>
    </w:p>
    <w:p w14:paraId="12DD57DD" w14:textId="530110E7" w:rsidR="00943351" w:rsidRPr="0053460C" w:rsidRDefault="00943351" w:rsidP="00943351">
      <w:pPr>
        <w:pStyle w:val="Caption"/>
      </w:pPr>
      <w:bookmarkStart w:id="2" w:name="_Toc214817359"/>
      <w:r w:rsidRPr="0053460C">
        <w:t xml:space="preserve">Figure </w:t>
      </w:r>
      <w:r w:rsidRPr="0053460C">
        <w:fldChar w:fldCharType="begin"/>
      </w:r>
      <w:r w:rsidRPr="0053460C">
        <w:instrText xml:space="preserve"> SEQ Figure \* ARABIC </w:instrText>
      </w:r>
      <w:r w:rsidRPr="0053460C">
        <w:fldChar w:fldCharType="separate"/>
      </w:r>
      <w:r w:rsidR="00F75B7E" w:rsidRPr="0053460C">
        <w:t>1</w:t>
      </w:r>
      <w:r w:rsidRPr="0053460C">
        <w:fldChar w:fldCharType="end"/>
      </w:r>
      <w:r w:rsidRPr="0053460C">
        <w:t xml:space="preserve"> - </w:t>
      </w:r>
      <w:r w:rsidR="009871F4" w:rsidRPr="0053460C">
        <w:t>Schematic</w:t>
      </w:r>
      <w:r w:rsidRPr="0053460C">
        <w:t xml:space="preserve"> </w:t>
      </w:r>
      <w:r w:rsidR="00AA11DE" w:rsidRPr="0053460C">
        <w:t>aerofoil</w:t>
      </w:r>
      <w:r w:rsidRPr="0053460C">
        <w:t xml:space="preserve"> section</w:t>
      </w:r>
      <w:r w:rsidR="00AA11DE" w:rsidRPr="0053460C">
        <w:t xml:space="preserve">, </w:t>
      </w:r>
      <w:r w:rsidRPr="0053460C">
        <w:t xml:space="preserve">representative </w:t>
      </w:r>
      <w:r w:rsidR="00AA11DE" w:rsidRPr="0053460C">
        <w:t xml:space="preserve">of the </w:t>
      </w:r>
      <w:r w:rsidRPr="0053460C">
        <w:t>mid-span section of the hydrofoil</w:t>
      </w:r>
      <w:r w:rsidRPr="0053460C">
        <w:t xml:space="preserve"> </w:t>
      </w:r>
      <w:r w:rsidR="003E7927" w:rsidRPr="0053460C">
        <w:t>(</w:t>
      </w:r>
      <w:r w:rsidR="003E7927" w:rsidRPr="0053460C">
        <w:t>Wikimedia Commons</w:t>
      </w:r>
      <w:r w:rsidR="003E7927" w:rsidRPr="0053460C">
        <w:t xml:space="preserve">, </w:t>
      </w:r>
      <w:r w:rsidR="003E7927" w:rsidRPr="0053460C">
        <w:t>2006)</w:t>
      </w:r>
      <w:bookmarkEnd w:id="2"/>
    </w:p>
    <w:p w14:paraId="7C413EB0" w14:textId="77777777" w:rsidR="00943351" w:rsidRPr="0053460C" w:rsidRDefault="00943351" w:rsidP="004E7F43"/>
    <w:p w14:paraId="3CD17245" w14:textId="020D2D7A" w:rsidR="004E7F43" w:rsidRPr="0053460C" w:rsidRDefault="0053460C" w:rsidP="004E7F43">
      <w:r>
        <w:t xml:space="preserve">As </w:t>
      </w:r>
      <w:r w:rsidR="00493C14">
        <w:t>stated,</w:t>
      </w:r>
      <w:r>
        <w:t xml:space="preserve"> and justified previously</w:t>
      </w:r>
      <w:r w:rsidR="004E7F43" w:rsidRPr="0053460C">
        <w:t xml:space="preserve">, the characteristic chord is c = 0.25m. Water at 20°C is assumed with ρ = </w:t>
      </w:r>
      <w:r w:rsidR="00397F59" w:rsidRPr="0053460C">
        <w:t>998</w:t>
      </w:r>
      <w:r w:rsidR="004E7F43" w:rsidRPr="0053460C">
        <w:t>kg/m³ and μ = 1× 10⁻³Pa s. Two representative speeds are used: take-off at V₁ = 3m/s and ride at V₂ = 10m/s.</w:t>
      </w:r>
    </w:p>
    <w:p w14:paraId="4A19A28C" w14:textId="77777777" w:rsidR="004E7F43" w:rsidRPr="0053460C" w:rsidRDefault="004E7F43" w:rsidP="004E7F43"/>
    <w:p w14:paraId="547DBAC3" w14:textId="14BF4033" w:rsidR="004E7F43" w:rsidRPr="0053460C" w:rsidRDefault="00FF2257" w:rsidP="004E7F43">
      <w:pPr>
        <w:rPr>
          <w:rFonts w:ascii="Cambria Math" w:hAnsi="Cambria Math"/>
          <w:oMath/>
        </w:rPr>
      </w:pPr>
      <m:oMathPara>
        <m:oMath>
          <m:r>
            <w:rPr>
              <w:rFonts w:ascii="Cambria Math" w:hAnsi="Cambria Math"/>
            </w:rPr>
            <w:lastRenderedPageBreak/>
            <m:t>Re₁ = (</m:t>
          </m:r>
          <m:r>
            <w:rPr>
              <w:rFonts w:ascii="Cambria Math" w:hAnsi="Cambria Math"/>
            </w:rPr>
            <m:t>998</m:t>
          </m:r>
          <m:r>
            <w:rPr>
              <w:rFonts w:ascii="Cambria Math" w:hAnsi="Cambria Math"/>
            </w:rPr>
            <m:t xml:space="preserve"> × 3 × 0.25) / 0.001 = 7.48 × 10⁵</m:t>
          </m:r>
        </m:oMath>
      </m:oMathPara>
    </w:p>
    <w:p w14:paraId="7672A5E0" w14:textId="317480D9" w:rsidR="004E7F43" w:rsidRPr="0053460C" w:rsidRDefault="00FF2257" w:rsidP="004E7F43">
      <w:pPr>
        <w:rPr>
          <w:rFonts w:ascii="Cambria Math" w:hAnsi="Cambria Math"/>
          <w:oMath/>
        </w:rPr>
      </w:pPr>
      <m:oMathPara>
        <m:oMath>
          <m:r>
            <w:rPr>
              <w:rFonts w:ascii="Cambria Math" w:hAnsi="Cambria Math"/>
            </w:rPr>
            <m:t>Re₂ = (</m:t>
          </m:r>
          <m:r>
            <w:rPr>
              <w:rFonts w:ascii="Cambria Math" w:hAnsi="Cambria Math"/>
            </w:rPr>
            <m:t>998</m:t>
          </m:r>
          <m:r>
            <w:rPr>
              <w:rFonts w:ascii="Cambria Math" w:hAnsi="Cambria Math"/>
            </w:rPr>
            <m:t xml:space="preserve"> × 10 × 0.25) / 0.001 = 2.49 × 10⁶</m:t>
          </m:r>
        </m:oMath>
      </m:oMathPara>
    </w:p>
    <w:p w14:paraId="10C4901C" w14:textId="77777777" w:rsidR="000C2BB1" w:rsidRPr="0053460C" w:rsidRDefault="000C2BB1" w:rsidP="004E7F43"/>
    <w:p w14:paraId="4F4725FC" w14:textId="4DF3202F" w:rsidR="004E7F43" w:rsidRPr="0053460C" w:rsidRDefault="004E7F43" w:rsidP="004E7F43">
      <w:r w:rsidRPr="0053460C">
        <w:t xml:space="preserve">At take-off, </w:t>
      </w:r>
      <w:proofErr w:type="gramStart"/>
      <w:r w:rsidRPr="0053460C">
        <w:t>Re</w:t>
      </w:r>
      <w:proofErr w:type="gramEnd"/>
      <w:r w:rsidRPr="0053460C">
        <w:t xml:space="preserve"> ≈ 7.5 × 10⁵</w:t>
      </w:r>
      <w:r w:rsidR="00FF2257" w:rsidRPr="0053460C">
        <w:t>, this</w:t>
      </w:r>
      <w:r w:rsidRPr="0053460C">
        <w:t xml:space="preserve"> places the flow in a transitional regime, where laminar and turbulent regions coexist. At ride speed, </w:t>
      </w:r>
      <w:proofErr w:type="gramStart"/>
      <w:r w:rsidRPr="0053460C">
        <w:t>Re</w:t>
      </w:r>
      <w:proofErr w:type="gramEnd"/>
      <w:r w:rsidRPr="0053460C">
        <w:t xml:space="preserve"> ≈ 2.5 × 10⁶</w:t>
      </w:r>
      <w:r w:rsidR="00FF2257" w:rsidRPr="0053460C">
        <w:t>, which</w:t>
      </w:r>
      <w:r w:rsidRPr="0053460C">
        <w:t xml:space="preserve"> indicates a fully turbulent boundary layer. </w:t>
      </w:r>
      <w:r w:rsidR="0053460C" w:rsidRPr="0053460C">
        <w:t>These values confirm that viscous effects are small compared with inertial forces, so turbulence dominates the boundary-layer behaviour over the operating range (Schlichting and Gersten, 2017; ITTC, 2014a)</w:t>
      </w:r>
      <w:r w:rsidR="005D1F42" w:rsidRPr="0053460C">
        <w:t>.</w:t>
      </w:r>
      <w:r w:rsidR="00F75B7E" w:rsidRPr="0053460C">
        <w:t xml:space="preserve"> </w:t>
      </w:r>
      <w:r w:rsidR="00F75B7E" w:rsidRPr="0053460C">
        <w:t>The variation of Reynolds number with speed over the representative 3–10m/s operating band is illustrated in Figure 2.</w:t>
      </w:r>
    </w:p>
    <w:p w14:paraId="53DE0CBF" w14:textId="77777777" w:rsidR="00F75B7E" w:rsidRPr="0053460C" w:rsidRDefault="00F75B7E" w:rsidP="004E7F43"/>
    <w:p w14:paraId="09A4C63E" w14:textId="20F2E886" w:rsidR="00F75B7E" w:rsidRPr="0053460C" w:rsidRDefault="00F75B7E" w:rsidP="00AB4261">
      <w:pPr>
        <w:jc w:val="center"/>
      </w:pPr>
      <w:r w:rsidRPr="0053460C">
        <w:drawing>
          <wp:inline distT="0" distB="0" distL="0" distR="0" wp14:anchorId="21CF225D" wp14:editId="162CCC4E">
            <wp:extent cx="5731510" cy="3305175"/>
            <wp:effectExtent l="0" t="0" r="2540" b="9525"/>
            <wp:docPr id="1650870349"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15D9A45" w14:textId="43C90663" w:rsidR="00F75B7E" w:rsidRPr="0053460C" w:rsidRDefault="00F75B7E" w:rsidP="00F75B7E">
      <w:pPr>
        <w:pStyle w:val="Caption"/>
      </w:pPr>
      <w:bookmarkStart w:id="3" w:name="_Toc214817360"/>
      <w:r w:rsidRPr="0053460C">
        <w:t xml:space="preserve">Figure </w:t>
      </w:r>
      <w:r w:rsidRPr="0053460C">
        <w:fldChar w:fldCharType="begin"/>
      </w:r>
      <w:r w:rsidRPr="0053460C">
        <w:instrText xml:space="preserve"> SEQ Figure \* ARABIC </w:instrText>
      </w:r>
      <w:r w:rsidRPr="0053460C">
        <w:fldChar w:fldCharType="separate"/>
      </w:r>
      <w:r w:rsidRPr="0053460C">
        <w:t>2</w:t>
      </w:r>
      <w:r w:rsidRPr="0053460C">
        <w:fldChar w:fldCharType="end"/>
      </w:r>
      <w:r w:rsidRPr="0053460C">
        <w:t xml:space="preserve"> – </w:t>
      </w:r>
      <w:r w:rsidRPr="0053460C">
        <w:t>Reynolds number as a function of speed for the hydrofoil section</w:t>
      </w:r>
      <w:r w:rsidR="00B219E5">
        <w:t>, created using Excel</w:t>
      </w:r>
      <w:bookmarkEnd w:id="3"/>
    </w:p>
    <w:p w14:paraId="0B56DDEC" w14:textId="77777777" w:rsidR="00F75B7E" w:rsidRPr="0053460C" w:rsidRDefault="00F75B7E" w:rsidP="00F75B7E"/>
    <w:p w14:paraId="72C4002E" w14:textId="6F7C20C3" w:rsidR="004E7F43" w:rsidRPr="0053460C" w:rsidRDefault="004E7F43" w:rsidP="004E7F43">
      <w:r w:rsidRPr="0053460C">
        <w:t xml:space="preserve">For modelling and testing, </w:t>
      </w:r>
      <w:proofErr w:type="gramStart"/>
      <w:r w:rsidRPr="0053460C">
        <w:t>Re</w:t>
      </w:r>
      <w:proofErr w:type="gramEnd"/>
      <w:r w:rsidRPr="0053460C">
        <w:t xml:space="preserve"> defines the flow regime to be replicated. Laboratory experiments or simulations should therefore maintain similar Re to ensure realistic boundary-layer behaviour and reliable scaling between test and full-scale conditions (ITTC, 2014</w:t>
      </w:r>
      <w:r w:rsidR="00954583" w:rsidRPr="0053460C">
        <w:t>a</w:t>
      </w:r>
      <w:r w:rsidRPr="0053460C">
        <w:t>; ITTC, 2024).</w:t>
      </w:r>
    </w:p>
    <w:p w14:paraId="0EF833B0" w14:textId="384CE6B3" w:rsidR="00483065" w:rsidRPr="0053460C" w:rsidRDefault="001F1450" w:rsidP="00483065">
      <w:pPr>
        <w:pStyle w:val="Heading1"/>
      </w:pPr>
      <w:bookmarkStart w:id="4" w:name="_Toc214817342"/>
      <w:r w:rsidRPr="0053460C">
        <w:lastRenderedPageBreak/>
        <w:t>Task 2 — Boundary layer, separation, turbulence; design rationale</w:t>
      </w:r>
      <w:bookmarkEnd w:id="4"/>
    </w:p>
    <w:p w14:paraId="776EC294" w14:textId="77777777" w:rsidR="001F1450" w:rsidRPr="0053460C" w:rsidRDefault="001F1450"/>
    <w:p w14:paraId="588C8CF5" w14:textId="1B622A28" w:rsidR="00BB1F55" w:rsidRPr="00FC05A2" w:rsidRDefault="00BB1F55" w:rsidP="00046226">
      <w:r w:rsidRPr="00FC05A2">
        <w:t xml:space="preserve">Within the Reynolds range established in Task 1 </w:t>
      </w:r>
      <m:oMath>
        <m:r>
          <m:rPr>
            <m:sty m:val="p"/>
          </m:rPr>
          <w:rPr>
            <w:rFonts w:ascii="Cambria Math" w:hAnsi="Cambria Math"/>
          </w:rPr>
          <m:t xml:space="preserve">(Re ≈ 7.5 × </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5</m:t>
            </m:r>
          </m:sup>
        </m:sSup>
        <m:r>
          <m:rPr>
            <m:sty m:val="p"/>
          </m:rPr>
          <w:rPr>
            <w:rFonts w:ascii="Cambria Math" w:hAnsi="Cambria Math"/>
          </w:rPr>
          <m:t xml:space="preserve"> to 2.5 × </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6</m:t>
            </m:r>
          </m:sup>
        </m:sSup>
        <m:r>
          <m:rPr>
            <m:sty m:val="p"/>
          </m:rPr>
          <w:rPr>
            <w:rFonts w:ascii="Cambria Math" w:hAnsi="Cambria Math"/>
          </w:rPr>
          <m:t>)</m:t>
        </m:r>
      </m:oMath>
      <w:r w:rsidRPr="00FC05A2">
        <w:t xml:space="preserve">, </w:t>
      </w:r>
      <w:r w:rsidRPr="00FC05A2">
        <w:t>the hydrofoil boundary layer lies in the regime where the flow is transitional at take-off and predominantly turbulent in steady ride (Schlichting and Gersten, 2017). On the suction surface the flow accelerates sharply at the leading edge, creating a strong suction peak; the subsequent adverse pressure gradient promotes transition and can trigger local separation if wall shear drops to zero (Schlichting and Gersten, 2017). The pressure surface experiences weaker acceleration and a smoother recovery, so its boundary layer tends to remain thinner and more stable over a larger portion of the chord (Schlichting and Gersten, 2017).</w:t>
      </w:r>
    </w:p>
    <w:p w14:paraId="67AC6BCC" w14:textId="376D561C" w:rsidR="00603000" w:rsidRPr="00FC05A2" w:rsidRDefault="00046226" w:rsidP="00046226">
      <w:r w:rsidRPr="00FC05A2">
        <w:t xml:space="preserve">At take-off speed the chord-based Reynolds number lies near the lower transition threshold for smooth foils in water; transition on the suction side is typically expected around 10–30% chord, earlier if surface roughness or free-stream turbulence is elevated </w:t>
      </w:r>
      <w:r w:rsidR="00067486" w:rsidRPr="00067486">
        <w:t>(Schlichting and Gersten, 2017; ITTC, 2014a; ITTC, 2024)</w:t>
      </w:r>
      <w:r w:rsidR="00067486">
        <w:t xml:space="preserve">. </w:t>
      </w:r>
      <w:r w:rsidRPr="00FC05A2">
        <w:t xml:space="preserve">At ride speed, the boundary layer is mostly turbulent and generally remains attached over typical operating incidences until stall, with thickness increasing towards the trailing edge (Schlichting </w:t>
      </w:r>
      <w:r w:rsidR="00AA26B1" w:rsidRPr="00FC05A2">
        <w:t>and</w:t>
      </w:r>
      <w:r w:rsidRPr="00FC05A2">
        <w:t xml:space="preserve"> Gersten, 2017).</w:t>
      </w:r>
    </w:p>
    <w:p w14:paraId="675A0497" w14:textId="012B1527" w:rsidR="00046226" w:rsidRPr="00FC05A2" w:rsidRDefault="00046226" w:rsidP="00046226">
      <w:r w:rsidRPr="00FC05A2">
        <w:t xml:space="preserve">Three-dimensional effects are strongest near the wingtip. Pressure equalisation across the tip drives a coherent tip vortex that induces downwash and changes the effective angle of attack spanwise; accurate analysis should therefore consider at least a symmetric half-span representation or a full 3D view when tip behaviour is important (Katz </w:t>
      </w:r>
      <w:r w:rsidR="00AA26B1" w:rsidRPr="00FC05A2">
        <w:t>and</w:t>
      </w:r>
      <w:r w:rsidRPr="00FC05A2">
        <w:t xml:space="preserve"> Plotkin, 2001).</w:t>
      </w:r>
    </w:p>
    <w:p w14:paraId="577C32A3" w14:textId="0949E2A3" w:rsidR="00046226" w:rsidRPr="00FC05A2" w:rsidRDefault="00046226" w:rsidP="00046226">
      <w:r w:rsidRPr="00FC05A2">
        <w:t xml:space="preserve">For modelling choices, a steady </w:t>
      </w:r>
      <w:r w:rsidR="00BB1F55" w:rsidRPr="00FC05A2">
        <w:t>RANS</w:t>
      </w:r>
      <w:r w:rsidRPr="00FC05A2">
        <w:t xml:space="preserve"> baseline is appropriate for attached and mildly separated conditions because it is robust for adverse pressure gradients while remaining computationally efficient</w:t>
      </w:r>
      <w:r w:rsidR="00067486">
        <w:t xml:space="preserve"> </w:t>
      </w:r>
      <w:r w:rsidR="00067486" w:rsidRPr="00067486">
        <w:t>(ITTC, 2014a; ITTC, 2024)</w:t>
      </w:r>
      <w:r w:rsidRPr="00FC05A2">
        <w:t>. If take-off behaviour or surface finish suggests early laminar separation, a simple transitional check can be added (for example, applying a controlled trip or enabling a transition option) to confirm sensitivity without changing the overall approach</w:t>
      </w:r>
      <w:r w:rsidR="00067486">
        <w:t>.</w:t>
      </w:r>
    </w:p>
    <w:p w14:paraId="52AF8116" w14:textId="69706EC4" w:rsidR="00046226" w:rsidRPr="0053460C" w:rsidRDefault="00046226" w:rsidP="00046226">
      <w:r w:rsidRPr="00FC05A2">
        <w:t xml:space="preserve">Assumptions used consistently in analysis and lab planning are: </w:t>
      </w:r>
      <w:r w:rsidR="003C667A" w:rsidRPr="00FC05A2">
        <w:t xml:space="preserve">representative </w:t>
      </w:r>
      <w:r w:rsidRPr="00FC05A2">
        <w:t>free-stream turbulence intensity</w:t>
      </w:r>
      <w:r w:rsidR="003C667A" w:rsidRPr="00FC05A2">
        <w:t xml:space="preserve"> </w:t>
      </w:r>
      <m:oMath>
        <m:sSub>
          <m:sSubPr>
            <m:ctrlPr>
              <w:rPr>
                <w:rFonts w:ascii="Cambria Math" w:hAnsi="Cambria Math"/>
              </w:rPr>
            </m:ctrlPr>
          </m:sSubPr>
          <m:e>
            <m:r>
              <m:rPr>
                <m:sty m:val="p"/>
              </m:rPr>
              <w:rPr>
                <w:rFonts w:ascii="Cambria Math" w:hAnsi="Cambria Math"/>
              </w:rPr>
              <m:t>T</m:t>
            </m:r>
          </m:e>
          <m:sub>
            <m:r>
              <m:rPr>
                <m:sty m:val="p"/>
              </m:rPr>
              <w:rPr>
                <w:rFonts w:ascii="Cambria Math" w:hAnsi="Cambria Math"/>
              </w:rPr>
              <m:t>u</m:t>
            </m:r>
          </m:sub>
        </m:sSub>
        <m:r>
          <m:rPr>
            <m:sty m:val="p"/>
          </m:rPr>
          <w:rPr>
            <w:rFonts w:ascii="Cambria Math" w:hAnsi="Cambria Math"/>
          </w:rPr>
          <m:t xml:space="preserve"> = 1</m:t>
        </m:r>
        <m:r>
          <m:rPr>
            <m:sty m:val="p"/>
          </m:rPr>
          <w:rPr>
            <w:rFonts w:ascii="Cambria Math" w:hAnsi="Cambria Math"/>
          </w:rPr>
          <m:t>-</m:t>
        </m:r>
        <m:r>
          <m:rPr>
            <m:sty m:val="p"/>
          </m:rPr>
          <w:rPr>
            <w:rFonts w:ascii="Cambria Math" w:hAnsi="Cambria Math"/>
          </w:rPr>
          <m:t>3%</m:t>
        </m:r>
      </m:oMath>
      <w:r w:rsidRPr="00FC05A2">
        <w:t xml:space="preserve"> for coastal-tank conditions, and a hydraulically smooth surface with small-finish roughness; where service roughness is expected, sensitivity at take-off is checked because roughness tends to advance transition and can suppress large laminar bubbles (ITTC, 2014</w:t>
      </w:r>
      <w:r w:rsidR="00954583" w:rsidRPr="00FC05A2">
        <w:t>a</w:t>
      </w:r>
      <w:r w:rsidRPr="00FC05A2">
        <w:t xml:space="preserve">; Schlichting </w:t>
      </w:r>
      <w:r w:rsidR="00AA26B1" w:rsidRPr="00FC05A2">
        <w:t>and</w:t>
      </w:r>
      <w:r w:rsidRPr="00FC05A2">
        <w:t xml:space="preserve"> Gersten, 2017).</w:t>
      </w:r>
      <w:r w:rsidR="00603000" w:rsidRPr="00FC05A2">
        <w:t xml:space="preserve"> </w:t>
      </w:r>
      <w:r w:rsidR="00603000" w:rsidRPr="00FC05A2">
        <w:t>A schematic of this suction-side boundary-layer development is shown in Figure 3, to illustrate the laminar, transitional, turbulent and potentially</w:t>
      </w:r>
      <w:r w:rsidR="00603000" w:rsidRPr="0053460C">
        <w:t xml:space="preserve"> separated regions described above</w:t>
      </w:r>
      <w:r w:rsidR="00215077">
        <w:t xml:space="preserve"> </w:t>
      </w:r>
      <w:r w:rsidR="00215077" w:rsidRPr="00215077">
        <w:t>(Leishman, 2006)</w:t>
      </w:r>
      <w:r w:rsidR="00215077">
        <w:t>.</w:t>
      </w:r>
    </w:p>
    <w:p w14:paraId="1CBE5145" w14:textId="55B9144B" w:rsidR="00603000" w:rsidRPr="0053460C" w:rsidRDefault="00603000" w:rsidP="007A022D">
      <w:pPr>
        <w:jc w:val="center"/>
      </w:pPr>
      <w:r w:rsidRPr="0053460C">
        <w:lastRenderedPageBreak/>
        <w:drawing>
          <wp:inline distT="0" distB="0" distL="0" distR="0" wp14:anchorId="051EE75E" wp14:editId="64248EB9">
            <wp:extent cx="5796448" cy="3011436"/>
            <wp:effectExtent l="19050" t="19050" r="13970" b="17780"/>
            <wp:docPr id="2252759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07777" cy="3017322"/>
                    </a:xfrm>
                    <a:prstGeom prst="rect">
                      <a:avLst/>
                    </a:prstGeom>
                    <a:noFill/>
                    <a:ln>
                      <a:solidFill>
                        <a:schemeClr val="tx1"/>
                      </a:solidFill>
                    </a:ln>
                  </pic:spPr>
                </pic:pic>
              </a:graphicData>
            </a:graphic>
          </wp:inline>
        </w:drawing>
      </w:r>
    </w:p>
    <w:p w14:paraId="1094671A" w14:textId="4ECD3838" w:rsidR="00603000" w:rsidRPr="0053460C" w:rsidRDefault="00603000" w:rsidP="00603000">
      <w:pPr>
        <w:pStyle w:val="Caption"/>
      </w:pPr>
      <w:bookmarkStart w:id="5" w:name="_Toc214817361"/>
      <w:r w:rsidRPr="0053460C">
        <w:t xml:space="preserve">Figure </w:t>
      </w:r>
      <w:r w:rsidRPr="0053460C">
        <w:fldChar w:fldCharType="begin"/>
      </w:r>
      <w:r w:rsidRPr="0053460C">
        <w:instrText xml:space="preserve"> SEQ Figure \* ARABIC </w:instrText>
      </w:r>
      <w:r w:rsidRPr="0053460C">
        <w:fldChar w:fldCharType="separate"/>
      </w:r>
      <w:r w:rsidR="00F75B7E" w:rsidRPr="0053460C">
        <w:t>3</w:t>
      </w:r>
      <w:r w:rsidRPr="0053460C">
        <w:fldChar w:fldCharType="end"/>
      </w:r>
      <w:r w:rsidRPr="0053460C">
        <w:t xml:space="preserve"> - </w:t>
      </w:r>
      <w:r w:rsidRPr="0053460C">
        <w:t xml:space="preserve">Conceptual development of the boundary layer over the upper and lower surfaces of an </w:t>
      </w:r>
      <w:r w:rsidR="005E2C08" w:rsidRPr="0053460C">
        <w:t>aerofoil</w:t>
      </w:r>
      <w:r w:rsidRPr="0053460C">
        <w:t xml:space="preserve"> (Leishman, 20</w:t>
      </w:r>
      <w:r w:rsidR="003E7927" w:rsidRPr="0053460C">
        <w:t>06</w:t>
      </w:r>
      <w:r w:rsidRPr="0053460C">
        <w:t>).</w:t>
      </w:r>
      <w:bookmarkEnd w:id="5"/>
    </w:p>
    <w:p w14:paraId="6893E541" w14:textId="63C51B96" w:rsidR="00046226" w:rsidRPr="0053460C" w:rsidRDefault="00046226" w:rsidP="00046226"/>
    <w:p w14:paraId="7BE7B674" w14:textId="33A547F4" w:rsidR="00483065" w:rsidRPr="0053460C" w:rsidRDefault="001F1450" w:rsidP="00483065">
      <w:pPr>
        <w:pStyle w:val="Heading1"/>
      </w:pPr>
      <w:bookmarkStart w:id="6" w:name="_Toc214817343"/>
      <w:r w:rsidRPr="0053460C">
        <w:lastRenderedPageBreak/>
        <w:t>Task 3 — Critical appraisal of the assumed forces</w:t>
      </w:r>
      <w:bookmarkEnd w:id="6"/>
      <w:r w:rsidRPr="0053460C">
        <w:t xml:space="preserve"> </w:t>
      </w:r>
    </w:p>
    <w:p w14:paraId="6BE2CEB3" w14:textId="77777777" w:rsidR="00E906AE" w:rsidRPr="0053460C" w:rsidRDefault="00E906AE" w:rsidP="00E906AE"/>
    <w:p w14:paraId="1B803249" w14:textId="1542888A" w:rsidR="004E7F43" w:rsidRPr="0053460C" w:rsidRDefault="004E7F43" w:rsidP="004E7F43">
      <w:r w:rsidRPr="0053460C">
        <w:t xml:space="preserve">The structural design assumption </w:t>
      </w:r>
      <w:r w:rsidRPr="00293931">
        <w:t>from Assignment 1 applied</w:t>
      </w:r>
      <w:r w:rsidRPr="0053460C">
        <w:t xml:space="preserve"> a vertical load of 500N to each hydrofoil side. This task examines whether that value is physically credible when interpreted as lift generated by the fluid flow</w:t>
      </w:r>
      <w:r w:rsidR="007F236E" w:rsidRPr="0053460C">
        <w:t xml:space="preserve"> </w:t>
      </w:r>
      <w:r w:rsidR="007F236E" w:rsidRPr="0053460C">
        <w:t>(Hearn, 1</w:t>
      </w:r>
      <w:r w:rsidR="00397F59" w:rsidRPr="0053460C">
        <w:t>998</w:t>
      </w:r>
      <w:r w:rsidR="007F236E" w:rsidRPr="0053460C">
        <w:t>)</w:t>
      </w:r>
      <w:r w:rsidR="007F236E" w:rsidRPr="0053460C">
        <w:t>.</w:t>
      </w:r>
    </w:p>
    <w:p w14:paraId="2015E3A7" w14:textId="756CBBCA" w:rsidR="004E7F43" w:rsidRPr="0053460C" w:rsidRDefault="004E7F43" w:rsidP="004E7F43">
      <w:r w:rsidRPr="0053460C">
        <w:t>The lift force on a hydrofoil is given by</w:t>
      </w:r>
      <w:r w:rsidR="002360E1">
        <w:t>:</w:t>
      </w:r>
    </w:p>
    <w:p w14:paraId="02CB3BF0" w14:textId="4D62EE33" w:rsidR="004E7F43" w:rsidRPr="0053460C" w:rsidRDefault="002360E1" w:rsidP="004E7F43">
      <m:oMathPara>
        <m:oMath>
          <m:r>
            <m:rPr>
              <m:sty m:val="p"/>
            </m:rPr>
            <w:rPr>
              <w:rFonts w:ascii="Cambria Math" w:hAnsi="Cambria Math"/>
            </w:rPr>
            <m:t xml:space="preserve">L = ½ ρ V² S </m:t>
          </m:r>
          <m:sSub>
            <m:sSubPr>
              <m:ctrlPr>
                <w:rPr>
                  <w:rFonts w:ascii="Cambria Math" w:hAnsi="Cambria Math"/>
                </w:rPr>
              </m:ctrlPr>
            </m:sSubPr>
            <m:e>
              <m:r>
                <m:rPr>
                  <m:sty m:val="p"/>
                </m:rPr>
                <w:rPr>
                  <w:rFonts w:ascii="Cambria Math" w:hAnsi="Cambria Math"/>
                </w:rPr>
                <m:t>C</m:t>
              </m:r>
            </m:e>
            <m:sub>
              <m:r>
                <m:rPr>
                  <m:sty m:val="p"/>
                </m:rPr>
                <w:rPr>
                  <w:rFonts w:ascii="Cambria Math" w:hAnsi="Cambria Math"/>
                </w:rPr>
                <m:t>L</m:t>
              </m:r>
            </m:sub>
          </m:sSub>
        </m:oMath>
      </m:oMathPara>
    </w:p>
    <w:p w14:paraId="49C7177D" w14:textId="719A2028" w:rsidR="004E7F43" w:rsidRPr="0053460C" w:rsidRDefault="004E7F43" w:rsidP="004E7F43">
      <w:r w:rsidRPr="0053460C">
        <w:t xml:space="preserve">where ρ is fluid density, V is </w:t>
      </w:r>
      <w:proofErr w:type="gramStart"/>
      <w:r w:rsidR="002360E1" w:rsidRPr="0053460C">
        <w:t>flow</w:t>
      </w:r>
      <w:proofErr w:type="gramEnd"/>
      <w:r w:rsidRPr="0053460C">
        <w:t xml:space="preserve"> speed, S is planform area and </w:t>
      </w:r>
      <m:oMath>
        <m:sSub>
          <m:sSubPr>
            <m:ctrlPr>
              <w:rPr>
                <w:rFonts w:ascii="Cambria Math" w:hAnsi="Cambria Math"/>
                <w:i/>
              </w:rPr>
            </m:ctrlPr>
          </m:sSubPr>
          <m:e>
            <m:r>
              <w:rPr>
                <w:rFonts w:ascii="Cambria Math" w:hAnsi="Cambria Math"/>
              </w:rPr>
              <m:t>C</m:t>
            </m:r>
          </m:e>
          <m:sub>
            <m:r>
              <w:rPr>
                <w:rFonts w:ascii="Cambria Math" w:hAnsi="Cambria Math"/>
              </w:rPr>
              <m:t>L</m:t>
            </m:r>
          </m:sub>
        </m:sSub>
      </m:oMath>
      <w:r w:rsidRPr="0053460C">
        <w:t xml:space="preserve"> is lift coefficient.</w:t>
      </w:r>
    </w:p>
    <w:p w14:paraId="3AF64D86" w14:textId="778F3922" w:rsidR="004E7F43" w:rsidRPr="0053460C" w:rsidRDefault="00133758" w:rsidP="004E7F43">
      <w:r w:rsidRPr="00133758">
        <w:t xml:space="preserve">For consistency with </w:t>
      </w:r>
      <w:r w:rsidRPr="00293931">
        <w:t>the Assignment 1 wing</w:t>
      </w:r>
      <w:r w:rsidRPr="00133758">
        <w:t xml:space="preserve"> geometry, the single-side planform area is taken as</w:t>
      </w:r>
      <w:r w:rsidRPr="00133758">
        <w:t xml:space="preserve"> </w:t>
      </w:r>
      <w:r w:rsidR="004E7F43" w:rsidRPr="00133758">
        <w:t>S = 0.05m². Using</w:t>
      </w:r>
      <w:r w:rsidR="004E7F43" w:rsidRPr="0053460C">
        <w:t xml:space="preserve"> water at 20°C (ρ = </w:t>
      </w:r>
      <w:r w:rsidR="00397F59" w:rsidRPr="0053460C">
        <w:t>998</w:t>
      </w:r>
      <w:r w:rsidR="004E7F43" w:rsidRPr="0053460C">
        <w:t xml:space="preserve"> kg/m³) and the two representative speeds (take-off V₁ = 3m/s, ride V₂ = 10m/s),</w:t>
      </w:r>
      <w:r w:rsidR="00980E78">
        <w:t xml:space="preserve"> </w:t>
      </w:r>
      <w:r w:rsidR="00980E78" w:rsidRPr="00980E78">
        <w:t>defined in Section 1</w:t>
      </w:r>
      <w:r w:rsidR="00980E78">
        <w:t>,</w:t>
      </w:r>
      <w:r w:rsidR="004E7F43" w:rsidRPr="0053460C">
        <w:t xml:space="preserve"> the required</w:t>
      </w:r>
      <w:r>
        <w:t xml:space="preserve"> </w:t>
      </w:r>
      <m:oMath>
        <m:sSub>
          <m:sSubPr>
            <m:ctrlPr>
              <w:rPr>
                <w:rFonts w:ascii="Cambria Math" w:hAnsi="Cambria Math"/>
                <w:i/>
              </w:rPr>
            </m:ctrlPr>
          </m:sSubPr>
          <m:e>
            <m:r>
              <w:rPr>
                <w:rFonts w:ascii="Cambria Math" w:hAnsi="Cambria Math"/>
              </w:rPr>
              <m:t>C</m:t>
            </m:r>
          </m:e>
          <m:sub>
            <m:r>
              <w:rPr>
                <w:rFonts w:ascii="Cambria Math" w:hAnsi="Cambria Math"/>
              </w:rPr>
              <m:t>L</m:t>
            </m:r>
          </m:sub>
        </m:sSub>
      </m:oMath>
      <w:r w:rsidR="004E7F43" w:rsidRPr="0053460C">
        <w:t xml:space="preserve"> values for 500N can be calculated.</w:t>
      </w:r>
    </w:p>
    <w:p w14:paraId="1DA0DD4E" w14:textId="7E4CB568" w:rsidR="00133758" w:rsidRDefault="004E7F43" w:rsidP="004E7F43">
      <w:r w:rsidRPr="0053460C">
        <w:t>At take-off:</w:t>
      </w:r>
    </w:p>
    <w:p w14:paraId="1608EE6A" w14:textId="2A4DD91A" w:rsidR="004E7F43" w:rsidRPr="0053460C" w:rsidRDefault="00133758" w:rsidP="004E7F43">
      <m:oMathPara>
        <m:oMath>
          <m:sSubSup>
            <m:sSubSupPr>
              <m:ctrlPr>
                <w:rPr>
                  <w:rFonts w:ascii="Cambria Math" w:hAnsi="Cambria Math"/>
                </w:rPr>
              </m:ctrlPr>
            </m:sSubSupPr>
            <m:e>
              <m:r>
                <m:rPr>
                  <m:sty m:val="p"/>
                </m:rPr>
                <w:rPr>
                  <w:rFonts w:ascii="Cambria Math" w:hAnsi="Cambria Math"/>
                </w:rPr>
                <m:t>C</m:t>
              </m:r>
            </m:e>
            <m:sub>
              <m:r>
                <m:rPr>
                  <m:sty m:val="p"/>
                </m:rPr>
                <w:rPr>
                  <w:rFonts w:ascii="Cambria Math" w:hAnsi="Cambria Math"/>
                </w:rPr>
                <m:t>L</m:t>
              </m:r>
            </m:sub>
            <m:sup>
              <m:r>
                <m:rPr>
                  <m:sty m:val="p"/>
                </m:rPr>
                <w:rPr>
                  <w:rFonts w:ascii="Cambria Math" w:hAnsi="Cambria Math"/>
                </w:rPr>
                <m:t>1</m:t>
              </m:r>
            </m:sup>
          </m:sSubSup>
          <m:r>
            <m:rPr>
              <m:sty m:val="p"/>
            </m:rPr>
            <w:rPr>
              <w:rFonts w:ascii="Cambria Math" w:hAnsi="Cambria Math"/>
            </w:rPr>
            <m:t xml:space="preserve"> = (2 × L) / (ρ V₁² S) = (2 × 500) / (998 × 3² × 0.05) ≈ 2.2</m:t>
          </m:r>
        </m:oMath>
      </m:oMathPara>
    </w:p>
    <w:p w14:paraId="2C48933E" w14:textId="77777777" w:rsidR="004E7F43" w:rsidRPr="0053460C" w:rsidRDefault="004E7F43" w:rsidP="004E7F43"/>
    <w:p w14:paraId="77457BED" w14:textId="70FB86E7" w:rsidR="004E7F43" w:rsidRPr="0053460C" w:rsidRDefault="004E7F43" w:rsidP="004E7F43">
      <w:r w:rsidRPr="0053460C">
        <w:t>At ride speed:</w:t>
      </w:r>
      <w:r w:rsidR="00133758">
        <w:t xml:space="preserve"> </w:t>
      </w:r>
    </w:p>
    <w:p w14:paraId="3FB01B19" w14:textId="14FCEB3A" w:rsidR="004E7F43" w:rsidRPr="0053460C" w:rsidRDefault="00133758" w:rsidP="004E7F43">
      <m:oMathPara>
        <m:oMath>
          <m:sSubSup>
            <m:sSubSupPr>
              <m:ctrlPr>
                <w:rPr>
                  <w:rFonts w:ascii="Cambria Math" w:hAnsi="Cambria Math"/>
                  <w:i/>
                </w:rPr>
              </m:ctrlPr>
            </m:sSubSupPr>
            <m:e>
              <m:r>
                <w:rPr>
                  <w:rFonts w:ascii="Cambria Math" w:hAnsi="Cambria Math"/>
                </w:rPr>
                <m:t>C</m:t>
              </m:r>
            </m:e>
            <m:sub>
              <m:r>
                <w:rPr>
                  <w:rFonts w:ascii="Cambria Math" w:hAnsi="Cambria Math"/>
                </w:rPr>
                <m:t>L</m:t>
              </m:r>
            </m:sub>
            <m:sup>
              <m:r>
                <w:rPr>
                  <w:rFonts w:ascii="Cambria Math" w:hAnsi="Cambria Math"/>
                </w:rPr>
                <m:t>2</m:t>
              </m:r>
            </m:sup>
          </m:sSubSup>
          <m:r>
            <w:rPr>
              <w:rFonts w:ascii="Cambria Math" w:hAnsi="Cambria Math"/>
            </w:rPr>
            <m:t xml:space="preserve"> = (2 × 500) / (998 × 10² × 0.05) ≈ 0.20</m:t>
          </m:r>
        </m:oMath>
      </m:oMathPara>
    </w:p>
    <w:p w14:paraId="79428126" w14:textId="77777777" w:rsidR="00133758" w:rsidRDefault="00133758" w:rsidP="004E7F43"/>
    <w:p w14:paraId="3415E935" w14:textId="750ED4C8" w:rsidR="00982AF1" w:rsidRPr="0053460C" w:rsidRDefault="00982AF1" w:rsidP="004E7F43">
      <w:r w:rsidRPr="00982AF1">
        <w:t xml:space="preserve">Experiments on NACA 0009-type marine hydrofoils indicate design lift coefficients of order </w:t>
      </w:r>
      <m:oMath>
        <m:sSub>
          <m:sSubPr>
            <m:ctrlPr>
              <w:rPr>
                <w:rFonts w:ascii="Cambria Math" w:hAnsi="Cambria Math"/>
              </w:rPr>
            </m:ctrlPr>
          </m:sSubPr>
          <m:e>
            <m:r>
              <w:rPr>
                <w:rFonts w:ascii="Cambria Math" w:hAnsi="Cambria Math"/>
              </w:rPr>
              <m:t>C</m:t>
            </m:r>
          </m:e>
          <m:sub>
            <m:r>
              <w:rPr>
                <w:rFonts w:ascii="Cambria Math" w:hAnsi="Cambria Math"/>
              </w:rPr>
              <m:t>L</m:t>
            </m:r>
          </m:sub>
        </m:sSub>
        <m:r>
          <w:rPr>
            <w:rFonts w:ascii="Cambria Math" w:hAnsi="Cambria Math"/>
          </w:rPr>
          <m:t>≈0.5</m:t>
        </m:r>
        <m:r>
          <m:rPr>
            <m:nor/>
          </m:rPr>
          <m:t>-</m:t>
        </m:r>
        <m:r>
          <w:rPr>
            <w:rFonts w:ascii="Cambria Math" w:hAnsi="Cambria Math"/>
          </w:rPr>
          <m:t>0.75</m:t>
        </m:r>
      </m:oMath>
      <w:r w:rsidR="00487F65">
        <w:rPr>
          <w:rFonts w:eastAsiaTheme="minorEastAsia"/>
        </w:rPr>
        <w:t xml:space="preserve"> </w:t>
      </w:r>
      <w:r w:rsidRPr="00982AF1">
        <w:t xml:space="preserve">in steady wetted operation, with higher </w:t>
      </w:r>
      <m:oMath>
        <m:sSub>
          <m:sSubPr>
            <m:ctrlPr>
              <w:rPr>
                <w:rFonts w:ascii="Cambria Math" w:hAnsi="Cambria Math"/>
              </w:rPr>
            </m:ctrlPr>
          </m:sSubPr>
          <m:e>
            <m:r>
              <w:rPr>
                <w:rFonts w:ascii="Cambria Math" w:hAnsi="Cambria Math"/>
              </w:rPr>
              <m:t>C</m:t>
            </m:r>
          </m:e>
          <m:sub>
            <m:r>
              <w:rPr>
                <w:rFonts w:ascii="Cambria Math" w:hAnsi="Cambria Math"/>
              </w:rPr>
              <m:t>L</m:t>
            </m:r>
          </m:sub>
        </m:sSub>
      </m:oMath>
      <w:r w:rsidR="004714D9">
        <w:rPr>
          <w:rFonts w:eastAsiaTheme="minorEastAsia"/>
        </w:rPr>
        <w:t xml:space="preserve"> </w:t>
      </w:r>
      <w:r w:rsidRPr="00982AF1">
        <w:t>achieved as angle of attack increases towards stall (Brandner and Pearce, 2012; Garg et al., 2019).</w:t>
      </w:r>
    </w:p>
    <w:p w14:paraId="6F026F5F" w14:textId="4CE3A4AA" w:rsidR="004E7F43" w:rsidRPr="0053460C" w:rsidRDefault="004E7F43" w:rsidP="004E7F43">
      <w:r w:rsidRPr="0053460C">
        <w:t xml:space="preserve">The take-off requirement of </w:t>
      </w:r>
      <m:oMath>
        <m:sSub>
          <m:sSubPr>
            <m:ctrlPr>
              <w:rPr>
                <w:rFonts w:ascii="Cambria Math" w:hAnsi="Cambria Math"/>
              </w:rPr>
            </m:ctrlPr>
          </m:sSubPr>
          <m:e>
            <m:r>
              <w:rPr>
                <w:rFonts w:ascii="Cambria Math" w:hAnsi="Cambria Math"/>
              </w:rPr>
              <m:t>C</m:t>
            </m:r>
          </m:e>
          <m:sub>
            <m:r>
              <w:rPr>
                <w:rFonts w:ascii="Cambria Math" w:hAnsi="Cambria Math"/>
              </w:rPr>
              <m:t>L</m:t>
            </m:r>
          </m:sub>
        </m:sSub>
      </m:oMath>
      <w:r w:rsidR="00E65D3F">
        <w:rPr>
          <w:rFonts w:eastAsiaTheme="minorEastAsia"/>
        </w:rPr>
        <w:t xml:space="preserve"> </w:t>
      </w:r>
      <w:r w:rsidRPr="0053460C">
        <w:t xml:space="preserve">≈ 2.2 therefore exceeds the practical limit for attached flow, suggesting that a 500N load at 3m/s represents a near-stall or over-load condition. Conversely, at 10m/s the predicted </w:t>
      </w:r>
      <m:oMath>
        <m:sSub>
          <m:sSubPr>
            <m:ctrlPr>
              <w:rPr>
                <w:rFonts w:ascii="Cambria Math" w:hAnsi="Cambria Math"/>
              </w:rPr>
            </m:ctrlPr>
          </m:sSubPr>
          <m:e>
            <m:r>
              <w:rPr>
                <w:rFonts w:ascii="Cambria Math" w:hAnsi="Cambria Math"/>
              </w:rPr>
              <m:t>C</m:t>
            </m:r>
          </m:e>
          <m:sub>
            <m:r>
              <w:rPr>
                <w:rFonts w:ascii="Cambria Math" w:hAnsi="Cambria Math"/>
              </w:rPr>
              <m:t>L</m:t>
            </m:r>
          </m:sub>
        </m:sSub>
      </m:oMath>
      <w:r w:rsidR="004714D9">
        <w:rPr>
          <w:rFonts w:eastAsiaTheme="minorEastAsia"/>
        </w:rPr>
        <w:t xml:space="preserve"> </w:t>
      </w:r>
      <w:r w:rsidRPr="0053460C">
        <w:t>≈ 0.2 is realistic for level ride, supporting the structural assumption for steady operation.</w:t>
      </w:r>
    </w:p>
    <w:p w14:paraId="458928F3" w14:textId="03E5F84E" w:rsidR="004E7F43" w:rsidRPr="0053460C" w:rsidRDefault="004E7F43" w:rsidP="004E7F43">
      <w:r w:rsidRPr="0053460C">
        <w:t>These findings imply that the 500N per-side assumption is credible for structure-only analysis</w:t>
      </w:r>
      <w:r w:rsidR="004714D9">
        <w:t xml:space="preserve">, </w:t>
      </w:r>
      <w:r w:rsidRPr="0053460C">
        <w:t>representing the peak design load</w:t>
      </w:r>
      <w:r w:rsidR="004714D9">
        <w:t xml:space="preserve"> </w:t>
      </w:r>
      <w:r w:rsidRPr="0053460C">
        <w:t xml:space="preserve">but not representative of typical hydrodynamic forces at low speed. In flow modelling, this load should be replaced by distributed pressure fields derived from the local </w:t>
      </w:r>
      <m:oMath>
        <m:sSub>
          <m:sSubPr>
            <m:ctrlPr>
              <w:rPr>
                <w:rFonts w:ascii="Cambria Math" w:hAnsi="Cambria Math"/>
              </w:rPr>
            </m:ctrlPr>
          </m:sSubPr>
          <m:e>
            <m:r>
              <w:rPr>
                <w:rFonts w:ascii="Cambria Math" w:hAnsi="Cambria Math"/>
              </w:rPr>
              <m:t>C</m:t>
            </m:r>
          </m:e>
          <m:sub>
            <m:r>
              <w:rPr>
                <w:rFonts w:ascii="Cambria Math" w:hAnsi="Cambria Math"/>
              </w:rPr>
              <m:t>L</m:t>
            </m:r>
          </m:sub>
        </m:sSub>
      </m:oMath>
      <w:r w:rsidR="004714D9">
        <w:rPr>
          <w:rFonts w:eastAsiaTheme="minorEastAsia"/>
        </w:rPr>
        <w:t xml:space="preserve"> </w:t>
      </w:r>
      <w:r w:rsidRPr="0053460C">
        <w:t>distribution along the span to capture lift curvature and tip-loss effects. The force resultant acts near the quarter-chord rather than at the mid-chord point used structurally, producing both bending and torsional effects that should be considered when correlating FEA and CFD results.</w:t>
      </w:r>
    </w:p>
    <w:p w14:paraId="2E4D3781" w14:textId="0B18EDBF" w:rsidR="00E906AE" w:rsidRPr="0053460C" w:rsidRDefault="004E7F43" w:rsidP="004E7F43">
      <w:r w:rsidRPr="0053460C">
        <w:lastRenderedPageBreak/>
        <w:t>Overall, the 500N assumption is acceptable for conservative strength design but must be reinterpreted for accurate fluid-structure correlation in Tasks 5 and 6.</w:t>
      </w:r>
    </w:p>
    <w:p w14:paraId="5742FD82" w14:textId="6B657ECF" w:rsidR="00E906AE" w:rsidRPr="0053460C" w:rsidRDefault="00E906AE" w:rsidP="00E906AE">
      <w:pPr>
        <w:pStyle w:val="Heading1"/>
      </w:pPr>
      <w:bookmarkStart w:id="7" w:name="_Toc214817344"/>
      <w:r w:rsidRPr="0053460C">
        <w:lastRenderedPageBreak/>
        <w:t>Task 4</w:t>
      </w:r>
      <w:r w:rsidR="000872F2">
        <w:t xml:space="preserve"> - </w:t>
      </w:r>
      <w:r w:rsidR="000872F2" w:rsidRPr="000872F2">
        <w:t>CFRP material implications: past, present and future</w:t>
      </w:r>
      <w:bookmarkEnd w:id="7"/>
    </w:p>
    <w:p w14:paraId="7CA0116C" w14:textId="77777777" w:rsidR="00E906AE" w:rsidRPr="0053460C" w:rsidRDefault="00E906AE" w:rsidP="00E906AE"/>
    <w:p w14:paraId="71E0F9D2" w14:textId="0BAD7DD5" w:rsidR="004E7F43" w:rsidRPr="0053460C" w:rsidRDefault="004E7F43" w:rsidP="004E7F43">
      <w:r w:rsidRPr="003A2486">
        <w:t>Carbon fibre reinforced polymer (CFRP) has become the preferred material for high-performance hydrofoils due to its exceptional stiffness-to-weight ratio and corrosion resistance compared with aluminium or stainless steel</w:t>
      </w:r>
      <w:r w:rsidR="00DC134D" w:rsidRPr="003A2486">
        <w:t xml:space="preserve"> </w:t>
      </w:r>
      <w:r w:rsidR="00DC134D" w:rsidRPr="003A2486">
        <w:t>(Pemberton et al., 2018)</w:t>
      </w:r>
      <w:r w:rsidRPr="003A2486">
        <w:t>. Its high</w:t>
      </w:r>
      <w:r w:rsidRPr="0053460C">
        <w:t xml:space="preserve"> specific stiffness allows thin sections to resist bending without excessive mass, improving efficiency by maintaining accurate hydrodynamic profiles under load (Hull </w:t>
      </w:r>
      <w:r w:rsidR="00AA26B1" w:rsidRPr="0053460C">
        <w:t>and</w:t>
      </w:r>
      <w:r w:rsidRPr="0053460C">
        <w:t xml:space="preserve"> Clyne, </w:t>
      </w:r>
      <w:r w:rsidR="003E7927" w:rsidRPr="0053460C">
        <w:t>1996</w:t>
      </w:r>
      <w:r w:rsidRPr="0053460C">
        <w:t xml:space="preserve">). The directional nature of CFRP fibres also allows stiffness and strength </w:t>
      </w:r>
      <w:r w:rsidR="00FE7DB5">
        <w:t xml:space="preserve">to be tailored </w:t>
      </w:r>
      <w:r w:rsidRPr="0053460C">
        <w:t>along the span and chord to match expected bending and torsional loads</w:t>
      </w:r>
      <w:r w:rsidR="009F34C2">
        <w:t>,</w:t>
      </w:r>
      <w:r w:rsidRPr="0053460C">
        <w:t xml:space="preserve"> which is particularly useful for hydrofoils where lift varies across the span.</w:t>
      </w:r>
      <w:r w:rsidR="002C7C5E" w:rsidRPr="0053460C">
        <w:t xml:space="preserve"> </w:t>
      </w:r>
      <w:r w:rsidR="002C7C5E" w:rsidRPr="0053460C">
        <w:t>Representative laminate stacking sequences with unidirectional, cross-ply and multidirectional</w:t>
      </w:r>
      <w:r w:rsidR="007803F4">
        <w:t xml:space="preserve"> </w:t>
      </w:r>
      <w:r w:rsidR="002C7C5E" w:rsidRPr="0053460C">
        <w:t xml:space="preserve">plies used to tailor stiffness and strength are illustrated in Figure </w:t>
      </w:r>
      <w:r w:rsidR="002C7C5E" w:rsidRPr="0053460C">
        <w:t>4.</w:t>
      </w:r>
      <w:r w:rsidR="008929D3" w:rsidRPr="0053460C">
        <w:t xml:space="preserve"> </w:t>
      </w:r>
      <w:r w:rsidR="008929D3" w:rsidRPr="0053460C">
        <w:t xml:space="preserve">In typical marine laminates, 0° plies primarily carry spanwise bending loads, while ±45° plies contribute to in-plane shear and torsional stiffness (Hull </w:t>
      </w:r>
      <w:r w:rsidR="00AA26B1" w:rsidRPr="0053460C">
        <w:t>and</w:t>
      </w:r>
      <w:r w:rsidR="008929D3" w:rsidRPr="0053460C">
        <w:t xml:space="preserve"> Clyne, </w:t>
      </w:r>
      <w:r w:rsidR="003E7927" w:rsidRPr="0053460C">
        <w:t>1996</w:t>
      </w:r>
      <w:r w:rsidR="008929D3" w:rsidRPr="0053460C">
        <w:t>; Harris, 20</w:t>
      </w:r>
      <w:r w:rsidR="003E7927" w:rsidRPr="0053460C">
        <w:t>03</w:t>
      </w:r>
      <w:r w:rsidR="008929D3" w:rsidRPr="0053460C">
        <w:t>).</w:t>
      </w:r>
    </w:p>
    <w:p w14:paraId="7F631A67" w14:textId="77777777" w:rsidR="002C7C5E" w:rsidRPr="0053460C" w:rsidRDefault="002C7C5E" w:rsidP="004E7F43"/>
    <w:p w14:paraId="42E8B771" w14:textId="40974856" w:rsidR="002C7C5E" w:rsidRPr="0053460C" w:rsidRDefault="002C7C5E" w:rsidP="002C7C5E">
      <w:pPr>
        <w:jc w:val="center"/>
      </w:pPr>
      <w:r w:rsidRPr="0053460C">
        <w:drawing>
          <wp:inline distT="0" distB="0" distL="0" distR="0" wp14:anchorId="0B8FEC87" wp14:editId="49794DA5">
            <wp:extent cx="5790229" cy="3038167"/>
            <wp:effectExtent l="19050" t="19050" r="20320" b="10160"/>
            <wp:docPr id="13223801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20390" cy="3053993"/>
                    </a:xfrm>
                    <a:prstGeom prst="rect">
                      <a:avLst/>
                    </a:prstGeom>
                    <a:noFill/>
                    <a:ln>
                      <a:solidFill>
                        <a:schemeClr val="tx1"/>
                      </a:solidFill>
                    </a:ln>
                  </pic:spPr>
                </pic:pic>
              </a:graphicData>
            </a:graphic>
          </wp:inline>
        </w:drawing>
      </w:r>
    </w:p>
    <w:p w14:paraId="3E18568D" w14:textId="3F7E7793" w:rsidR="002C7C5E" w:rsidRPr="0053460C" w:rsidRDefault="002C7C5E" w:rsidP="002C7C5E">
      <w:pPr>
        <w:pStyle w:val="Caption"/>
      </w:pPr>
      <w:bookmarkStart w:id="8" w:name="_Toc214817362"/>
      <w:r w:rsidRPr="0053460C">
        <w:t xml:space="preserve">Figure </w:t>
      </w:r>
      <w:r w:rsidRPr="0053460C">
        <w:fldChar w:fldCharType="begin"/>
      </w:r>
      <w:r w:rsidRPr="0053460C">
        <w:instrText xml:space="preserve"> SEQ Figure \* ARABIC </w:instrText>
      </w:r>
      <w:r w:rsidRPr="0053460C">
        <w:fldChar w:fldCharType="separate"/>
      </w:r>
      <w:r w:rsidR="00F75B7E" w:rsidRPr="0053460C">
        <w:t>4</w:t>
      </w:r>
      <w:r w:rsidRPr="0053460C">
        <w:fldChar w:fldCharType="end"/>
      </w:r>
      <w:r w:rsidRPr="0053460C">
        <w:t xml:space="preserve"> - </w:t>
      </w:r>
      <w:r w:rsidRPr="0053460C">
        <w:t>Representative CFRP laminate stacking sequences</w:t>
      </w:r>
      <w:r w:rsidR="00957B57">
        <w:t xml:space="preserve"> </w:t>
      </w:r>
      <w:r w:rsidRPr="0053460C">
        <w:t>illustrating how ply angles are combined to tailor stiffness and strength in laminates (Aspinall et al., 202</w:t>
      </w:r>
      <w:r w:rsidR="003E7927" w:rsidRPr="0053460C">
        <w:t>3</w:t>
      </w:r>
      <w:r w:rsidRPr="0053460C">
        <w:t>).</w:t>
      </w:r>
      <w:bookmarkEnd w:id="8"/>
    </w:p>
    <w:p w14:paraId="5EDCDE21" w14:textId="77777777" w:rsidR="004E7F43" w:rsidRPr="0053460C" w:rsidRDefault="004E7F43" w:rsidP="004E7F43"/>
    <w:p w14:paraId="4545FEF5" w14:textId="291D5C90" w:rsidR="004E7F43" w:rsidRPr="0053460C" w:rsidRDefault="004E7F43" w:rsidP="004E7F43">
      <w:r w:rsidRPr="0053460C">
        <w:t xml:space="preserve">However, CFRP is not without challenges. It is anisotropic and brittle, meaning strength depends heavily on fibre orientation and laminate quality. Local impact or out-of-plane loads can cause delamination, and repeated loading may lead to fatigue cracking or matrix degradation in marine environments (Davies </w:t>
      </w:r>
      <w:r w:rsidR="007A2210" w:rsidRPr="0053460C">
        <w:t>and Rajapakse</w:t>
      </w:r>
      <w:r w:rsidRPr="0053460C">
        <w:t xml:space="preserve">, 2018). Moisture absorption can reduce the glass transition </w:t>
      </w:r>
      <w:r w:rsidRPr="0053460C">
        <w:lastRenderedPageBreak/>
        <w:t>temperature of the resin, while galvanic coupling with metallic fittings can accelerate corrosion if isolation coatings are not used (Harris, 20</w:t>
      </w:r>
      <w:r w:rsidR="003E7927" w:rsidRPr="0053460C">
        <w:t>03</w:t>
      </w:r>
      <w:r w:rsidRPr="0053460C">
        <w:t>).</w:t>
      </w:r>
    </w:p>
    <w:p w14:paraId="6CCC0E53" w14:textId="6674BCC7" w:rsidR="004E7F43" w:rsidRPr="0053460C" w:rsidRDefault="004E7F43" w:rsidP="004E7F43">
      <w:r w:rsidRPr="0053460C">
        <w:t xml:space="preserve">For marine applications, surface finish and coating are also critical. A smooth </w:t>
      </w:r>
      <w:r w:rsidR="00470E89" w:rsidRPr="0053460C">
        <w:t>gelcoat</w:t>
      </w:r>
      <w:r w:rsidRPr="0053460C">
        <w:t xml:space="preserve"> or polyurethane top layer is typically applied to reduce surface roughness and delay transition to turbulence, preserving low drag at cruise speed. Surface voids or fibre print-through can increase roughness and promote early boundary-layer transition or cavitation onset (ITTC, 2024).</w:t>
      </w:r>
    </w:p>
    <w:p w14:paraId="3C013FC6" w14:textId="6525EE7F" w:rsidR="004E7F43" w:rsidRPr="0053460C" w:rsidRDefault="004E7F43" w:rsidP="004E7F43">
      <w:r w:rsidRPr="0053460C">
        <w:t xml:space="preserve">Manufacturing processes vary according to performance and cost requirements. Vacuum-bagged wet lay-up is simple and suitable for prototypes, while prepreg autoclave curing provides the highest fibre fraction and quality. Out-of-autoclave (OOA) curing offers a balance for production parts with lower equipment cost. Each method must maintain laminate balance and symmetry to avoid warping, following standard composite design rules (Hull </w:t>
      </w:r>
      <w:r w:rsidR="00AA26B1" w:rsidRPr="0053460C">
        <w:t>and</w:t>
      </w:r>
      <w:r w:rsidRPr="0053460C">
        <w:t xml:space="preserve"> Clyne, </w:t>
      </w:r>
      <w:r w:rsidR="003E7927" w:rsidRPr="0053460C">
        <w:t>1996</w:t>
      </w:r>
      <w:r w:rsidRPr="0053460C">
        <w:t xml:space="preserve">). </w:t>
      </w:r>
      <w:r w:rsidR="006F643C" w:rsidRPr="0053460C">
        <w:t xml:space="preserve">Quality assurance should verify fibre alignment, void content and cure degree, and may include non-destructive </w:t>
      </w:r>
      <w:r w:rsidR="00CF708D">
        <w:t>testing/</w:t>
      </w:r>
      <w:r w:rsidR="006F643C" w:rsidRPr="0053460C">
        <w:t>inspection by ultrasound or thermography.</w:t>
      </w:r>
    </w:p>
    <w:p w14:paraId="469D35C1" w14:textId="77777777" w:rsidR="009F34C2" w:rsidRDefault="009F34C2" w:rsidP="004E7F43">
      <w:r w:rsidRPr="009F34C2">
        <w:t>Relevant standards support both materials testing and model validation for the CFRP hydrofoil considered in this project. ASTM D3039 defines tensile properties of polymer matrix composites, ASTM D7264 covers flexural testing, and ASTM D7137 describes compression-after-impact performance, providing a basis for damage-tolerance assessment of thin laminates (ASTM International, 2017a; ASTM International, 2017b; ASTM International, 2017c). For modelling credibility, ASME V&amp;V 10-2019 provides guidance on verification and validation of computational models (ASME, 2019).</w:t>
      </w:r>
    </w:p>
    <w:p w14:paraId="71308610" w14:textId="77777777" w:rsidR="009F34C2" w:rsidRDefault="009F34C2" w:rsidP="004E7F43">
      <w:r w:rsidRPr="009F34C2">
        <w:t>Historically, hydrofoils transitioned from aluminium to CFRP as improved resins and curing methods reduced moisture sensitivity (Pemberton et al., 2018). Current designs combine CFRP with titanium or composite fittings to mitigate galvanic issues (Harris, 2003; Pemberton et al., 2018). Future developments focus on tougher resins, bio-based fibres and digital manufacturing methods that enable repair tracking and structural health monitoring (Davies and Rajapakse, 2018).</w:t>
      </w:r>
    </w:p>
    <w:p w14:paraId="67D464F5" w14:textId="5CC83F96" w:rsidR="004E7F43" w:rsidRPr="0053460C" w:rsidRDefault="004E7F43" w:rsidP="004E7F43">
      <w:r w:rsidRPr="0053460C">
        <w:t xml:space="preserve">For this project, CFRP is suitable because it meets the strength-to-mass requirements of the 500N design load while maintaining low surface roughness. Material properties used in subsequent tasks should be taken from room-temperature, wet-condition </w:t>
      </w:r>
      <w:r w:rsidR="00A31B82" w:rsidRPr="0053460C">
        <w:t>allowable</w:t>
      </w:r>
      <w:r w:rsidRPr="0053460C">
        <w:t xml:space="preserve"> per ASTM D5229, ensuring that stiffness, density and environmental durability are realistic for marine service</w:t>
      </w:r>
      <w:r w:rsidR="009F34C2">
        <w:t xml:space="preserve"> </w:t>
      </w:r>
      <w:r w:rsidR="009F34C2" w:rsidRPr="009F34C2">
        <w:t>(ASTM International, 2020)</w:t>
      </w:r>
      <w:r w:rsidRPr="0053460C">
        <w:t>.</w:t>
      </w:r>
    </w:p>
    <w:p w14:paraId="7BAAD7BE" w14:textId="186D647E" w:rsidR="00A23382" w:rsidRPr="0053460C" w:rsidRDefault="00F66F4B" w:rsidP="00F66F4B">
      <w:pPr>
        <w:pStyle w:val="Heading1"/>
      </w:pPr>
      <w:bookmarkStart w:id="9" w:name="_Toc214817345"/>
      <w:r w:rsidRPr="0053460C">
        <w:lastRenderedPageBreak/>
        <w:t>Task 5</w:t>
      </w:r>
      <w:r w:rsidR="00AB10FB">
        <w:t xml:space="preserve"> - </w:t>
      </w:r>
      <w:r w:rsidR="00AB10FB" w:rsidRPr="00AB10FB">
        <w:t>Flow modelling and force estimate</w:t>
      </w:r>
      <w:bookmarkEnd w:id="9"/>
    </w:p>
    <w:p w14:paraId="64443CAB" w14:textId="77777777" w:rsidR="00F66F4B" w:rsidRPr="0053460C" w:rsidRDefault="00F66F4B" w:rsidP="00F66F4B"/>
    <w:p w14:paraId="64D3CE7B" w14:textId="77777777" w:rsidR="000F25AF" w:rsidRDefault="000F25AF" w:rsidP="000F25AF">
      <w:r w:rsidRPr="000F25AF">
        <w:t>The purpose of this task is to identify credible methods for predicting flow behaviour and lift forces on the hydrofoil, and to select an appropriate modelling route for this project. The choice depends on the Reynolds number range, flow features such as tip vortices and mild separation, and the balance between computational cost and accuracy.</w:t>
      </w:r>
    </w:p>
    <w:p w14:paraId="4CBF2103" w14:textId="77777777" w:rsidR="00F2488D" w:rsidRPr="000F25AF" w:rsidRDefault="00F2488D" w:rsidP="000F25AF"/>
    <w:p w14:paraId="2CA541BE" w14:textId="77777777" w:rsidR="000F25AF" w:rsidRDefault="000F25AF" w:rsidP="00F2488D">
      <w:pPr>
        <w:pStyle w:val="Heading2"/>
      </w:pPr>
      <w:bookmarkStart w:id="10" w:name="_Toc214817346"/>
      <w:r w:rsidRPr="000F25AF">
        <w:t>Modelling options and trade-offs</w:t>
      </w:r>
      <w:bookmarkEnd w:id="10"/>
    </w:p>
    <w:p w14:paraId="53E76953" w14:textId="77777777" w:rsidR="00F2488D" w:rsidRPr="00F2488D" w:rsidRDefault="00F2488D" w:rsidP="00F2488D"/>
    <w:p w14:paraId="5AD7CF91" w14:textId="1B1B1B3B" w:rsidR="000F25AF" w:rsidRPr="000F25AF" w:rsidRDefault="000F25AF" w:rsidP="000F25AF">
      <w:r w:rsidRPr="000F25AF">
        <w:t xml:space="preserve">Potential-flow and panel methods are fast and suitable for early design when the flow is mostly attached. They neglect viscous and turbulent effects, so they cannot predict stall or accurately capture drag. These methods remain useful for estimating lift distribution and induced drag on slender wings at small angles of attack (Katz </w:t>
      </w:r>
      <w:r w:rsidR="00AA26B1" w:rsidRPr="0053460C">
        <w:t>and</w:t>
      </w:r>
      <w:r w:rsidRPr="000F25AF">
        <w:t xml:space="preserve"> Plotkin, 2001).</w:t>
      </w:r>
    </w:p>
    <w:p w14:paraId="2442DAB3" w14:textId="372FEF89" w:rsidR="000F25AF" w:rsidRPr="000F25AF" w:rsidRDefault="00A31771" w:rsidP="000F25AF">
      <w:r w:rsidRPr="00A31771">
        <w:t>RANS</w:t>
      </w:r>
      <w:r w:rsidR="000F25AF" w:rsidRPr="000F25AF">
        <w:t xml:space="preserve"> models solve the time-averaged Navier–Stokes equations and account for viscosity and turbulence</w:t>
      </w:r>
      <w:r w:rsidR="009807B3" w:rsidRPr="0053460C">
        <w:t xml:space="preserve"> </w:t>
      </w:r>
      <w:r w:rsidR="009807B3" w:rsidRPr="0053460C">
        <w:t xml:space="preserve">(Versteeg and </w:t>
      </w:r>
      <w:proofErr w:type="spellStart"/>
      <w:r w:rsidR="009807B3" w:rsidRPr="0053460C">
        <w:t>Malalasekera</w:t>
      </w:r>
      <w:proofErr w:type="spellEnd"/>
      <w:r w:rsidR="009807B3" w:rsidRPr="0053460C">
        <w:t>, 2007)</w:t>
      </w:r>
      <w:r w:rsidR="000F25AF" w:rsidRPr="000F25AF">
        <w:t>. They provide good accuracy for attached or mildly separated flows while keeping computation manageable. For the present Re ≈ 10⁶, steady RANS offers an appropriate compromise between fidelity and runtime.</w:t>
      </w:r>
    </w:p>
    <w:p w14:paraId="01A365BE" w14:textId="17FDEF31" w:rsidR="00A31771" w:rsidRPr="000F25AF" w:rsidRDefault="00A31771" w:rsidP="000F25AF">
      <w:r w:rsidRPr="00A31771">
        <w:t xml:space="preserve">Large-Eddy Simulation (LES) and Detached-Eddy Simulation (DES) are unsteady turbulence models that directly resolve the larger turbulent eddies in time, giving a much more detailed picture of separated and vortical flow than steady RANS but at far higher computational cost (Zhang et al., 2016). In practice, these methods are mainly used in detailed research on complex unsteady phenomena such as stall, cavitation and tip-vortex structure, and are unnecessary for the present design-level hydrofoil force estimate (Menter, 2015; </w:t>
      </w:r>
      <w:proofErr w:type="spellStart"/>
      <w:r w:rsidRPr="00A31771">
        <w:t>Ducoin</w:t>
      </w:r>
      <w:proofErr w:type="spellEnd"/>
      <w:r w:rsidRPr="00A31771">
        <w:t xml:space="preserve"> et al., 2012).</w:t>
      </w:r>
    </w:p>
    <w:p w14:paraId="36B396CA" w14:textId="2A2E3B39" w:rsidR="00F2488D" w:rsidRDefault="00A31771" w:rsidP="000F25AF">
      <w:r w:rsidRPr="00A31771">
        <w:t>Finite-element or beam-based aeroelastic models can represent foil deflection under load, but a one-way coupling</w:t>
      </w:r>
      <w:r>
        <w:t xml:space="preserve">, </w:t>
      </w:r>
      <w:r w:rsidRPr="00293931">
        <w:t>where aerodynamic pressures are applied to a static structure</w:t>
      </w:r>
      <w:r w:rsidRPr="00293931">
        <w:t xml:space="preserve">, </w:t>
      </w:r>
      <w:r w:rsidRPr="00293931">
        <w:t>is sufficient for this project</w:t>
      </w:r>
      <w:r w:rsidRPr="00293931">
        <w:t xml:space="preserve">. This is </w:t>
      </w:r>
      <w:r w:rsidRPr="00293931">
        <w:t>because Assignment 1 showed</w:t>
      </w:r>
      <w:r w:rsidRPr="00A31771">
        <w:t xml:space="preserve"> small deflections under the 500N design load and similar hydrofoil studies treat the structure as effectively rigid at comparable load levels (</w:t>
      </w:r>
      <w:proofErr w:type="spellStart"/>
      <w:r w:rsidRPr="00A31771">
        <w:t>Ducoin</w:t>
      </w:r>
      <w:proofErr w:type="spellEnd"/>
      <w:r w:rsidRPr="00A31771">
        <w:t xml:space="preserve"> et al., 2012</w:t>
      </w:r>
      <w:r w:rsidR="00493C14">
        <w:t>).</w:t>
      </w:r>
    </w:p>
    <w:p w14:paraId="4BE4037C" w14:textId="77777777" w:rsidR="00B24944" w:rsidRDefault="00B24944" w:rsidP="000F25AF"/>
    <w:p w14:paraId="2F5DDD51" w14:textId="77777777" w:rsidR="007A022D" w:rsidRDefault="007A022D" w:rsidP="000F25AF"/>
    <w:p w14:paraId="39413035" w14:textId="77777777" w:rsidR="007A022D" w:rsidRPr="000F25AF" w:rsidRDefault="007A022D" w:rsidP="000F25AF"/>
    <w:p w14:paraId="25767517" w14:textId="77777777" w:rsidR="000F25AF" w:rsidRDefault="000F25AF" w:rsidP="00F2488D">
      <w:pPr>
        <w:pStyle w:val="Heading2"/>
      </w:pPr>
      <w:bookmarkStart w:id="11" w:name="_Toc214817347"/>
      <w:r w:rsidRPr="000F25AF">
        <w:lastRenderedPageBreak/>
        <w:t>Recommended modelling route</w:t>
      </w:r>
      <w:bookmarkEnd w:id="11"/>
    </w:p>
    <w:p w14:paraId="5226F03E" w14:textId="77777777" w:rsidR="00F2488D" w:rsidRPr="00F2488D" w:rsidRDefault="00F2488D" w:rsidP="00F2488D"/>
    <w:p w14:paraId="2962B561" w14:textId="7F2C5701" w:rsidR="00E04535" w:rsidRPr="00E04535" w:rsidRDefault="00E04535" w:rsidP="00E04535">
      <w:r w:rsidRPr="00E04535">
        <w:t>A 3D steady RANS model using symmetry about the centre plane is chosen as the main route. The computational domain will include refined leading-edge and tip regions, with a velocity inlet and pressure outlet boundary conditions. The mesh must be sufficiently fine normal to the surface, with several prism layers in the near-wall region, so that the boundary layer, pressure gradients and tip vortex are resolved. Inlet turbulence intensity can follow the 1–3% range used previously to represent laboratory water-tunnel conditions (ITTC, 2024).</w:t>
      </w:r>
    </w:p>
    <w:p w14:paraId="4AD5056E" w14:textId="345A16E0" w:rsidR="00E04535" w:rsidRPr="00E04535" w:rsidRDefault="00E04535" w:rsidP="00E04535">
      <w:r w:rsidRPr="00E04535">
        <w:t>To maintain traceability, the simulation should first analyse a 2D mid-span section to confirm lift-curve slope and stall behaviour, then extend to 3D for the full span. The resulting pressure distribution will then be integrated to obtain the total lift and compared with the 500N structural design load to check correlation between CFD and FEA results.</w:t>
      </w:r>
    </w:p>
    <w:p w14:paraId="2AC99834" w14:textId="77777777" w:rsidR="00F2488D" w:rsidRPr="000F25AF" w:rsidRDefault="00F2488D" w:rsidP="000F25AF"/>
    <w:p w14:paraId="64C7EBAD" w14:textId="77777777" w:rsidR="000F25AF" w:rsidRDefault="000F25AF" w:rsidP="00F2488D">
      <w:pPr>
        <w:pStyle w:val="Heading2"/>
      </w:pPr>
      <w:bookmarkStart w:id="12" w:name="_Toc214817348"/>
      <w:r w:rsidRPr="000F25AF">
        <w:t>Force estimate</w:t>
      </w:r>
      <w:bookmarkEnd w:id="12"/>
    </w:p>
    <w:p w14:paraId="530B96F2" w14:textId="77777777" w:rsidR="00F2488D" w:rsidRPr="00F2488D" w:rsidRDefault="00F2488D" w:rsidP="00F2488D"/>
    <w:p w14:paraId="64A9339F" w14:textId="0FF9D659" w:rsidR="000F25AF" w:rsidRPr="000F25AF" w:rsidRDefault="000F25AF" w:rsidP="000F25AF">
      <w:r w:rsidRPr="000F25AF">
        <w:t xml:space="preserve">The lift coefficient </w:t>
      </w:r>
      <m:oMath>
        <m:sSub>
          <m:sSubPr>
            <m:ctrlPr>
              <w:rPr>
                <w:rFonts w:ascii="Cambria Math" w:hAnsi="Cambria Math"/>
              </w:rPr>
            </m:ctrlPr>
          </m:sSubPr>
          <m:e>
            <m:r>
              <w:rPr>
                <w:rFonts w:ascii="Cambria Math" w:hAnsi="Cambria Math"/>
              </w:rPr>
              <m:t>C</m:t>
            </m:r>
          </m:e>
          <m:sub>
            <m:r>
              <w:rPr>
                <w:rFonts w:ascii="Cambria Math" w:hAnsi="Cambria Math"/>
              </w:rPr>
              <m:t>L</m:t>
            </m:r>
          </m:sub>
        </m:sSub>
      </m:oMath>
      <w:r w:rsidR="00D42389">
        <w:rPr>
          <w:rFonts w:eastAsiaTheme="minorEastAsia"/>
        </w:rPr>
        <w:t xml:space="preserve"> </w:t>
      </w:r>
      <w:r w:rsidRPr="000F25AF">
        <w:t>from Task 3 at ride speed (≈ 0.2) can be used for a first analytical check. Using the lift equation:</w:t>
      </w:r>
    </w:p>
    <w:p w14:paraId="4A2E4A8E" w14:textId="4033EFB5" w:rsidR="000F25AF" w:rsidRPr="000F25AF" w:rsidRDefault="000F25AF" w:rsidP="000F25AF">
      <m:oMathPara>
        <m:oMath>
          <m:r>
            <w:rPr>
              <w:rFonts w:ascii="Cambria Math" w:hAnsi="Cambria Math"/>
            </w:rPr>
            <m:t>L=</m:t>
          </m:r>
          <m:f>
            <m:fPr>
              <m:ctrlPr>
                <w:rPr>
                  <w:rFonts w:ascii="Cambria Math" w:hAnsi="Cambria Math"/>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rPr>
              </m:ctrlPr>
            </m:sSupPr>
            <m:e>
              <m:r>
                <w:rPr>
                  <w:rFonts w:ascii="Cambria Math" w:hAnsi="Cambria Math"/>
                </w:rPr>
                <m:t>V</m:t>
              </m:r>
            </m:e>
            <m:sup>
              <m:r>
                <w:rPr>
                  <w:rFonts w:ascii="Cambria Math" w:hAnsi="Cambria Math"/>
                </w:rPr>
                <m:t>2</m:t>
              </m:r>
            </m:sup>
          </m:sSup>
          <m:r>
            <w:rPr>
              <w:rFonts w:ascii="Cambria Math" w:hAnsi="Cambria Math"/>
            </w:rPr>
            <m:t>S</m:t>
          </m:r>
          <m:sSub>
            <m:sSubPr>
              <m:ctrlPr>
                <w:rPr>
                  <w:rFonts w:ascii="Cambria Math" w:hAnsi="Cambria Math"/>
                </w:rPr>
              </m:ctrlPr>
            </m:sSubPr>
            <m:e>
              <m:r>
                <w:rPr>
                  <w:rFonts w:ascii="Cambria Math" w:hAnsi="Cambria Math"/>
                </w:rPr>
                <m:t>C</m:t>
              </m:r>
            </m:e>
            <m:sub>
              <m:r>
                <w:rPr>
                  <w:rFonts w:ascii="Cambria Math" w:hAnsi="Cambria Math"/>
                </w:rPr>
                <m:t>L</m:t>
              </m:r>
            </m:sub>
          </m:sSub>
          <m:r>
            <w:br/>
          </m:r>
        </m:oMath>
      </m:oMathPara>
    </w:p>
    <w:p w14:paraId="05576816" w14:textId="77777777" w:rsidR="00DF7D2F" w:rsidRDefault="000F25AF" w:rsidP="000F25AF">
      <w:r w:rsidRPr="000F25AF">
        <w:t xml:space="preserve">Substituting </w:t>
      </w:r>
    </w:p>
    <w:p w14:paraId="0004ED47" w14:textId="43A54ABA" w:rsidR="00DF7D2F" w:rsidRDefault="00DF7D2F" w:rsidP="000F25AF">
      <m:oMathPara>
        <m:oMath>
          <m:r>
            <w:rPr>
              <w:rFonts w:ascii="Cambria Math" w:hAnsi="Cambria Math"/>
            </w:rPr>
            <m:t xml:space="preserve">ρ = </m:t>
          </m:r>
          <m:r>
            <w:rPr>
              <w:rFonts w:ascii="Cambria Math" w:hAnsi="Cambria Math"/>
            </w:rPr>
            <m:t>998</m:t>
          </m:r>
          <m:r>
            <w:rPr>
              <w:rFonts w:ascii="Cambria Math" w:hAnsi="Cambria Math"/>
            </w:rPr>
            <m:t xml:space="preserve">kg/m³, V = 10 m/s, S = 0.05 m², and </m:t>
          </m:r>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 xml:space="preserve">= 0.2 </m:t>
          </m:r>
        </m:oMath>
      </m:oMathPara>
    </w:p>
    <w:p w14:paraId="6CEF03B9" w14:textId="0830E720" w:rsidR="000F25AF" w:rsidRPr="000F25AF" w:rsidRDefault="000F25AF" w:rsidP="000F25AF">
      <w:r w:rsidRPr="000F25AF">
        <w:t>gives:</w:t>
      </w:r>
      <w:r w:rsidRPr="000F25AF">
        <w:br/>
      </w:r>
      <m:oMathPara>
        <m:oMath>
          <m:r>
            <w:rPr>
              <w:rFonts w:ascii="Cambria Math" w:hAnsi="Cambria Math"/>
            </w:rPr>
            <m:t xml:space="preserve">L = 0.5 × </m:t>
          </m:r>
          <m:r>
            <w:rPr>
              <w:rFonts w:ascii="Cambria Math" w:hAnsi="Cambria Math"/>
            </w:rPr>
            <m:t>998</m:t>
          </m:r>
          <m:r>
            <w:rPr>
              <w:rFonts w:ascii="Cambria Math" w:hAnsi="Cambria Math"/>
            </w:rPr>
            <m:t xml:space="preserve"> × 10² × 0.05 × 0.2 ≈ </m:t>
          </m:r>
          <m:r>
            <w:rPr>
              <w:rFonts w:ascii="Cambria Math" w:hAnsi="Cambria Math"/>
            </w:rPr>
            <m:t>500</m:t>
          </m:r>
          <m:r>
            <w:rPr>
              <w:rFonts w:ascii="Cambria Math" w:hAnsi="Cambria Math"/>
            </w:rPr>
            <m:t>N</m:t>
          </m:r>
        </m:oMath>
      </m:oMathPara>
    </w:p>
    <w:p w14:paraId="6606EADD" w14:textId="77777777" w:rsidR="00DF7D2F" w:rsidRDefault="00DF7D2F" w:rsidP="000F25AF"/>
    <w:p w14:paraId="286EBDC1" w14:textId="33DDFB85" w:rsidR="000F25AF" w:rsidRPr="000F25AF" w:rsidRDefault="000F25AF" w:rsidP="000F25AF">
      <w:r w:rsidRPr="000F25AF">
        <w:t>This confirms that the 500N assumption aligns with the expected hydrodynamic lift at ride speed. The corresponding pressure coefficient distribution from CFD should therefore produce an integrated load close to 500N per side.</w:t>
      </w:r>
    </w:p>
    <w:p w14:paraId="0660C200" w14:textId="4C8FCEAE" w:rsidR="00F2488D" w:rsidRPr="000F25AF" w:rsidRDefault="000F25AF" w:rsidP="000F25AF">
      <w:r w:rsidRPr="000F25AF">
        <w:t xml:space="preserve">For take-off (V = 3m/s), the same load would require </w:t>
      </w:r>
      <m:oMath>
        <m:sSub>
          <m:sSubPr>
            <m:ctrlPr>
              <w:rPr>
                <w:rFonts w:ascii="Cambria Math" w:hAnsi="Cambria Math"/>
                <w:i/>
              </w:rPr>
            </m:ctrlPr>
          </m:sSubPr>
          <m:e>
            <m:r>
              <w:rPr>
                <w:rFonts w:ascii="Cambria Math" w:hAnsi="Cambria Math"/>
              </w:rPr>
              <m:t>C</m:t>
            </m:r>
          </m:e>
          <m:sub>
            <m:r>
              <w:rPr>
                <w:rFonts w:ascii="Cambria Math" w:hAnsi="Cambria Math"/>
              </w:rPr>
              <m:t>L</m:t>
            </m:r>
          </m:sub>
        </m:sSub>
      </m:oMath>
      <w:r w:rsidRPr="000F25AF">
        <w:t xml:space="preserve"> ≈ 2.2, which is beyond normal stall limits and consistent with the earlier conclusion that the low-speed case represents an extreme or transient condition.</w:t>
      </w:r>
    </w:p>
    <w:p w14:paraId="2D937548" w14:textId="77777777" w:rsidR="000F25AF" w:rsidRDefault="000F25AF" w:rsidP="00F2488D">
      <w:pPr>
        <w:pStyle w:val="Heading2"/>
      </w:pPr>
      <w:bookmarkStart w:id="13" w:name="_Toc214817349"/>
      <w:r w:rsidRPr="000F25AF">
        <w:lastRenderedPageBreak/>
        <w:t>Validation hierarchy</w:t>
      </w:r>
      <w:bookmarkEnd w:id="13"/>
    </w:p>
    <w:p w14:paraId="025ABDA8" w14:textId="77777777" w:rsidR="00F2488D" w:rsidRPr="00F2488D" w:rsidRDefault="00F2488D" w:rsidP="00F2488D"/>
    <w:p w14:paraId="0D0726F2" w14:textId="3123B8DC" w:rsidR="000F25AF" w:rsidRPr="000F25AF" w:rsidRDefault="002876A7" w:rsidP="000F25AF">
      <w:r>
        <w:t>T</w:t>
      </w:r>
      <w:r w:rsidRPr="002876A7">
        <w:t>he CFD model will be checked in three steps:</w:t>
      </w:r>
    </w:p>
    <w:p w14:paraId="295518D5" w14:textId="77777777" w:rsidR="002876A7" w:rsidRDefault="002876A7" w:rsidP="000F25AF">
      <w:pPr>
        <w:numPr>
          <w:ilvl w:val="0"/>
          <w:numId w:val="2"/>
        </w:numPr>
      </w:pPr>
      <w:r w:rsidRPr="002876A7">
        <w:t>Run a 2D mid-span section at the same Reynolds number and compare section lift coefficient and stall angle with published hydrofoil data</w:t>
      </w:r>
      <w:r>
        <w:t>.</w:t>
      </w:r>
    </w:p>
    <w:p w14:paraId="743A1C46" w14:textId="4E965E03" w:rsidR="00CC2DDA" w:rsidRDefault="000F25AF" w:rsidP="00F66F4B">
      <w:pPr>
        <w:numPr>
          <w:ilvl w:val="0"/>
          <w:numId w:val="2"/>
        </w:numPr>
      </w:pPr>
      <w:r w:rsidRPr="000F25AF">
        <w:t xml:space="preserve">Simulate the 3D half-span geometry and </w:t>
      </w:r>
      <w:r w:rsidR="00CC2DDA" w:rsidRPr="00CC2DDA">
        <w:t xml:space="preserve">integrate the surface pressure to obtain total </w:t>
      </w:r>
      <w:proofErr w:type="gramStart"/>
      <w:r w:rsidR="00CC2DDA" w:rsidRPr="00CC2DDA">
        <w:t>lift, and</w:t>
      </w:r>
      <w:proofErr w:type="gramEnd"/>
      <w:r w:rsidR="00CC2DDA" w:rsidRPr="00CC2DDA">
        <w:t xml:space="preserve"> compare this with the 500N analytical estimate from Task 5.</w:t>
      </w:r>
    </w:p>
    <w:p w14:paraId="75FE8F84" w14:textId="6B2136A4" w:rsidR="00CC2DDA" w:rsidRDefault="00CC2DDA" w:rsidP="00F66F4B">
      <w:pPr>
        <w:numPr>
          <w:ilvl w:val="0"/>
          <w:numId w:val="2"/>
        </w:numPr>
      </w:pPr>
      <w:r w:rsidRPr="00CC2DDA">
        <w:t>If the difference is large or the flow is mostly separated, refine the mesh near the leading edge and tip and, if still needed, repeat the case with a simple transient RANS check.</w:t>
      </w:r>
    </w:p>
    <w:p w14:paraId="48278334" w14:textId="34AD4360" w:rsidR="00F66F4B" w:rsidRPr="0053460C" w:rsidRDefault="002876A7" w:rsidP="00F66F4B">
      <w:r w:rsidRPr="002876A7">
        <w:t>These steps keep the set-up simple, show clearly how the model is behaving, and provide a direct link between the CFD results and the physical tests planned in Task 6.</w:t>
      </w:r>
    </w:p>
    <w:p w14:paraId="6DB586FC" w14:textId="4DB51EF4" w:rsidR="00F66F4B" w:rsidRPr="0053460C" w:rsidRDefault="00F66F4B" w:rsidP="00F66F4B">
      <w:pPr>
        <w:pStyle w:val="Heading1"/>
      </w:pPr>
      <w:bookmarkStart w:id="14" w:name="_Toc214817350"/>
      <w:r w:rsidRPr="0053460C">
        <w:lastRenderedPageBreak/>
        <w:t>Task 6</w:t>
      </w:r>
      <w:r w:rsidR="008A33AE">
        <w:t xml:space="preserve"> - </w:t>
      </w:r>
      <w:r w:rsidR="008A33AE" w:rsidRPr="008A33AE">
        <w:t>Prototype test and correlation</w:t>
      </w:r>
      <w:bookmarkEnd w:id="14"/>
    </w:p>
    <w:p w14:paraId="7B2824A5" w14:textId="77777777" w:rsidR="00DE4C3C" w:rsidRPr="0053460C" w:rsidRDefault="00DE4C3C" w:rsidP="00DE4C3C"/>
    <w:p w14:paraId="51D32CE0" w14:textId="3E150F0F" w:rsidR="000F25AF" w:rsidRDefault="000F25AF" w:rsidP="000F25AF">
      <w:r w:rsidRPr="000F25AF">
        <w:t xml:space="preserve">The purpose of the prototype test is to </w:t>
      </w:r>
      <w:r w:rsidR="006D5BD8">
        <w:t>provide</w:t>
      </w:r>
      <w:r w:rsidRPr="000F25AF">
        <w:t xml:space="preserve"> experimental data that verify the predicted lift forces and flow behaviour from the numerical model. By comparing measured and simulated lift, drag, and flow features, the credibility of the chosen modelling approach </w:t>
      </w:r>
      <w:r w:rsidR="00426C27" w:rsidRPr="00426C27">
        <w:t>can be assessed</w:t>
      </w:r>
      <w:r w:rsidR="00426C27" w:rsidRPr="00426C27">
        <w:t xml:space="preserve"> </w:t>
      </w:r>
      <w:r w:rsidR="000A1C43" w:rsidRPr="0053460C">
        <w:t>(MacDonald, 2020)</w:t>
      </w:r>
      <w:r w:rsidRPr="000F25AF">
        <w:t>.</w:t>
      </w:r>
    </w:p>
    <w:p w14:paraId="45FE402C" w14:textId="77777777" w:rsidR="00493C14" w:rsidRPr="000F25AF" w:rsidRDefault="00493C14" w:rsidP="000F25AF"/>
    <w:p w14:paraId="2D6D6604" w14:textId="77777777" w:rsidR="000F25AF" w:rsidRDefault="000F25AF" w:rsidP="00493C14">
      <w:pPr>
        <w:pStyle w:val="Heading2"/>
      </w:pPr>
      <w:bookmarkStart w:id="15" w:name="_Toc214817351"/>
      <w:r w:rsidRPr="000F25AF">
        <w:t>Test specimen and facility</w:t>
      </w:r>
      <w:bookmarkEnd w:id="15"/>
    </w:p>
    <w:p w14:paraId="3E4FF869" w14:textId="77777777" w:rsidR="00493C14" w:rsidRPr="00493C14" w:rsidRDefault="00493C14" w:rsidP="00493C14"/>
    <w:p w14:paraId="71B59B66" w14:textId="5D31A6B3" w:rsidR="006D5BD8" w:rsidRPr="0053460C" w:rsidRDefault="006D5BD8" w:rsidP="000F25AF">
      <w:r w:rsidRPr="006D5BD8">
        <w:t>A sub-scale hydrofoil section will be tested to represent the mid-span geometry of the full foil. A chord of 0.1m and span of 0.3m are selected so the model fits within a small water-tunnel test section while maintaining a similar Reynolds number to the full-scale foil. Dynamic similarity is achieved by matching Reynolds number through tunnel speed adjustment; for Re ≈ 7 × 10⁵–2.5 × 10⁶, flow velocities between 3m/s and 10m/s are used (</w:t>
      </w:r>
      <w:proofErr w:type="spellStart"/>
      <w:r w:rsidRPr="006D5BD8">
        <w:t>Skripkin</w:t>
      </w:r>
      <w:proofErr w:type="spellEnd"/>
      <w:r w:rsidRPr="006D5BD8">
        <w:t xml:space="preserve"> et al., 2022). Fresh water at 20°C is used to maintain the same fluid properties assumed in Tasks 1–2. A representative water-tunnel test section with a hydrofoil instrumented by wall-pressure transducers and a downstream load cell, similar in principle to the proposed arrangement, is shown in Figure 5 (</w:t>
      </w:r>
      <w:proofErr w:type="spellStart"/>
      <w:r w:rsidRPr="006D5BD8">
        <w:t>Ducoin</w:t>
      </w:r>
      <w:proofErr w:type="spellEnd"/>
      <w:r w:rsidRPr="006D5BD8">
        <w:t xml:space="preserve"> et al., 2012).</w:t>
      </w:r>
    </w:p>
    <w:p w14:paraId="311AC98F" w14:textId="77777777" w:rsidR="00851DA1" w:rsidRPr="0053460C" w:rsidRDefault="00851DA1" w:rsidP="000F25AF"/>
    <w:p w14:paraId="58BB115F" w14:textId="0AD2C9AF" w:rsidR="00851DA1" w:rsidRPr="0053460C" w:rsidRDefault="00851DA1" w:rsidP="00851DA1">
      <w:pPr>
        <w:jc w:val="center"/>
      </w:pPr>
      <w:r w:rsidRPr="0053460C">
        <w:drawing>
          <wp:inline distT="0" distB="0" distL="0" distR="0" wp14:anchorId="3F7A7C50" wp14:editId="4D7E4783">
            <wp:extent cx="4469636" cy="3599079"/>
            <wp:effectExtent l="19050" t="19050" r="26670" b="20955"/>
            <wp:docPr id="7528064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89031" cy="3614696"/>
                    </a:xfrm>
                    <a:prstGeom prst="rect">
                      <a:avLst/>
                    </a:prstGeom>
                    <a:noFill/>
                    <a:ln>
                      <a:solidFill>
                        <a:schemeClr val="tx1"/>
                      </a:solidFill>
                    </a:ln>
                  </pic:spPr>
                </pic:pic>
              </a:graphicData>
            </a:graphic>
          </wp:inline>
        </w:drawing>
      </w:r>
    </w:p>
    <w:p w14:paraId="646074A7" w14:textId="008A520C" w:rsidR="00851DA1" w:rsidRPr="000F25AF" w:rsidRDefault="00851DA1" w:rsidP="007A022D">
      <w:pPr>
        <w:pStyle w:val="Caption"/>
      </w:pPr>
      <w:bookmarkStart w:id="16" w:name="_Toc214817363"/>
      <w:r w:rsidRPr="0053460C">
        <w:t xml:space="preserve">Figure </w:t>
      </w:r>
      <w:r w:rsidRPr="0053460C">
        <w:fldChar w:fldCharType="begin"/>
      </w:r>
      <w:r w:rsidRPr="0053460C">
        <w:instrText xml:space="preserve"> SEQ Figure \* ARABIC </w:instrText>
      </w:r>
      <w:r w:rsidRPr="0053460C">
        <w:fldChar w:fldCharType="separate"/>
      </w:r>
      <w:r w:rsidR="00F75B7E" w:rsidRPr="0053460C">
        <w:t>5</w:t>
      </w:r>
      <w:r w:rsidRPr="0053460C">
        <w:fldChar w:fldCharType="end"/>
      </w:r>
      <w:r w:rsidRPr="0053460C">
        <w:t xml:space="preserve"> - Representative hydrofoil instrumentation and tunnel test section (</w:t>
      </w:r>
      <w:proofErr w:type="spellStart"/>
      <w:r w:rsidRPr="0053460C">
        <w:t>Ducoin</w:t>
      </w:r>
      <w:proofErr w:type="spellEnd"/>
      <w:r w:rsidRPr="0053460C">
        <w:t xml:space="preserve"> et al., 20</w:t>
      </w:r>
      <w:r w:rsidR="00995AF9" w:rsidRPr="0053460C">
        <w:t>12</w:t>
      </w:r>
      <w:r w:rsidRPr="0053460C">
        <w:t>).</w:t>
      </w:r>
      <w:bookmarkEnd w:id="16"/>
    </w:p>
    <w:p w14:paraId="769093CE" w14:textId="77777777" w:rsidR="000F25AF" w:rsidRDefault="000F25AF" w:rsidP="00493C14">
      <w:pPr>
        <w:pStyle w:val="Heading2"/>
      </w:pPr>
      <w:bookmarkStart w:id="17" w:name="_Toc214817352"/>
      <w:r w:rsidRPr="000F25AF">
        <w:lastRenderedPageBreak/>
        <w:t>Instrumentation</w:t>
      </w:r>
      <w:bookmarkEnd w:id="17"/>
    </w:p>
    <w:p w14:paraId="3C27C740" w14:textId="77777777" w:rsidR="00493C14" w:rsidRPr="00493C14" w:rsidRDefault="00493C14" w:rsidP="00493C14"/>
    <w:p w14:paraId="58297B47" w14:textId="3C161C1B" w:rsidR="00493C14" w:rsidRDefault="00F24965" w:rsidP="000F25AF">
      <w:r w:rsidRPr="00F24965">
        <w:t>The foil will be mounted on a three-component load cell to measure lift and drag directly. Pressure taps along the suction surface will record local pressures, from which pressure coefficients can be derived to map the pressure distribution and identify separation. Tufts or dye flow visualisation will be applied to indicate transition and separation zones. An LVDT or simple dial gauge will record mid-span deflection to monitor structural compliance. All sensors will be calibrated using known reference loads or pressures before testing.</w:t>
      </w:r>
    </w:p>
    <w:p w14:paraId="3C6EF9EE" w14:textId="77777777" w:rsidR="00F24965" w:rsidRPr="000F25AF" w:rsidRDefault="00F24965" w:rsidP="000F25AF"/>
    <w:p w14:paraId="7B7F3DB1" w14:textId="77777777" w:rsidR="000F25AF" w:rsidRDefault="000F25AF" w:rsidP="00493C14">
      <w:pPr>
        <w:pStyle w:val="Heading2"/>
      </w:pPr>
      <w:bookmarkStart w:id="18" w:name="_Toc214817353"/>
      <w:r w:rsidRPr="000F25AF">
        <w:t>Test procedure</w:t>
      </w:r>
      <w:bookmarkEnd w:id="18"/>
    </w:p>
    <w:p w14:paraId="229AD96D" w14:textId="77777777" w:rsidR="00493C14" w:rsidRPr="00493C14" w:rsidRDefault="00493C14" w:rsidP="00493C14"/>
    <w:p w14:paraId="04CCE83D" w14:textId="1FCD48BE" w:rsidR="0098258F" w:rsidRPr="000F25AF" w:rsidRDefault="0098258F" w:rsidP="000F25AF">
      <w:r w:rsidRPr="0098258F">
        <w:t>The experiment will use a speed range</w:t>
      </w:r>
      <w:r>
        <w:t xml:space="preserve"> </w:t>
      </w:r>
      <w:r w:rsidRPr="0098258F">
        <w:t>from 3m/s to10m/s in 1 m/s increments, with angles of attack from 0° to 10° in 2° steps. For each speed–angle combination, at least three repeat runs will be carried out to check repeatability. Lift, drag and pressure data will be recorded over 10 s intervals once steady readings are reached.</w:t>
      </w:r>
    </w:p>
    <w:p w14:paraId="2C086A8E" w14:textId="77777777" w:rsidR="00493C14" w:rsidRDefault="00493C14" w:rsidP="00493C14">
      <w:pPr>
        <w:rPr>
          <w:b/>
          <w:bCs/>
        </w:rPr>
      </w:pPr>
    </w:p>
    <w:p w14:paraId="41A5CA4C" w14:textId="2993F41B" w:rsidR="000F25AF" w:rsidRDefault="000F25AF" w:rsidP="00493C14">
      <w:pPr>
        <w:pStyle w:val="Heading2"/>
      </w:pPr>
      <w:bookmarkStart w:id="19" w:name="_Toc214817354"/>
      <w:r w:rsidRPr="000F25AF">
        <w:t>Data processing and uncertainty</w:t>
      </w:r>
      <w:bookmarkEnd w:id="19"/>
    </w:p>
    <w:p w14:paraId="6E888198" w14:textId="77777777" w:rsidR="00493C14" w:rsidRPr="00493C14" w:rsidRDefault="00493C14" w:rsidP="00493C14"/>
    <w:p w14:paraId="104E8EE4" w14:textId="68B4DB54" w:rsidR="000F25AF" w:rsidRPr="000F25AF" w:rsidRDefault="000F25AF" w:rsidP="000F25AF">
      <w:r w:rsidRPr="000F25AF">
        <w:t xml:space="preserve">For each condition, the mean and standard deviation of lift and drag will be calculated. Pressure data will be integrated to recover the total force, and results will be converted into non-dimensional coefficients </w:t>
      </w:r>
      <m:oMath>
        <m:sSub>
          <m:sSubPr>
            <m:ctrlPr>
              <w:rPr>
                <w:rFonts w:ascii="Cambria Math" w:hAnsi="Cambria Math"/>
              </w:rPr>
            </m:ctrlPr>
          </m:sSubPr>
          <m:e>
            <m:r>
              <w:rPr>
                <w:rFonts w:ascii="Cambria Math" w:hAnsi="Cambria Math"/>
              </w:rPr>
              <m:t>C</m:t>
            </m:r>
          </m:e>
          <m:sub>
            <m:r>
              <w:rPr>
                <w:rFonts w:ascii="Cambria Math" w:hAnsi="Cambria Math"/>
              </w:rPr>
              <m:t>L</m:t>
            </m:r>
          </m:sub>
        </m:sSub>
      </m:oMath>
      <w:r w:rsidRPr="000F25AF">
        <w:t xml:space="preserve">and </w:t>
      </w:r>
      <m:oMath>
        <m:sSub>
          <m:sSubPr>
            <m:ctrlPr>
              <w:rPr>
                <w:rFonts w:ascii="Cambria Math" w:hAnsi="Cambria Math"/>
              </w:rPr>
            </m:ctrlPr>
          </m:sSubPr>
          <m:e>
            <m:r>
              <w:rPr>
                <w:rFonts w:ascii="Cambria Math" w:hAnsi="Cambria Math"/>
              </w:rPr>
              <m:t>C</m:t>
            </m:r>
          </m:e>
          <m:sub>
            <m:r>
              <w:rPr>
                <w:rFonts w:ascii="Cambria Math" w:hAnsi="Cambria Math"/>
              </w:rPr>
              <m:t>D</m:t>
            </m:r>
          </m:sub>
        </m:sSub>
      </m:oMath>
      <w:r w:rsidRPr="000F25AF">
        <w:t xml:space="preserve">. </w:t>
      </w:r>
      <w:r w:rsidR="00954583" w:rsidRPr="0053460C">
        <w:t>Combined uncertainty will be estimated from calibration accuracy and run-to-run variation, following ITTC uncertainty-analysis practices (ITTC, 2014b)</w:t>
      </w:r>
      <w:r w:rsidR="00954583" w:rsidRPr="0053460C">
        <w:t>.</w:t>
      </w:r>
    </w:p>
    <w:p w14:paraId="1272FEA1" w14:textId="77777777" w:rsidR="00493C14" w:rsidRDefault="00493C14" w:rsidP="00493C14">
      <w:pPr>
        <w:rPr>
          <w:b/>
          <w:bCs/>
        </w:rPr>
      </w:pPr>
    </w:p>
    <w:p w14:paraId="30CC8D08" w14:textId="05E08C4C" w:rsidR="000F25AF" w:rsidRDefault="000F25AF" w:rsidP="00493C14">
      <w:pPr>
        <w:pStyle w:val="Heading2"/>
      </w:pPr>
      <w:bookmarkStart w:id="20" w:name="_Toc214817355"/>
      <w:r w:rsidRPr="000F25AF">
        <w:t>Correlation and acceptance criteria</w:t>
      </w:r>
      <w:bookmarkEnd w:id="20"/>
    </w:p>
    <w:p w14:paraId="59F87220" w14:textId="77777777" w:rsidR="00493C14" w:rsidRPr="00493C14" w:rsidRDefault="00493C14" w:rsidP="00493C14"/>
    <w:p w14:paraId="324B3B55" w14:textId="77777777" w:rsidR="000F25AF" w:rsidRPr="000F25AF" w:rsidRDefault="000F25AF" w:rsidP="000F25AF">
      <w:r w:rsidRPr="000F25AF">
        <w:t>Model–experiment correlation will use the following metrics:</w:t>
      </w:r>
    </w:p>
    <w:p w14:paraId="0B2FF40A" w14:textId="5F140DB7" w:rsidR="000F25AF" w:rsidRPr="000F25AF" w:rsidRDefault="000F25AF" w:rsidP="000F25AF">
      <w:pPr>
        <w:numPr>
          <w:ilvl w:val="0"/>
          <w:numId w:val="3"/>
        </w:numPr>
      </w:pPr>
      <w:r w:rsidRPr="000F25AF">
        <w:rPr>
          <w:b/>
          <w:bCs/>
        </w:rPr>
        <w:t xml:space="preserve">RMSE of </w:t>
      </w:r>
      <m:oMath>
        <m:sSub>
          <m:sSubPr>
            <m:ctrlPr>
              <w:rPr>
                <w:rFonts w:ascii="Cambria Math" w:hAnsi="Cambria Math"/>
              </w:rPr>
            </m:ctrlPr>
          </m:sSubPr>
          <m:e>
            <m:r>
              <w:rPr>
                <w:rFonts w:ascii="Cambria Math" w:hAnsi="Cambria Math"/>
              </w:rPr>
              <m:t>C</m:t>
            </m:r>
          </m:e>
          <m:sub>
            <m:r>
              <w:rPr>
                <w:rFonts w:ascii="Cambria Math" w:hAnsi="Cambria Math"/>
              </w:rPr>
              <m:t>L</m:t>
            </m:r>
          </m:sub>
        </m:sSub>
        <m:r>
          <w:rPr>
            <w:rFonts w:ascii="Cambria Math" w:hAnsi="Cambria Math"/>
          </w:rPr>
          <m:t>(α)</m:t>
        </m:r>
      </m:oMath>
      <w:r w:rsidRPr="000F25AF">
        <w:t>≤ 0.05</w:t>
      </w:r>
    </w:p>
    <w:p w14:paraId="49B1D409" w14:textId="77777777" w:rsidR="000F25AF" w:rsidRPr="000F25AF" w:rsidRDefault="000F25AF" w:rsidP="000F25AF">
      <w:pPr>
        <w:numPr>
          <w:ilvl w:val="0"/>
          <w:numId w:val="3"/>
        </w:numPr>
      </w:pPr>
      <w:r w:rsidRPr="000F25AF">
        <w:rPr>
          <w:b/>
          <w:bCs/>
        </w:rPr>
        <w:t>Stall-onset angle difference (Δα)</w:t>
      </w:r>
      <w:r w:rsidRPr="000F25AF">
        <w:t xml:space="preserve"> ≤ 1°</w:t>
      </w:r>
    </w:p>
    <w:p w14:paraId="46204425" w14:textId="77777777" w:rsidR="000F25AF" w:rsidRPr="000F25AF" w:rsidRDefault="000F25AF" w:rsidP="000F25AF">
      <w:pPr>
        <w:numPr>
          <w:ilvl w:val="0"/>
          <w:numId w:val="3"/>
        </w:numPr>
      </w:pPr>
      <w:r w:rsidRPr="000F25AF">
        <w:rPr>
          <w:b/>
          <w:bCs/>
        </w:rPr>
        <w:t>Centre deflection error band</w:t>
      </w:r>
      <w:r w:rsidRPr="000F25AF">
        <w:t xml:space="preserve"> ≤ ±10 % of measured value</w:t>
      </w:r>
    </w:p>
    <w:p w14:paraId="5EE32857" w14:textId="77777777" w:rsidR="000F25AF" w:rsidRPr="000F25AF" w:rsidRDefault="000F25AF" w:rsidP="000F25AF">
      <w:r w:rsidRPr="000F25AF">
        <w:lastRenderedPageBreak/>
        <w:t>If results fall outside these limits, the simulation will be updated by refining mesh resolution or adjusting turbulence intensity. Agreement within these bands will confirm that the numerical model reliably predicts lift and stall onset for the design Re range.</w:t>
      </w:r>
    </w:p>
    <w:p w14:paraId="7A419709" w14:textId="77777777" w:rsidR="00493C14" w:rsidRDefault="00493C14" w:rsidP="00493C14">
      <w:pPr>
        <w:rPr>
          <w:b/>
          <w:bCs/>
        </w:rPr>
      </w:pPr>
    </w:p>
    <w:p w14:paraId="4B8F76D5" w14:textId="6C5454AE" w:rsidR="000F25AF" w:rsidRDefault="000F25AF" w:rsidP="00493C14">
      <w:pPr>
        <w:pStyle w:val="Heading2"/>
      </w:pPr>
      <w:bookmarkStart w:id="21" w:name="_Toc214817356"/>
      <w:r w:rsidRPr="000F25AF">
        <w:t>Outcome</w:t>
      </w:r>
      <w:bookmarkEnd w:id="21"/>
    </w:p>
    <w:p w14:paraId="6261B0BB" w14:textId="77777777" w:rsidR="00493C14" w:rsidRPr="00493C14" w:rsidRDefault="00493C14" w:rsidP="00493C14"/>
    <w:p w14:paraId="59CEB26D" w14:textId="77777777" w:rsidR="000F25AF" w:rsidRPr="000F25AF" w:rsidRDefault="000F25AF" w:rsidP="000F25AF">
      <w:r w:rsidRPr="000F25AF">
        <w:t>The validated model will provide confidence in the predicted lift distribution and structural load path, allowing accurate transfer of pressure fields to the FEA model and supporting design decisions for material lay-up and stiffness tuning in future development.</w:t>
      </w:r>
    </w:p>
    <w:p w14:paraId="109FB69F" w14:textId="77777777" w:rsidR="000F25AF" w:rsidRPr="0053460C" w:rsidRDefault="000F25AF" w:rsidP="00DE4C3C"/>
    <w:p w14:paraId="5244FC36" w14:textId="1F46E063" w:rsidR="00483065" w:rsidRPr="0053460C" w:rsidRDefault="00483065" w:rsidP="00483065">
      <w:pPr>
        <w:pStyle w:val="Heading1"/>
      </w:pPr>
      <w:bookmarkStart w:id="22" w:name="_Toc214817357"/>
      <w:r w:rsidRPr="0053460C">
        <w:lastRenderedPageBreak/>
        <w:t>Conclusion</w:t>
      </w:r>
      <w:bookmarkEnd w:id="22"/>
    </w:p>
    <w:p w14:paraId="31A222FE" w14:textId="14F7DB1B" w:rsidR="00E438CC" w:rsidRDefault="00E438CC"/>
    <w:p w14:paraId="5E22487F" w14:textId="77777777" w:rsidR="00E438CC" w:rsidRPr="00E438CC" w:rsidRDefault="00E438CC" w:rsidP="00E438CC">
      <w:r w:rsidRPr="00E438CC">
        <w:t>The hydrofoil operates in a transitional-to-turbulent Reynolds regime (Re ≈ 7.5 × 10⁵–2.5 × 10⁶), where viscous effects are small at ride speed but still influence flow attachment at take-off. This supports the use of a steady 3D RANS flow model, provided it is checked against matched-Re laboratory data. Boundary-layer analysis showed that the suction surface dominates lift and is most sensitive to early transition and separation at low speeds.</w:t>
      </w:r>
    </w:p>
    <w:p w14:paraId="64441BF5" w14:textId="79A177E0" w:rsidR="00E438CC" w:rsidRPr="00E438CC" w:rsidRDefault="00E438CC" w:rsidP="00E438CC">
      <w:r w:rsidRPr="00E438CC">
        <w:t>The assumption of a 500N vertical load per side is credible for steady ride but conservative at take-off. It remains suitable for strength design, but CFD–FEA correlation should use distributed pressure loads so that torsional and bending effects are captured more accurately. CFRP offers the required stiffness-to-mass ratio and corrosion resistance if laminate balance, isolation from metallic fittings, and marine-grade surface finishes are applied in line with ASTM and ASME guidance. A validated steady RANS model therefore provides a sound basis for further work. Next steps are to complete the sub-scale test, update the model using quantitative correlation metrics, and assess long-term durability and surface-finish effects on flow performance.</w:t>
      </w:r>
    </w:p>
    <w:p w14:paraId="472CBD08" w14:textId="77777777" w:rsidR="00E438CC" w:rsidRPr="0053460C" w:rsidRDefault="00E438CC"/>
    <w:p w14:paraId="15AF5313" w14:textId="0C0EA2DF" w:rsidR="00483065" w:rsidRPr="0053460C" w:rsidRDefault="00483065" w:rsidP="00483065">
      <w:pPr>
        <w:pStyle w:val="Heading1"/>
      </w:pPr>
      <w:bookmarkStart w:id="23" w:name="_Toc214817358"/>
      <w:r w:rsidRPr="0053460C">
        <w:lastRenderedPageBreak/>
        <w:t>References</w:t>
      </w:r>
      <w:bookmarkEnd w:id="23"/>
    </w:p>
    <w:p w14:paraId="25B07EB6" w14:textId="77777777" w:rsidR="00C15CFD" w:rsidRPr="0053460C" w:rsidRDefault="00C15CFD" w:rsidP="00C15CFD"/>
    <w:p w14:paraId="1454F248" w14:textId="14099914" w:rsidR="00064DB7" w:rsidRPr="0053460C" w:rsidRDefault="00064DB7" w:rsidP="00C15CFD">
      <w:r w:rsidRPr="0053460C">
        <w:t xml:space="preserve">ASME (2019) </w:t>
      </w:r>
      <w:proofErr w:type="spellStart"/>
      <w:r w:rsidRPr="0053711E">
        <w:rPr>
          <w:i/>
          <w:iCs/>
        </w:rPr>
        <w:t>V</w:t>
      </w:r>
      <w:r w:rsidR="00AA26B1" w:rsidRPr="0053711E">
        <w:rPr>
          <w:i/>
          <w:iCs/>
        </w:rPr>
        <w:t>and</w:t>
      </w:r>
      <w:r w:rsidRPr="0053711E">
        <w:rPr>
          <w:i/>
          <w:iCs/>
        </w:rPr>
        <w:t>V</w:t>
      </w:r>
      <w:proofErr w:type="spellEnd"/>
      <w:r w:rsidRPr="0053711E">
        <w:rPr>
          <w:i/>
          <w:iCs/>
        </w:rPr>
        <w:t xml:space="preserve"> 10-2019:</w:t>
      </w:r>
      <w:r w:rsidRPr="0053460C">
        <w:t xml:space="preserve"> </w:t>
      </w:r>
      <w:r w:rsidRPr="0053711E">
        <w:rPr>
          <w:i/>
          <w:iCs/>
        </w:rPr>
        <w:t xml:space="preserve">Standard for Verification and Validation in Computational Solid Mechanics. </w:t>
      </w:r>
      <w:r w:rsidRPr="0053460C">
        <w:t>New York: American Society of Mechanical Engineers.</w:t>
      </w:r>
    </w:p>
    <w:p w14:paraId="12131658" w14:textId="5FDBF50E" w:rsidR="00C15CFD" w:rsidRPr="00C15CFD" w:rsidRDefault="00C15CFD" w:rsidP="00C15CFD">
      <w:r w:rsidRPr="00C15CFD">
        <w:t xml:space="preserve">Aspinall, T.J., Erskine, E.L., Taylor, D.C. and Hadden, R.M. (2023) ‘Effect of fibre orientation and thermal exposure on the post-fire mechanical behaviour of carbon fibre reinforced polymer material’, </w:t>
      </w:r>
      <w:r w:rsidRPr="00C15CFD">
        <w:rPr>
          <w:i/>
          <w:iCs/>
        </w:rPr>
        <w:t>Fire and Materials</w:t>
      </w:r>
      <w:r w:rsidRPr="00C15CFD">
        <w:t xml:space="preserve">, advance online publication, 24 May. doi:10.1002/fam.3163. </w:t>
      </w:r>
    </w:p>
    <w:p w14:paraId="07667CD5" w14:textId="32CB5C84" w:rsidR="00C15CFD" w:rsidRPr="00C15CFD" w:rsidRDefault="00C15CFD" w:rsidP="00C15CFD">
      <w:r w:rsidRPr="00C15CFD">
        <w:t xml:space="preserve">ASTM International (2008) </w:t>
      </w:r>
      <w:r w:rsidRPr="00C15CFD">
        <w:rPr>
          <w:i/>
          <w:iCs/>
        </w:rPr>
        <w:t>ASTM D3039/D3039M-08: Standard Test Method for Tensile Properties of Polymer Matrix Composite Materials.</w:t>
      </w:r>
      <w:r w:rsidRPr="00C15CFD">
        <w:t xml:space="preserve"> West Conshohocken, PA: ASTM International. </w:t>
      </w:r>
    </w:p>
    <w:p w14:paraId="01CFA491" w14:textId="3EA8FA63" w:rsidR="00C15CFD" w:rsidRPr="00C15CFD" w:rsidRDefault="00C15CFD" w:rsidP="00C15CFD">
      <w:r w:rsidRPr="00C15CFD">
        <w:t xml:space="preserve">ASTM International (2021) </w:t>
      </w:r>
      <w:r w:rsidRPr="00C15CFD">
        <w:rPr>
          <w:i/>
          <w:iCs/>
        </w:rPr>
        <w:t>ASTM D7264/D7264M-21: Standard Test Method for Flexural Properties of Polymer Matrix Composite Materials.</w:t>
      </w:r>
      <w:r w:rsidRPr="00C15CFD">
        <w:t xml:space="preserve"> West Conshohocken, PA: ASTM International. </w:t>
      </w:r>
    </w:p>
    <w:p w14:paraId="15E8F019" w14:textId="07F71E95" w:rsidR="00C15CFD" w:rsidRPr="00C15CFD" w:rsidRDefault="00C15CFD" w:rsidP="00C15CFD">
      <w:r w:rsidRPr="00C15CFD">
        <w:t xml:space="preserve">ASTM International (2012) </w:t>
      </w:r>
      <w:r w:rsidRPr="00C15CFD">
        <w:rPr>
          <w:i/>
          <w:iCs/>
        </w:rPr>
        <w:t>ASTM D7137/D7137M-12: Standard Test Method for Compressive Residual Strength Properties of Damaged Polymer Matrix Composite Plates.</w:t>
      </w:r>
      <w:r w:rsidRPr="00C15CFD">
        <w:t xml:space="preserve"> West Conshohocken, PA: ASTM International. </w:t>
      </w:r>
    </w:p>
    <w:p w14:paraId="244FA303" w14:textId="739A77E9" w:rsidR="00C15CFD" w:rsidRPr="00C15CFD" w:rsidRDefault="00C15CFD" w:rsidP="00C15CFD">
      <w:r w:rsidRPr="00C15CFD">
        <w:t xml:space="preserve">ASTM International (2014) </w:t>
      </w:r>
      <w:r w:rsidRPr="00C15CFD">
        <w:rPr>
          <w:i/>
          <w:iCs/>
        </w:rPr>
        <w:t>ASTM D5229/D5229M-14: Standard Test Method for Moisture Absorption Properties and Equilibrium Conditioning of Polymer Matrix Composite Materials.</w:t>
      </w:r>
      <w:r w:rsidRPr="00C15CFD">
        <w:t xml:space="preserve"> West Conshohocken, PA: ASTM International. </w:t>
      </w:r>
    </w:p>
    <w:p w14:paraId="1E2D6FDA" w14:textId="0E0FF0F4" w:rsidR="00C15CFD" w:rsidRPr="00C15CFD" w:rsidRDefault="00C15CFD" w:rsidP="00C15CFD">
      <w:r w:rsidRPr="00C15CFD">
        <w:t xml:space="preserve">Brandner, P.A. and Pearce, B.W. (2012) ‘Experimental modelling of steady hydrofoil fluid–structure interaction’, in </w:t>
      </w:r>
      <w:r w:rsidRPr="00C15CFD">
        <w:rPr>
          <w:i/>
          <w:iCs/>
        </w:rPr>
        <w:t>Proceedings of the 18th Australasian Fluid Mechanics Conference (AFMC18)</w:t>
      </w:r>
      <w:r w:rsidRPr="00C15CFD">
        <w:t xml:space="preserve">, Launceston, Australia, 3–7 December. </w:t>
      </w:r>
    </w:p>
    <w:p w14:paraId="5028B5CB" w14:textId="3F11199A" w:rsidR="00C15CFD" w:rsidRPr="00C15CFD" w:rsidRDefault="00C15CFD" w:rsidP="00C15CFD">
      <w:r w:rsidRPr="00C15CFD">
        <w:t xml:space="preserve">Davies, P. and Rajapakse, Y.D.S. (eds.) (2018) </w:t>
      </w:r>
      <w:r w:rsidRPr="00C15CFD">
        <w:rPr>
          <w:i/>
          <w:iCs/>
        </w:rPr>
        <w:t>Durability of Composites in a Marine Environment 2.</w:t>
      </w:r>
      <w:r w:rsidRPr="00C15CFD">
        <w:t xml:space="preserve"> Cham: Springer. </w:t>
      </w:r>
    </w:p>
    <w:p w14:paraId="44D2FE0B" w14:textId="149B8979" w:rsidR="00C15CFD" w:rsidRPr="0053460C" w:rsidRDefault="00C15CFD" w:rsidP="00C15CFD">
      <w:proofErr w:type="spellStart"/>
      <w:r w:rsidRPr="00C15CFD">
        <w:t>Ducoin</w:t>
      </w:r>
      <w:proofErr w:type="spellEnd"/>
      <w:r w:rsidRPr="00C15CFD">
        <w:t xml:space="preserve">, A., Astolfi, J.A. and Sigrist, J.-F. (2012) ‘An experimental analysis of fluid–structure interaction on a flexible hydrofoil in various flow regimes including cavitating flow’, </w:t>
      </w:r>
      <w:r w:rsidRPr="00C15CFD">
        <w:rPr>
          <w:i/>
          <w:iCs/>
        </w:rPr>
        <w:t>European Journal of Mechanics – B/Fluids</w:t>
      </w:r>
      <w:r w:rsidRPr="00C15CFD">
        <w:t xml:space="preserve">, 36, pp. 63–74. </w:t>
      </w:r>
    </w:p>
    <w:p w14:paraId="59F37815" w14:textId="20ED3269" w:rsidR="00BE6776" w:rsidRDefault="00BE6776" w:rsidP="00C15CFD">
      <w:proofErr w:type="spellStart"/>
      <w:r w:rsidRPr="0053460C">
        <w:t>Fliteboard</w:t>
      </w:r>
      <w:proofErr w:type="spellEnd"/>
      <w:r w:rsidRPr="0053460C">
        <w:t xml:space="preserve"> (n.d.) </w:t>
      </w:r>
      <w:r w:rsidRPr="0053460C">
        <w:rPr>
          <w:i/>
          <w:iCs/>
        </w:rPr>
        <w:t xml:space="preserve">How fast do </w:t>
      </w:r>
      <w:proofErr w:type="spellStart"/>
      <w:r w:rsidRPr="0053460C">
        <w:rPr>
          <w:i/>
          <w:iCs/>
        </w:rPr>
        <w:t>eFoils</w:t>
      </w:r>
      <w:proofErr w:type="spellEnd"/>
      <w:r w:rsidRPr="0053460C">
        <w:rPr>
          <w:i/>
          <w:iCs/>
        </w:rPr>
        <w:t xml:space="preserve"> go? A comprehensive guide to electric hydrofoil boards</w:t>
      </w:r>
      <w:r w:rsidRPr="0053460C">
        <w:t xml:space="preserve">. </w:t>
      </w:r>
      <w:proofErr w:type="spellStart"/>
      <w:r w:rsidRPr="0053460C">
        <w:t>Fliteboard</w:t>
      </w:r>
      <w:proofErr w:type="spellEnd"/>
      <w:r w:rsidRPr="0053460C">
        <w:t xml:space="preserve">. Available at: </w:t>
      </w:r>
      <w:r w:rsidRPr="0053711E">
        <w:t>https://eu.fliteboard.com/en-gb/blogs/news/how-fast-do-efoils-go</w:t>
      </w:r>
      <w:r w:rsidRPr="0053460C">
        <w:t xml:space="preserve"> (Accessed: </w:t>
      </w:r>
      <w:r w:rsidRPr="0053460C">
        <w:t>14</w:t>
      </w:r>
      <w:r w:rsidRPr="0053460C">
        <w:t xml:space="preserve"> November 2025).</w:t>
      </w:r>
    </w:p>
    <w:p w14:paraId="47E39577" w14:textId="257A340E" w:rsidR="00487F65" w:rsidRPr="00C15CFD" w:rsidRDefault="00487F65" w:rsidP="00C15CFD">
      <w:r w:rsidRPr="00487F65">
        <w:t xml:space="preserve">Garg, N., Pearce, B.W., Brandner, P.A. and Young, Y.L., 2019. Experimental investigation of a hydrofoil designed via </w:t>
      </w:r>
      <w:r w:rsidR="0053711E" w:rsidRPr="00487F65">
        <w:t>hydro structural</w:t>
      </w:r>
      <w:r w:rsidRPr="00487F65">
        <w:t xml:space="preserve"> optimization. </w:t>
      </w:r>
      <w:r w:rsidRPr="00487F65">
        <w:rPr>
          <w:i/>
          <w:iCs/>
        </w:rPr>
        <w:t>Journal of Fluids and Structures</w:t>
      </w:r>
      <w:r w:rsidRPr="00487F65">
        <w:t>, 84, pp.243–262.</w:t>
      </w:r>
    </w:p>
    <w:p w14:paraId="6D68C8E8" w14:textId="2DF5AFB7" w:rsidR="00C15CFD" w:rsidRPr="0053460C" w:rsidRDefault="00C15CFD" w:rsidP="00C15CFD">
      <w:r w:rsidRPr="00C15CFD">
        <w:lastRenderedPageBreak/>
        <w:t xml:space="preserve">Harris, B. (2003) </w:t>
      </w:r>
      <w:r w:rsidRPr="00C15CFD">
        <w:rPr>
          <w:i/>
          <w:iCs/>
        </w:rPr>
        <w:t>Fatigue in Composites: Science and Technology of the Fatigue Response of Fibre-Reinforced Plastics.</w:t>
      </w:r>
      <w:r w:rsidRPr="00C15CFD">
        <w:t xml:space="preserve"> Cambridge: Woodhead Publishing. </w:t>
      </w:r>
    </w:p>
    <w:p w14:paraId="601EC65F" w14:textId="4F9C6378" w:rsidR="007F236E" w:rsidRPr="00C15CFD" w:rsidRDefault="007F236E" w:rsidP="00C15CFD">
      <w:r w:rsidRPr="0053460C">
        <w:t>Hearn, E.J. (1</w:t>
      </w:r>
      <w:r w:rsidR="00397F59" w:rsidRPr="0053460C">
        <w:t>998</w:t>
      </w:r>
      <w:r w:rsidRPr="0053460C">
        <w:t xml:space="preserve">) </w:t>
      </w:r>
      <w:r w:rsidRPr="0053460C">
        <w:rPr>
          <w:i/>
          <w:iCs/>
        </w:rPr>
        <w:t>Mechanics of materials 1: An introduction to the mechanics of elastic and plastic deformation of solids and structural materials</w:t>
      </w:r>
      <w:r w:rsidRPr="0053460C">
        <w:t>. 3rd ed. Oxford: Butterworth-Heinemann.</w:t>
      </w:r>
    </w:p>
    <w:p w14:paraId="67F04F1C" w14:textId="4562C144" w:rsidR="00C15CFD" w:rsidRPr="00C15CFD" w:rsidRDefault="00C15CFD" w:rsidP="00C15CFD">
      <w:r w:rsidRPr="00C15CFD">
        <w:t xml:space="preserve">Hull, D. and Clyne, T.W. (1996) </w:t>
      </w:r>
      <w:r w:rsidRPr="00C15CFD">
        <w:rPr>
          <w:i/>
          <w:iCs/>
        </w:rPr>
        <w:t>An Introduction to Composite Materials.</w:t>
      </w:r>
      <w:r w:rsidRPr="00C15CFD">
        <w:t xml:space="preserve"> 2nd </w:t>
      </w:r>
      <w:proofErr w:type="spellStart"/>
      <w:r w:rsidRPr="00C15CFD">
        <w:t>edn</w:t>
      </w:r>
      <w:proofErr w:type="spellEnd"/>
      <w:r w:rsidRPr="00C15CFD">
        <w:t xml:space="preserve">. Cambridge: Cambridge University Press. </w:t>
      </w:r>
    </w:p>
    <w:p w14:paraId="0917D57E" w14:textId="2B1550FF" w:rsidR="00C15CFD" w:rsidRPr="00C15CFD" w:rsidRDefault="00C15CFD" w:rsidP="00C15CFD">
      <w:r w:rsidRPr="00C15CFD">
        <w:t>ITTC (2014</w:t>
      </w:r>
      <w:r w:rsidR="00731234" w:rsidRPr="0053460C">
        <w:t>a</w:t>
      </w:r>
      <w:r w:rsidRPr="00C15CFD">
        <w:t xml:space="preserve">) </w:t>
      </w:r>
      <w:r w:rsidRPr="00C15CFD">
        <w:rPr>
          <w:i/>
          <w:iCs/>
        </w:rPr>
        <w:t>7.5-03-02-04 Practical Guidelines for Ship Resistance CFD.</w:t>
      </w:r>
      <w:r w:rsidRPr="00C15CFD">
        <w:t xml:space="preserve"> Recommended Procedures and Guidelines. 27th International Towing Tank Conference. </w:t>
      </w:r>
    </w:p>
    <w:p w14:paraId="726600F6" w14:textId="6BD121AC" w:rsidR="00C15CFD" w:rsidRPr="00C15CFD" w:rsidRDefault="00C15CFD" w:rsidP="00C15CFD">
      <w:r w:rsidRPr="00C15CFD">
        <w:t>ITTC (2014</w:t>
      </w:r>
      <w:r w:rsidR="00731234" w:rsidRPr="0053460C">
        <w:t>b</w:t>
      </w:r>
      <w:r w:rsidRPr="00C15CFD">
        <w:t xml:space="preserve">) </w:t>
      </w:r>
      <w:r w:rsidRPr="00C15CFD">
        <w:rPr>
          <w:i/>
          <w:iCs/>
        </w:rPr>
        <w:t>7.5-02-02-02 General Guideline for Uncertainty Analysis in Resistance Tests.</w:t>
      </w:r>
      <w:r w:rsidRPr="00C15CFD">
        <w:t xml:space="preserve"> Recommended Procedures and Guidelines. 27th International Towing Tank Conference. </w:t>
      </w:r>
    </w:p>
    <w:p w14:paraId="4E3FD46D" w14:textId="3EC8F91D" w:rsidR="00C15CFD" w:rsidRPr="00C15CFD" w:rsidRDefault="00C15CFD" w:rsidP="00C15CFD">
      <w:r w:rsidRPr="00C15CFD">
        <w:t xml:space="preserve">ITTC (2024) </w:t>
      </w:r>
      <w:r w:rsidRPr="00C15CFD">
        <w:rPr>
          <w:i/>
          <w:iCs/>
        </w:rPr>
        <w:t>Recommended Procedures and Guidelines: Resistance Committee – Final Report and Recommendations to the 30th ITTC.</w:t>
      </w:r>
      <w:r w:rsidRPr="00C15CFD">
        <w:t xml:space="preserve"> International Towing Tank Conference. </w:t>
      </w:r>
    </w:p>
    <w:p w14:paraId="08F0B7B8" w14:textId="3F09AB32" w:rsidR="00C15CFD" w:rsidRPr="00C15CFD" w:rsidRDefault="00C15CFD" w:rsidP="00C15CFD">
      <w:r w:rsidRPr="00C15CFD">
        <w:t xml:space="preserve">Katz, J. and Plotkin, A. (2001) </w:t>
      </w:r>
      <w:r w:rsidRPr="00C15CFD">
        <w:rPr>
          <w:i/>
          <w:iCs/>
        </w:rPr>
        <w:t>Low-Speed Aerodynamics.</w:t>
      </w:r>
      <w:r w:rsidRPr="00C15CFD">
        <w:t xml:space="preserve"> 2nd </w:t>
      </w:r>
      <w:proofErr w:type="spellStart"/>
      <w:r w:rsidRPr="00C15CFD">
        <w:t>edn</w:t>
      </w:r>
      <w:proofErr w:type="spellEnd"/>
      <w:r w:rsidRPr="00C15CFD">
        <w:t xml:space="preserve">. Cambridge: Cambridge University Press. </w:t>
      </w:r>
    </w:p>
    <w:p w14:paraId="15C4D09C" w14:textId="70F978F3" w:rsidR="00C15CFD" w:rsidRPr="0053460C" w:rsidRDefault="00C15CFD" w:rsidP="00C15CFD">
      <w:r w:rsidRPr="00C15CFD">
        <w:t xml:space="preserve">Leishman, J.G. (2006) </w:t>
      </w:r>
      <w:r w:rsidRPr="00C15CFD">
        <w:rPr>
          <w:i/>
          <w:iCs/>
        </w:rPr>
        <w:t>Principles of Helicopter Aerodynamics.</w:t>
      </w:r>
      <w:r w:rsidRPr="00C15CFD">
        <w:t xml:space="preserve"> 2nd </w:t>
      </w:r>
      <w:proofErr w:type="spellStart"/>
      <w:r w:rsidRPr="00C15CFD">
        <w:t>edn</w:t>
      </w:r>
      <w:proofErr w:type="spellEnd"/>
      <w:r w:rsidRPr="00C15CFD">
        <w:t xml:space="preserve">. Cambridge: Cambridge University Press. </w:t>
      </w:r>
    </w:p>
    <w:p w14:paraId="194A6A45" w14:textId="3C810ABD" w:rsidR="007F236E" w:rsidRPr="00C15CFD" w:rsidRDefault="007F236E" w:rsidP="00C15CFD">
      <w:r w:rsidRPr="0053460C">
        <w:t xml:space="preserve">MacDonald, B.J. (2020) </w:t>
      </w:r>
      <w:r w:rsidRPr="0053460C">
        <w:rPr>
          <w:i/>
          <w:iCs/>
        </w:rPr>
        <w:t>Practical stress analysis with finite elements</w:t>
      </w:r>
      <w:r w:rsidRPr="0053460C">
        <w:t xml:space="preserve">. 3rd ed. Dublin: </w:t>
      </w:r>
      <w:proofErr w:type="spellStart"/>
      <w:r w:rsidRPr="0053460C">
        <w:t>Machdohnil</w:t>
      </w:r>
      <w:proofErr w:type="spellEnd"/>
      <w:r w:rsidRPr="0053460C">
        <w:t xml:space="preserve"> Ltd.</w:t>
      </w:r>
    </w:p>
    <w:p w14:paraId="3A83B513" w14:textId="2DA1EFAD" w:rsidR="00C15CFD" w:rsidRDefault="00C15CFD" w:rsidP="00C15CFD">
      <w:r w:rsidRPr="00C15CFD">
        <w:t xml:space="preserve">Menter, F.R. (2015) </w:t>
      </w:r>
      <w:r w:rsidRPr="00C15CFD">
        <w:rPr>
          <w:i/>
          <w:iCs/>
        </w:rPr>
        <w:t>Best Practice: Scale-Resolving Simulations in ANSYS CFD.</w:t>
      </w:r>
      <w:r w:rsidRPr="00C15CFD">
        <w:t xml:space="preserve"> Version 2.01. Ansys Germany GmbH. </w:t>
      </w:r>
    </w:p>
    <w:p w14:paraId="5E641123" w14:textId="02C3C955" w:rsidR="00DC134D" w:rsidRPr="0053460C" w:rsidRDefault="00DC134D" w:rsidP="00C15CFD">
      <w:r w:rsidRPr="00DC134D">
        <w:t xml:space="preserve">Pemberton, R., Summerscales, J. and Graham-Jones, J. (2018) </w:t>
      </w:r>
      <w:r w:rsidRPr="00DC134D">
        <w:rPr>
          <w:i/>
          <w:iCs/>
        </w:rPr>
        <w:t>Marine Composites: Design and Performance</w:t>
      </w:r>
      <w:r w:rsidRPr="00DC134D">
        <w:t>. Cambridge: Elsevier Ltd.</w:t>
      </w:r>
    </w:p>
    <w:p w14:paraId="4EA5E959" w14:textId="5E9D44E5" w:rsidR="00BE6776" w:rsidRPr="00C15CFD" w:rsidRDefault="00BE6776" w:rsidP="00C15CFD">
      <w:r w:rsidRPr="0053460C">
        <w:t xml:space="preserve">Royal Yachting Association (n.d.) </w:t>
      </w:r>
      <w:r w:rsidRPr="0053460C">
        <w:rPr>
          <w:i/>
          <w:iCs/>
        </w:rPr>
        <w:t>Foiling masterclass: Top tips for taking your first flights</w:t>
      </w:r>
      <w:r w:rsidRPr="0053460C">
        <w:t xml:space="preserve">. RYA. Available at: </w:t>
      </w:r>
      <w:r w:rsidRPr="00293931">
        <w:t>https://www.rya.org.uk/get-started/boardsports/foiling-masterclass/</w:t>
      </w:r>
      <w:r w:rsidRPr="0053460C">
        <w:t xml:space="preserve"> (Accessed: </w:t>
      </w:r>
      <w:r w:rsidRPr="0053460C">
        <w:t>14</w:t>
      </w:r>
      <w:r w:rsidRPr="0053460C">
        <w:t xml:space="preserve"> November 2025).</w:t>
      </w:r>
    </w:p>
    <w:p w14:paraId="69C65E46" w14:textId="7C2F7281" w:rsidR="00C15CFD" w:rsidRPr="0053460C" w:rsidRDefault="00C15CFD" w:rsidP="00C15CFD">
      <w:r w:rsidRPr="00C15CFD">
        <w:t xml:space="preserve">Schlichting, H. and Gersten, K. (2017) </w:t>
      </w:r>
      <w:r w:rsidRPr="00C15CFD">
        <w:rPr>
          <w:i/>
          <w:iCs/>
        </w:rPr>
        <w:t>Boundary-Layer Theory.</w:t>
      </w:r>
      <w:r w:rsidRPr="00C15CFD">
        <w:t xml:space="preserve"> 9th </w:t>
      </w:r>
      <w:proofErr w:type="spellStart"/>
      <w:r w:rsidRPr="00C15CFD">
        <w:t>edn</w:t>
      </w:r>
      <w:proofErr w:type="spellEnd"/>
      <w:r w:rsidRPr="00C15CFD">
        <w:t>. Berlin: Springer.</w:t>
      </w:r>
    </w:p>
    <w:p w14:paraId="2071BB02" w14:textId="1F630380" w:rsidR="00825FB5" w:rsidRPr="0053460C" w:rsidRDefault="00825FB5" w:rsidP="00C15CFD">
      <w:r w:rsidRPr="0053460C">
        <w:t xml:space="preserve">Skripkin, S.G., Tsoy, M.A. and Kravtsova, A.Y. (2022) ‘Experimental study of cavitating flow around a NACA 0012 hydrofoil in a slit channel’, </w:t>
      </w:r>
      <w:r w:rsidRPr="0053460C">
        <w:rPr>
          <w:i/>
          <w:iCs/>
        </w:rPr>
        <w:t>Scientific Reports</w:t>
      </w:r>
      <w:r w:rsidRPr="0053460C">
        <w:t xml:space="preserve">, 12, 11182. </w:t>
      </w:r>
      <w:r w:rsidR="007F236E" w:rsidRPr="00293931">
        <w:t>https://doi.org/10.1038/s41598-022-15256-w</w:t>
      </w:r>
    </w:p>
    <w:p w14:paraId="00699412" w14:textId="32742F99" w:rsidR="007F236E" w:rsidRPr="0053460C" w:rsidRDefault="007F236E" w:rsidP="00C15CFD">
      <w:r w:rsidRPr="0053460C">
        <w:t xml:space="preserve">Versteeg, H.K. and </w:t>
      </w:r>
      <w:proofErr w:type="spellStart"/>
      <w:r w:rsidRPr="0053460C">
        <w:t>Malalasekera</w:t>
      </w:r>
      <w:proofErr w:type="spellEnd"/>
      <w:r w:rsidRPr="0053460C">
        <w:t xml:space="preserve">, W. (2007) </w:t>
      </w:r>
      <w:r w:rsidRPr="0053460C">
        <w:rPr>
          <w:i/>
          <w:iCs/>
        </w:rPr>
        <w:t>An introduction to computational fluid dynamics: The finite volume method</w:t>
      </w:r>
      <w:r w:rsidRPr="0053460C">
        <w:t>. 2nd ed. Harlow: Pearson Education.</w:t>
      </w:r>
    </w:p>
    <w:p w14:paraId="4066A340" w14:textId="35E1BBE0" w:rsidR="003E7927" w:rsidRPr="00C15CFD" w:rsidRDefault="003E7927" w:rsidP="00C15CFD">
      <w:r w:rsidRPr="0053460C">
        <w:lastRenderedPageBreak/>
        <w:t xml:space="preserve">Wikimedia Commons (2006) </w:t>
      </w:r>
      <w:proofErr w:type="spellStart"/>
      <w:r w:rsidRPr="0053460C">
        <w:rPr>
          <w:i/>
          <w:iCs/>
        </w:rPr>
        <w:t>Airfoil.svg</w:t>
      </w:r>
      <w:proofErr w:type="spellEnd"/>
      <w:r w:rsidRPr="0053460C">
        <w:rPr>
          <w:i/>
          <w:iCs/>
        </w:rPr>
        <w:t xml:space="preserve"> – Diagram of an </w:t>
      </w:r>
      <w:proofErr w:type="spellStart"/>
      <w:r w:rsidRPr="0053460C">
        <w:rPr>
          <w:i/>
          <w:iCs/>
        </w:rPr>
        <w:t>airfoil</w:t>
      </w:r>
      <w:proofErr w:type="spellEnd"/>
      <w:r w:rsidRPr="0053460C">
        <w:rPr>
          <w:i/>
          <w:iCs/>
        </w:rPr>
        <w:t xml:space="preserve"> exhibiting angle of attack, with labels.</w:t>
      </w:r>
      <w:r w:rsidRPr="0053460C">
        <w:t xml:space="preserve"> Available at: https://commons.wikimedia.org/wiki/File:Airfoil.svg (Accessed: </w:t>
      </w:r>
      <w:r w:rsidR="00BE6776" w:rsidRPr="0053460C">
        <w:t>14</w:t>
      </w:r>
      <w:r w:rsidRPr="0053460C">
        <w:t xml:space="preserve"> November 2025)</w:t>
      </w:r>
    </w:p>
    <w:p w14:paraId="4FF867B7" w14:textId="68877D02" w:rsidR="00C15CFD" w:rsidRPr="00C15CFD" w:rsidRDefault="00825FB5" w:rsidP="00C15CFD">
      <w:r w:rsidRPr="0053460C">
        <w:t xml:space="preserve">Zhang, G., Shi, W., Zhang, D., Wang, C. and Zhou, L. (2016) ‘A hybrid RANS/LES model for simulating time-dependent cloud cavitating flow around a NACA66 hydrofoil’, </w:t>
      </w:r>
      <w:r w:rsidRPr="0053460C">
        <w:rPr>
          <w:i/>
          <w:iCs/>
        </w:rPr>
        <w:t>Science China Technological Sciences</w:t>
      </w:r>
      <w:r w:rsidRPr="0053460C">
        <w:t>, 59, pp. 1252–1264. https://doi.org/10.1007/s11431-016-6098-y</w:t>
      </w:r>
    </w:p>
    <w:sectPr w:rsidR="00C15CFD" w:rsidRPr="00C15CFD" w:rsidSect="004C5FF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0A7107" w14:textId="77777777" w:rsidR="005B2695" w:rsidRPr="0053460C" w:rsidRDefault="005B2695" w:rsidP="00483065">
      <w:pPr>
        <w:spacing w:after="0" w:line="240" w:lineRule="auto"/>
      </w:pPr>
      <w:r w:rsidRPr="0053460C">
        <w:separator/>
      </w:r>
    </w:p>
  </w:endnote>
  <w:endnote w:type="continuationSeparator" w:id="0">
    <w:p w14:paraId="4A1C4F0E" w14:textId="77777777" w:rsidR="005B2695" w:rsidRPr="0053460C" w:rsidRDefault="005B2695" w:rsidP="00483065">
      <w:pPr>
        <w:spacing w:after="0" w:line="240" w:lineRule="auto"/>
      </w:pPr>
      <w:r w:rsidRPr="0053460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1659242"/>
      <w:docPartObj>
        <w:docPartGallery w:val="Page Numbers (Bottom of Page)"/>
        <w:docPartUnique/>
      </w:docPartObj>
    </w:sdtPr>
    <w:sdtContent>
      <w:p w14:paraId="51A4A0FA" w14:textId="56A31CF7" w:rsidR="004658BF" w:rsidRPr="0053460C" w:rsidRDefault="004658BF">
        <w:pPr>
          <w:pStyle w:val="Footer"/>
          <w:jc w:val="right"/>
        </w:pPr>
        <w:r w:rsidRPr="0053460C">
          <w:fldChar w:fldCharType="begin"/>
        </w:r>
        <w:r w:rsidRPr="0053460C">
          <w:instrText xml:space="preserve"> PAGE   \* MERGEFORMAT </w:instrText>
        </w:r>
        <w:r w:rsidRPr="0053460C">
          <w:fldChar w:fldCharType="separate"/>
        </w:r>
        <w:r w:rsidRPr="0053460C">
          <w:t>2</w:t>
        </w:r>
        <w:r w:rsidRPr="0053460C">
          <w:fldChar w:fldCharType="end"/>
        </w:r>
      </w:p>
    </w:sdtContent>
  </w:sdt>
  <w:p w14:paraId="53B8F9BF" w14:textId="77777777" w:rsidR="004658BF" w:rsidRPr="0053460C" w:rsidRDefault="00465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759C56" w14:textId="77777777" w:rsidR="005B2695" w:rsidRPr="0053460C" w:rsidRDefault="005B2695" w:rsidP="00483065">
      <w:pPr>
        <w:spacing w:after="0" w:line="240" w:lineRule="auto"/>
      </w:pPr>
      <w:r w:rsidRPr="0053460C">
        <w:separator/>
      </w:r>
    </w:p>
  </w:footnote>
  <w:footnote w:type="continuationSeparator" w:id="0">
    <w:p w14:paraId="72DE3215" w14:textId="77777777" w:rsidR="005B2695" w:rsidRPr="0053460C" w:rsidRDefault="005B2695" w:rsidP="00483065">
      <w:pPr>
        <w:spacing w:after="0" w:line="240" w:lineRule="auto"/>
      </w:pPr>
      <w:r w:rsidRPr="0053460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839FF"/>
    <w:multiLevelType w:val="multilevel"/>
    <w:tmpl w:val="52E6C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0F67A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7E3A580B"/>
    <w:multiLevelType w:val="multilevel"/>
    <w:tmpl w:val="DF36C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06927896">
    <w:abstractNumId w:val="1"/>
  </w:num>
  <w:num w:numId="2" w16cid:durableId="417287314">
    <w:abstractNumId w:val="2"/>
  </w:num>
  <w:num w:numId="3" w16cid:durableId="14794181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065"/>
    <w:rsid w:val="00046226"/>
    <w:rsid w:val="00064DB7"/>
    <w:rsid w:val="00067486"/>
    <w:rsid w:val="00075E95"/>
    <w:rsid w:val="000872F2"/>
    <w:rsid w:val="000A1C43"/>
    <w:rsid w:val="000A3286"/>
    <w:rsid w:val="000C2BB1"/>
    <w:rsid w:val="000F25AF"/>
    <w:rsid w:val="000F68B7"/>
    <w:rsid w:val="0013290A"/>
    <w:rsid w:val="00133758"/>
    <w:rsid w:val="00157022"/>
    <w:rsid w:val="00161F71"/>
    <w:rsid w:val="001632BE"/>
    <w:rsid w:val="00165CBB"/>
    <w:rsid w:val="0016677E"/>
    <w:rsid w:val="001676DA"/>
    <w:rsid w:val="001D1E51"/>
    <w:rsid w:val="001D730C"/>
    <w:rsid w:val="001F1450"/>
    <w:rsid w:val="00215077"/>
    <w:rsid w:val="00231692"/>
    <w:rsid w:val="002360E1"/>
    <w:rsid w:val="00240904"/>
    <w:rsid w:val="00252088"/>
    <w:rsid w:val="00273BE3"/>
    <w:rsid w:val="002876A7"/>
    <w:rsid w:val="00293931"/>
    <w:rsid w:val="002B1CA9"/>
    <w:rsid w:val="002C2243"/>
    <w:rsid w:val="002C7C5E"/>
    <w:rsid w:val="00322F42"/>
    <w:rsid w:val="00343658"/>
    <w:rsid w:val="00371915"/>
    <w:rsid w:val="00397F59"/>
    <w:rsid w:val="003A2486"/>
    <w:rsid w:val="003C0A2F"/>
    <w:rsid w:val="003C667A"/>
    <w:rsid w:val="003E7927"/>
    <w:rsid w:val="00410E95"/>
    <w:rsid w:val="004163B9"/>
    <w:rsid w:val="00426C27"/>
    <w:rsid w:val="004277BB"/>
    <w:rsid w:val="004658BF"/>
    <w:rsid w:val="00470E89"/>
    <w:rsid w:val="004714D9"/>
    <w:rsid w:val="00483065"/>
    <w:rsid w:val="00487F65"/>
    <w:rsid w:val="004915C1"/>
    <w:rsid w:val="00493C14"/>
    <w:rsid w:val="004C5FFE"/>
    <w:rsid w:val="004E7F43"/>
    <w:rsid w:val="00504A76"/>
    <w:rsid w:val="0053460C"/>
    <w:rsid w:val="0053711E"/>
    <w:rsid w:val="00562740"/>
    <w:rsid w:val="00597CF4"/>
    <w:rsid w:val="005B2695"/>
    <w:rsid w:val="005D1F42"/>
    <w:rsid w:val="005E2C08"/>
    <w:rsid w:val="005E79F9"/>
    <w:rsid w:val="00603000"/>
    <w:rsid w:val="006145CB"/>
    <w:rsid w:val="0064767D"/>
    <w:rsid w:val="006B06D8"/>
    <w:rsid w:val="006C1ADC"/>
    <w:rsid w:val="006C50E4"/>
    <w:rsid w:val="006D5BD8"/>
    <w:rsid w:val="006F643C"/>
    <w:rsid w:val="007127E4"/>
    <w:rsid w:val="007145B3"/>
    <w:rsid w:val="00731234"/>
    <w:rsid w:val="00736706"/>
    <w:rsid w:val="00750131"/>
    <w:rsid w:val="007603C5"/>
    <w:rsid w:val="007803F4"/>
    <w:rsid w:val="00783AB4"/>
    <w:rsid w:val="007A022D"/>
    <w:rsid w:val="007A2210"/>
    <w:rsid w:val="007A2632"/>
    <w:rsid w:val="007C4219"/>
    <w:rsid w:val="007F07E2"/>
    <w:rsid w:val="007F18B5"/>
    <w:rsid w:val="007F236E"/>
    <w:rsid w:val="00825EA7"/>
    <w:rsid w:val="00825FB5"/>
    <w:rsid w:val="00831FAE"/>
    <w:rsid w:val="00842314"/>
    <w:rsid w:val="00851DA1"/>
    <w:rsid w:val="00872546"/>
    <w:rsid w:val="008929D3"/>
    <w:rsid w:val="00895D9F"/>
    <w:rsid w:val="008A33AE"/>
    <w:rsid w:val="008D6005"/>
    <w:rsid w:val="008E513E"/>
    <w:rsid w:val="00943351"/>
    <w:rsid w:val="00946F86"/>
    <w:rsid w:val="00954583"/>
    <w:rsid w:val="00957B57"/>
    <w:rsid w:val="009665B6"/>
    <w:rsid w:val="009807B3"/>
    <w:rsid w:val="00980E78"/>
    <w:rsid w:val="0098258F"/>
    <w:rsid w:val="00982AF1"/>
    <w:rsid w:val="009871F4"/>
    <w:rsid w:val="009906A6"/>
    <w:rsid w:val="00995AF9"/>
    <w:rsid w:val="009F18BC"/>
    <w:rsid w:val="009F34C2"/>
    <w:rsid w:val="009F7C0D"/>
    <w:rsid w:val="00A23382"/>
    <w:rsid w:val="00A25374"/>
    <w:rsid w:val="00A31771"/>
    <w:rsid w:val="00A31B82"/>
    <w:rsid w:val="00A46D81"/>
    <w:rsid w:val="00A5405A"/>
    <w:rsid w:val="00A60895"/>
    <w:rsid w:val="00A86F3B"/>
    <w:rsid w:val="00AA11DE"/>
    <w:rsid w:val="00AA1ACC"/>
    <w:rsid w:val="00AA26B1"/>
    <w:rsid w:val="00AB10FB"/>
    <w:rsid w:val="00AB4261"/>
    <w:rsid w:val="00AB4D00"/>
    <w:rsid w:val="00AC7B15"/>
    <w:rsid w:val="00AE68B0"/>
    <w:rsid w:val="00AF3420"/>
    <w:rsid w:val="00B046FC"/>
    <w:rsid w:val="00B219E5"/>
    <w:rsid w:val="00B24944"/>
    <w:rsid w:val="00B50FC9"/>
    <w:rsid w:val="00B81992"/>
    <w:rsid w:val="00BB1F55"/>
    <w:rsid w:val="00BE6776"/>
    <w:rsid w:val="00C15CFD"/>
    <w:rsid w:val="00C376A0"/>
    <w:rsid w:val="00C416C0"/>
    <w:rsid w:val="00C556F9"/>
    <w:rsid w:val="00C71B00"/>
    <w:rsid w:val="00C85B12"/>
    <w:rsid w:val="00CC2DDA"/>
    <w:rsid w:val="00CF3B55"/>
    <w:rsid w:val="00CF708D"/>
    <w:rsid w:val="00D105F9"/>
    <w:rsid w:val="00D42389"/>
    <w:rsid w:val="00D60C9B"/>
    <w:rsid w:val="00D7000B"/>
    <w:rsid w:val="00D7481C"/>
    <w:rsid w:val="00D84EBE"/>
    <w:rsid w:val="00DC134D"/>
    <w:rsid w:val="00DE4C3C"/>
    <w:rsid w:val="00DF4D46"/>
    <w:rsid w:val="00DF7D2F"/>
    <w:rsid w:val="00E04535"/>
    <w:rsid w:val="00E12ACF"/>
    <w:rsid w:val="00E438CC"/>
    <w:rsid w:val="00E50019"/>
    <w:rsid w:val="00E65D3F"/>
    <w:rsid w:val="00E86C3B"/>
    <w:rsid w:val="00E906AE"/>
    <w:rsid w:val="00EA71E9"/>
    <w:rsid w:val="00EC0D76"/>
    <w:rsid w:val="00EE0721"/>
    <w:rsid w:val="00EF123F"/>
    <w:rsid w:val="00EF3F64"/>
    <w:rsid w:val="00F14FF5"/>
    <w:rsid w:val="00F17E03"/>
    <w:rsid w:val="00F246C2"/>
    <w:rsid w:val="00F2488D"/>
    <w:rsid w:val="00F24965"/>
    <w:rsid w:val="00F36844"/>
    <w:rsid w:val="00F66F4B"/>
    <w:rsid w:val="00F75B7E"/>
    <w:rsid w:val="00F91E56"/>
    <w:rsid w:val="00FC05A2"/>
    <w:rsid w:val="00FC08AC"/>
    <w:rsid w:val="00FC76E9"/>
    <w:rsid w:val="00FD1A81"/>
    <w:rsid w:val="00FE7DB5"/>
    <w:rsid w:val="00FF2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849356"/>
  <w15:chartTrackingRefBased/>
  <w15:docId w15:val="{B8F27AFF-3DF1-46A5-9DAA-1E43C4072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0131"/>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750131"/>
    <w:pPr>
      <w:keepNext/>
      <w:keepLines/>
      <w:pageBreakBefore/>
      <w:numPr>
        <w:numId w:val="1"/>
      </w:numPr>
      <w:spacing w:before="240" w:after="0"/>
      <w:ind w:left="431" w:hanging="431"/>
      <w:jc w:val="left"/>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3065"/>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8306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8306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8306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8306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8306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8306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8306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013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830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8306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8306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8306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8306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8306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830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8306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83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065"/>
    <w:rPr>
      <w:rFonts w:ascii="Times New Roman" w:hAnsi="Times New Roman"/>
    </w:rPr>
  </w:style>
  <w:style w:type="paragraph" w:styleId="Footer">
    <w:name w:val="footer"/>
    <w:basedOn w:val="Normal"/>
    <w:link w:val="FooterChar"/>
    <w:uiPriority w:val="99"/>
    <w:unhideWhenUsed/>
    <w:rsid w:val="00483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065"/>
    <w:rPr>
      <w:rFonts w:ascii="Times New Roman" w:hAnsi="Times New Roman"/>
    </w:rPr>
  </w:style>
  <w:style w:type="paragraph" w:styleId="TOCHeading">
    <w:name w:val="TOC Heading"/>
    <w:basedOn w:val="Heading1"/>
    <w:next w:val="Normal"/>
    <w:uiPriority w:val="39"/>
    <w:unhideWhenUsed/>
    <w:qFormat/>
    <w:rsid w:val="004658BF"/>
    <w:pPr>
      <w:numPr>
        <w:numId w:val="0"/>
      </w:numPr>
      <w:spacing w:line="259" w:lineRule="auto"/>
      <w:outlineLvl w:val="9"/>
    </w:pPr>
    <w:rPr>
      <w:lang w:val="en-US"/>
    </w:rPr>
  </w:style>
  <w:style w:type="paragraph" w:styleId="TOC1">
    <w:name w:val="toc 1"/>
    <w:basedOn w:val="Normal"/>
    <w:next w:val="Normal"/>
    <w:autoRedefine/>
    <w:uiPriority w:val="39"/>
    <w:unhideWhenUsed/>
    <w:rsid w:val="004658BF"/>
    <w:pPr>
      <w:spacing w:after="100"/>
    </w:pPr>
  </w:style>
  <w:style w:type="character" w:styleId="Hyperlink">
    <w:name w:val="Hyperlink"/>
    <w:basedOn w:val="DefaultParagraphFont"/>
    <w:uiPriority w:val="99"/>
    <w:unhideWhenUsed/>
    <w:rsid w:val="004658BF"/>
    <w:rPr>
      <w:color w:val="0563C1" w:themeColor="hyperlink"/>
      <w:u w:val="single"/>
    </w:rPr>
  </w:style>
  <w:style w:type="paragraph" w:styleId="TOC2">
    <w:name w:val="toc 2"/>
    <w:basedOn w:val="Normal"/>
    <w:next w:val="Normal"/>
    <w:autoRedefine/>
    <w:uiPriority w:val="39"/>
    <w:unhideWhenUsed/>
    <w:rsid w:val="004658BF"/>
    <w:pPr>
      <w:spacing w:after="100"/>
      <w:ind w:left="220"/>
    </w:pPr>
  </w:style>
  <w:style w:type="table" w:styleId="TableGrid">
    <w:name w:val="Table Grid"/>
    <w:basedOn w:val="TableNormal"/>
    <w:uiPriority w:val="39"/>
    <w:rsid w:val="004658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658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60C9B"/>
    <w:pPr>
      <w:spacing w:after="0"/>
    </w:pPr>
  </w:style>
  <w:style w:type="character" w:styleId="PlaceholderText">
    <w:name w:val="Placeholder Text"/>
    <w:basedOn w:val="DefaultParagraphFont"/>
    <w:uiPriority w:val="99"/>
    <w:semiHidden/>
    <w:rsid w:val="00EE0721"/>
    <w:rPr>
      <w:color w:val="666666"/>
    </w:rPr>
  </w:style>
  <w:style w:type="character" w:styleId="UnresolvedMention">
    <w:name w:val="Unresolved Mention"/>
    <w:basedOn w:val="DefaultParagraphFont"/>
    <w:uiPriority w:val="99"/>
    <w:semiHidden/>
    <w:unhideWhenUsed/>
    <w:rsid w:val="00A233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heath\Downloads\Hydrofoil_Re_vs_speed.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u="sng"/>
              <a:t>Reynolds number vs speed</a:t>
            </a:r>
          </a:p>
        </c:rich>
      </c:tx>
      <c:overlay val="0"/>
    </c:title>
    <c:autoTitleDeleted val="0"/>
    <c:plotArea>
      <c:layout/>
      <c:scatterChart>
        <c:scatterStyle val="lineMarker"/>
        <c:varyColors val="0"/>
        <c:ser>
          <c:idx val="0"/>
          <c:order val="0"/>
          <c:tx>
            <c:v>Re vs V</c:v>
          </c:tx>
          <c:xVal>
            <c:numRef>
              <c:f>Re_vs_Speed!$A$2:$A$6</c:f>
              <c:numCache>
                <c:formatCode>General</c:formatCode>
                <c:ptCount val="5"/>
                <c:pt idx="0">
                  <c:v>3</c:v>
                </c:pt>
                <c:pt idx="1">
                  <c:v>5</c:v>
                </c:pt>
                <c:pt idx="2">
                  <c:v>7</c:v>
                </c:pt>
                <c:pt idx="3">
                  <c:v>9</c:v>
                </c:pt>
                <c:pt idx="4">
                  <c:v>10</c:v>
                </c:pt>
              </c:numCache>
            </c:numRef>
          </c:xVal>
          <c:yVal>
            <c:numRef>
              <c:f>Re_vs_Speed!$B$2:$B$6</c:f>
              <c:numCache>
                <c:formatCode>General</c:formatCode>
                <c:ptCount val="5"/>
                <c:pt idx="0">
                  <c:v>747750</c:v>
                </c:pt>
                <c:pt idx="1">
                  <c:v>1246250</c:v>
                </c:pt>
                <c:pt idx="2">
                  <c:v>1744750</c:v>
                </c:pt>
                <c:pt idx="3">
                  <c:v>2243250</c:v>
                </c:pt>
                <c:pt idx="4">
                  <c:v>2492500</c:v>
                </c:pt>
              </c:numCache>
            </c:numRef>
          </c:yVal>
          <c:smooth val="0"/>
          <c:extLst>
            <c:ext xmlns:c16="http://schemas.microsoft.com/office/drawing/2014/chart" uri="{C3380CC4-5D6E-409C-BE32-E72D297353CC}">
              <c16:uniqueId val="{00000000-742D-4DB3-A86B-3DCA2B0BD691}"/>
            </c:ext>
          </c:extLst>
        </c:ser>
        <c:dLbls>
          <c:showLegendKey val="0"/>
          <c:showVal val="0"/>
          <c:showCatName val="0"/>
          <c:showSerName val="0"/>
          <c:showPercent val="0"/>
          <c:showBubbleSize val="0"/>
        </c:dLbls>
        <c:axId val="50010001"/>
        <c:axId val="50010002"/>
      </c:scatterChart>
      <c:valAx>
        <c:axId val="50010001"/>
        <c:scaling>
          <c:orientation val="minMax"/>
          <c:max val="10"/>
          <c:min val="3"/>
        </c:scaling>
        <c:delete val="0"/>
        <c:axPos val="b"/>
        <c:title>
          <c:tx>
            <c:rich>
              <a:bodyPr/>
              <a:lstStyle/>
              <a:p>
                <a:pPr>
                  <a:defRPr/>
                </a:pPr>
                <a:r>
                  <a:rPr lang="en-US" u="sng"/>
                  <a:t>Speed, V (m/s)</a:t>
                </a:r>
              </a:p>
            </c:rich>
          </c:tx>
          <c:overlay val="0"/>
        </c:title>
        <c:numFmt formatCode="General" sourceLinked="1"/>
        <c:majorTickMark val="out"/>
        <c:minorTickMark val="none"/>
        <c:tickLblPos val="nextTo"/>
        <c:crossAx val="50010002"/>
        <c:crosses val="autoZero"/>
        <c:crossBetween val="midCat"/>
      </c:valAx>
      <c:valAx>
        <c:axId val="50010002"/>
        <c:scaling>
          <c:orientation val="minMax"/>
          <c:max val="2500000"/>
          <c:min val="500000"/>
        </c:scaling>
        <c:delete val="0"/>
        <c:axPos val="l"/>
        <c:majorGridlines/>
        <c:title>
          <c:tx>
            <c:rich>
              <a:bodyPr rot="-5400000" vert="horz"/>
              <a:lstStyle/>
              <a:p>
                <a:pPr>
                  <a:defRPr/>
                </a:pPr>
                <a:r>
                  <a:rPr lang="en-US" u="sng"/>
                  <a:t>Reynolds number, Re (-)</a:t>
                </a:r>
              </a:p>
            </c:rich>
          </c:tx>
          <c:overlay val="0"/>
        </c:title>
        <c:numFmt formatCode="0.00E+00" sourceLinked="0"/>
        <c:majorTickMark val="out"/>
        <c:minorTickMark val="none"/>
        <c:tickLblPos val="nextTo"/>
        <c:crossAx val="50010001"/>
        <c:crosses val="autoZero"/>
        <c:crossBetween val="midCat"/>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93220E-CE47-45EF-AA67-FC528E6DB8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22</Pages>
  <Words>4749</Words>
  <Characters>27071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Exeter</Company>
  <LinksUpToDate>false</LinksUpToDate>
  <CharactersWithSpaces>31757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 Lisa</dc:creator>
  <cp:keywords/>
  <dc:description/>
  <cp:lastModifiedBy>Heather Came (2208198)</cp:lastModifiedBy>
  <cp:revision>2</cp:revision>
  <dcterms:created xsi:type="dcterms:W3CDTF">2025-11-23T19:21:00Z</dcterms:created>
  <dcterms:modified xsi:type="dcterms:W3CDTF">2025-11-23T19:21:00Z</dcterms:modified>
</cp:coreProperties>
</file>