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3888AD" w14:textId="7AB32627" w:rsidR="00D46965" w:rsidRDefault="00397CD2">
      <w:r>
        <w:rPr>
          <w:noProof/>
        </w:rPr>
        <w:drawing>
          <wp:inline distT="0" distB="0" distL="0" distR="0" wp14:anchorId="7A18B5CC" wp14:editId="2E91257C">
            <wp:extent cx="693420" cy="693420"/>
            <wp:effectExtent l="0" t="0" r="0" b="0"/>
            <wp:docPr id="1086784166" name="Picture 1" descr="UWTSD Birmingham |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 Birmingh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93420" cy="693420"/>
                    </a:xfrm>
                    <a:prstGeom prst="rect">
                      <a:avLst/>
                    </a:prstGeom>
                    <a:noFill/>
                    <a:ln>
                      <a:noFill/>
                    </a:ln>
                  </pic:spPr>
                </pic:pic>
              </a:graphicData>
            </a:graphic>
          </wp:inline>
        </w:drawing>
      </w:r>
    </w:p>
    <w:p w14:paraId="3058A0A8" w14:textId="77777777" w:rsidR="00397CD2" w:rsidRDefault="00397CD2"/>
    <w:p w14:paraId="5F927673" w14:textId="43C6EB0A" w:rsidR="00397CD2" w:rsidRPr="00C8466E" w:rsidRDefault="003E16D7" w:rsidP="00C8466E">
      <w:pPr>
        <w:jc w:val="center"/>
        <w:rPr>
          <w:rFonts w:ascii="Arial" w:hAnsi="Arial" w:cs="Arial"/>
          <w:sz w:val="24"/>
          <w:szCs w:val="24"/>
        </w:rPr>
      </w:pPr>
      <w:r w:rsidRPr="00C8466E">
        <w:rPr>
          <w:rFonts w:ascii="Arial" w:hAnsi="Arial" w:cs="Arial"/>
          <w:sz w:val="24"/>
          <w:szCs w:val="24"/>
        </w:rPr>
        <w:t>LCBB</w:t>
      </w:r>
      <w:r w:rsidR="00093E20" w:rsidRPr="00C8466E">
        <w:rPr>
          <w:rFonts w:ascii="Arial" w:hAnsi="Arial" w:cs="Arial"/>
          <w:sz w:val="24"/>
          <w:szCs w:val="24"/>
        </w:rPr>
        <w:t>6002 International Financial Management</w:t>
      </w:r>
    </w:p>
    <w:p w14:paraId="76BD5CB2" w14:textId="365C5BCE" w:rsidR="00093E20" w:rsidRPr="00E51938" w:rsidRDefault="007F5F37" w:rsidP="00C8466E">
      <w:pPr>
        <w:jc w:val="center"/>
        <w:rPr>
          <w:rFonts w:ascii="Arial" w:hAnsi="Arial" w:cs="Arial"/>
          <w:sz w:val="24"/>
          <w:szCs w:val="24"/>
        </w:rPr>
      </w:pPr>
      <w:r w:rsidRPr="00E51938">
        <w:rPr>
          <w:rFonts w:ascii="Arial" w:hAnsi="Arial" w:cs="Arial"/>
          <w:sz w:val="24"/>
          <w:szCs w:val="24"/>
        </w:rPr>
        <w:t xml:space="preserve">The Impact of Corporate Governance Practices on </w:t>
      </w:r>
      <w:r w:rsidR="00C8466E" w:rsidRPr="00E51938">
        <w:rPr>
          <w:rFonts w:ascii="Arial" w:hAnsi="Arial" w:cs="Arial"/>
          <w:sz w:val="24"/>
          <w:szCs w:val="24"/>
        </w:rPr>
        <w:t>Compass Group PLC</w:t>
      </w:r>
      <w:r w:rsidR="00C07539">
        <w:rPr>
          <w:rFonts w:ascii="Arial" w:hAnsi="Arial" w:cs="Arial"/>
          <w:sz w:val="24"/>
          <w:szCs w:val="24"/>
        </w:rPr>
        <w:t xml:space="preserve">’ </w:t>
      </w:r>
      <w:r w:rsidR="006A2EE2" w:rsidRPr="00E51938">
        <w:rPr>
          <w:rFonts w:ascii="Arial" w:hAnsi="Arial" w:cs="Arial"/>
          <w:sz w:val="24"/>
          <w:szCs w:val="24"/>
        </w:rPr>
        <w:t>P</w:t>
      </w:r>
      <w:r w:rsidRPr="00E51938">
        <w:rPr>
          <w:rFonts w:ascii="Arial" w:hAnsi="Arial" w:cs="Arial"/>
          <w:sz w:val="24"/>
          <w:szCs w:val="24"/>
        </w:rPr>
        <w:t>erformance</w:t>
      </w:r>
    </w:p>
    <w:p w14:paraId="514C24C0" w14:textId="77777777" w:rsidR="006A2EE2" w:rsidRPr="00E51938" w:rsidRDefault="006A2EE2" w:rsidP="00C8466E">
      <w:pPr>
        <w:jc w:val="center"/>
        <w:rPr>
          <w:rFonts w:ascii="Arial" w:hAnsi="Arial" w:cs="Arial"/>
          <w:sz w:val="24"/>
          <w:szCs w:val="24"/>
        </w:rPr>
      </w:pPr>
    </w:p>
    <w:p w14:paraId="0C894CEE" w14:textId="77777777" w:rsidR="006A2EE2" w:rsidRDefault="006A2EE2" w:rsidP="00C8466E">
      <w:pPr>
        <w:jc w:val="center"/>
        <w:rPr>
          <w:rFonts w:ascii="Arial" w:hAnsi="Arial" w:cs="Arial"/>
          <w:b/>
          <w:bCs/>
          <w:sz w:val="24"/>
          <w:szCs w:val="24"/>
        </w:rPr>
      </w:pPr>
    </w:p>
    <w:p w14:paraId="130EB723" w14:textId="77777777" w:rsidR="006A2EE2" w:rsidRDefault="006A2EE2" w:rsidP="00C8466E">
      <w:pPr>
        <w:jc w:val="center"/>
        <w:rPr>
          <w:rFonts w:ascii="Arial" w:hAnsi="Arial" w:cs="Arial"/>
          <w:b/>
          <w:bCs/>
          <w:sz w:val="24"/>
          <w:szCs w:val="24"/>
        </w:rPr>
      </w:pPr>
    </w:p>
    <w:p w14:paraId="797DE7D4" w14:textId="77777777" w:rsidR="006A2EE2" w:rsidRDefault="006A2EE2" w:rsidP="00C8466E">
      <w:pPr>
        <w:jc w:val="center"/>
        <w:rPr>
          <w:rFonts w:ascii="Arial" w:hAnsi="Arial" w:cs="Arial"/>
          <w:b/>
          <w:bCs/>
          <w:sz w:val="24"/>
          <w:szCs w:val="24"/>
        </w:rPr>
      </w:pPr>
    </w:p>
    <w:p w14:paraId="4F2D2F67" w14:textId="55929A80" w:rsidR="006A2EE2" w:rsidRPr="00E51938" w:rsidRDefault="006A2EE2" w:rsidP="00E51938">
      <w:pPr>
        <w:jc w:val="center"/>
        <w:rPr>
          <w:rFonts w:ascii="Arial" w:hAnsi="Arial" w:cs="Arial"/>
          <w:sz w:val="24"/>
          <w:szCs w:val="24"/>
        </w:rPr>
      </w:pPr>
      <w:r w:rsidRPr="00E51938">
        <w:rPr>
          <w:rFonts w:ascii="Arial" w:hAnsi="Arial" w:cs="Arial"/>
          <w:sz w:val="24"/>
          <w:szCs w:val="24"/>
        </w:rPr>
        <w:t xml:space="preserve">Student name: Vali Daniela </w:t>
      </w:r>
      <w:r w:rsidR="00E51938" w:rsidRPr="00E51938">
        <w:rPr>
          <w:rFonts w:ascii="Arial" w:hAnsi="Arial" w:cs="Arial"/>
          <w:sz w:val="24"/>
          <w:szCs w:val="24"/>
        </w:rPr>
        <w:t>Pantazi</w:t>
      </w:r>
    </w:p>
    <w:p w14:paraId="0B462FED" w14:textId="38DB7765" w:rsidR="00E51938" w:rsidRPr="00E51938" w:rsidRDefault="00E51938" w:rsidP="00E51938">
      <w:pPr>
        <w:rPr>
          <w:rFonts w:ascii="Arial" w:hAnsi="Arial" w:cs="Arial"/>
          <w:sz w:val="24"/>
          <w:szCs w:val="24"/>
        </w:rPr>
      </w:pPr>
      <w:r w:rsidRPr="00E51938">
        <w:rPr>
          <w:rFonts w:ascii="Arial" w:hAnsi="Arial" w:cs="Arial"/>
          <w:sz w:val="24"/>
          <w:szCs w:val="24"/>
        </w:rPr>
        <w:t xml:space="preserve">                                     </w:t>
      </w:r>
      <w:r w:rsidR="00290B23">
        <w:rPr>
          <w:rFonts w:ascii="Arial" w:hAnsi="Arial" w:cs="Arial"/>
          <w:sz w:val="24"/>
          <w:szCs w:val="24"/>
        </w:rPr>
        <w:t xml:space="preserve"> </w:t>
      </w:r>
      <w:r w:rsidRPr="00E51938">
        <w:rPr>
          <w:rFonts w:ascii="Arial" w:hAnsi="Arial" w:cs="Arial"/>
          <w:sz w:val="24"/>
          <w:szCs w:val="24"/>
        </w:rPr>
        <w:t xml:space="preserve"> Student number: 2212835</w:t>
      </w:r>
    </w:p>
    <w:p w14:paraId="2E318C47" w14:textId="77777777" w:rsidR="00E51938" w:rsidRPr="00E51938" w:rsidRDefault="00E51938" w:rsidP="00E51938">
      <w:pPr>
        <w:rPr>
          <w:rFonts w:ascii="Arial" w:hAnsi="Arial" w:cs="Arial"/>
          <w:sz w:val="24"/>
          <w:szCs w:val="24"/>
        </w:rPr>
      </w:pPr>
    </w:p>
    <w:p w14:paraId="39F4CAC0" w14:textId="77777777" w:rsidR="00E51938" w:rsidRPr="00E51938" w:rsidRDefault="00E51938" w:rsidP="00E51938">
      <w:pPr>
        <w:rPr>
          <w:rFonts w:ascii="Arial" w:hAnsi="Arial" w:cs="Arial"/>
          <w:sz w:val="24"/>
          <w:szCs w:val="24"/>
        </w:rPr>
      </w:pPr>
    </w:p>
    <w:p w14:paraId="18B7BDF1" w14:textId="77777777" w:rsidR="00E51938" w:rsidRPr="00E51938" w:rsidRDefault="00E51938" w:rsidP="00E51938">
      <w:pPr>
        <w:rPr>
          <w:rFonts w:ascii="Arial" w:hAnsi="Arial" w:cs="Arial"/>
          <w:sz w:val="24"/>
          <w:szCs w:val="24"/>
        </w:rPr>
      </w:pPr>
    </w:p>
    <w:p w14:paraId="4ECF96DE" w14:textId="77777777" w:rsidR="00E51938" w:rsidRPr="00E51938" w:rsidRDefault="00E51938" w:rsidP="00E51938">
      <w:pPr>
        <w:rPr>
          <w:rFonts w:ascii="Arial" w:hAnsi="Arial" w:cs="Arial"/>
          <w:sz w:val="24"/>
          <w:szCs w:val="24"/>
        </w:rPr>
      </w:pPr>
    </w:p>
    <w:p w14:paraId="5FAD7D7A" w14:textId="77777777" w:rsidR="00E51938" w:rsidRPr="00E51938" w:rsidRDefault="00E51938" w:rsidP="00E51938">
      <w:pPr>
        <w:rPr>
          <w:rFonts w:ascii="Arial" w:hAnsi="Arial" w:cs="Arial"/>
          <w:sz w:val="24"/>
          <w:szCs w:val="24"/>
        </w:rPr>
      </w:pPr>
    </w:p>
    <w:p w14:paraId="0F9D4B27" w14:textId="77777777" w:rsidR="00E51938" w:rsidRPr="00E51938" w:rsidRDefault="00E51938" w:rsidP="00E51938">
      <w:pPr>
        <w:rPr>
          <w:rFonts w:ascii="Arial" w:hAnsi="Arial" w:cs="Arial"/>
          <w:sz w:val="24"/>
          <w:szCs w:val="24"/>
        </w:rPr>
      </w:pPr>
    </w:p>
    <w:p w14:paraId="07F8BDE9" w14:textId="77777777" w:rsidR="00E51938" w:rsidRPr="00E51938" w:rsidRDefault="00E51938" w:rsidP="00E51938">
      <w:pPr>
        <w:rPr>
          <w:rFonts w:ascii="Arial" w:hAnsi="Arial" w:cs="Arial"/>
          <w:sz w:val="24"/>
          <w:szCs w:val="24"/>
        </w:rPr>
      </w:pPr>
    </w:p>
    <w:p w14:paraId="78A99F45" w14:textId="77777777" w:rsidR="00E51938" w:rsidRPr="00E51938" w:rsidRDefault="00E51938" w:rsidP="00E51938">
      <w:pPr>
        <w:rPr>
          <w:rFonts w:ascii="Arial" w:hAnsi="Arial" w:cs="Arial"/>
          <w:sz w:val="24"/>
          <w:szCs w:val="24"/>
        </w:rPr>
      </w:pPr>
    </w:p>
    <w:p w14:paraId="03378D5E" w14:textId="77777777" w:rsidR="00E51938" w:rsidRPr="00E51938" w:rsidRDefault="00E51938" w:rsidP="00E51938">
      <w:pPr>
        <w:rPr>
          <w:rFonts w:ascii="Arial" w:hAnsi="Arial" w:cs="Arial"/>
          <w:sz w:val="24"/>
          <w:szCs w:val="24"/>
        </w:rPr>
      </w:pPr>
    </w:p>
    <w:p w14:paraId="2A69A5EE" w14:textId="77777777" w:rsidR="00E51938" w:rsidRPr="00E51938" w:rsidRDefault="00E51938" w:rsidP="00E51938">
      <w:pPr>
        <w:rPr>
          <w:rFonts w:ascii="Arial" w:hAnsi="Arial" w:cs="Arial"/>
          <w:sz w:val="24"/>
          <w:szCs w:val="24"/>
        </w:rPr>
      </w:pPr>
    </w:p>
    <w:p w14:paraId="145314D9" w14:textId="6D4F8AD1" w:rsidR="00E51938" w:rsidRDefault="00E51938" w:rsidP="00E51938">
      <w:pPr>
        <w:rPr>
          <w:rFonts w:ascii="Arial" w:hAnsi="Arial" w:cs="Arial"/>
          <w:sz w:val="24"/>
          <w:szCs w:val="24"/>
        </w:rPr>
      </w:pPr>
      <w:r w:rsidRPr="00E51938">
        <w:rPr>
          <w:rFonts w:ascii="Arial" w:hAnsi="Arial" w:cs="Arial"/>
          <w:sz w:val="24"/>
          <w:szCs w:val="24"/>
        </w:rPr>
        <w:t xml:space="preserve">Lecturer: </w:t>
      </w:r>
      <w:proofErr w:type="spellStart"/>
      <w:r w:rsidRPr="00E51938">
        <w:rPr>
          <w:rFonts w:ascii="Arial" w:hAnsi="Arial" w:cs="Arial"/>
          <w:sz w:val="24"/>
          <w:szCs w:val="24"/>
        </w:rPr>
        <w:t>Dr.</w:t>
      </w:r>
      <w:proofErr w:type="spellEnd"/>
      <w:r w:rsidRPr="00E51938">
        <w:rPr>
          <w:rFonts w:ascii="Arial" w:hAnsi="Arial" w:cs="Arial"/>
          <w:sz w:val="24"/>
          <w:szCs w:val="24"/>
        </w:rPr>
        <w:t xml:space="preserve"> David Jenkins</w:t>
      </w:r>
    </w:p>
    <w:p w14:paraId="3E2C9FCF" w14:textId="77777777" w:rsidR="00AA0B32" w:rsidRDefault="00AA0B32" w:rsidP="00E51938">
      <w:pPr>
        <w:rPr>
          <w:rFonts w:ascii="Arial" w:hAnsi="Arial" w:cs="Arial"/>
          <w:sz w:val="24"/>
          <w:szCs w:val="24"/>
        </w:rPr>
      </w:pPr>
    </w:p>
    <w:p w14:paraId="6297F361" w14:textId="77777777" w:rsidR="00AA0B32" w:rsidRDefault="00AA0B32" w:rsidP="00E51938">
      <w:pPr>
        <w:rPr>
          <w:rFonts w:ascii="Arial" w:hAnsi="Arial" w:cs="Arial"/>
          <w:sz w:val="24"/>
          <w:szCs w:val="24"/>
        </w:rPr>
      </w:pPr>
    </w:p>
    <w:p w14:paraId="6A132B4E" w14:textId="77777777" w:rsidR="00AA0B32" w:rsidRDefault="00AA0B32" w:rsidP="00E51938">
      <w:pPr>
        <w:rPr>
          <w:rFonts w:ascii="Arial" w:hAnsi="Arial" w:cs="Arial"/>
          <w:sz w:val="24"/>
          <w:szCs w:val="24"/>
        </w:rPr>
      </w:pPr>
    </w:p>
    <w:p w14:paraId="200589D4" w14:textId="77777777" w:rsidR="00AA0B32" w:rsidRDefault="00AA0B32" w:rsidP="00E51938">
      <w:pPr>
        <w:rPr>
          <w:rFonts w:ascii="Arial" w:hAnsi="Arial" w:cs="Arial"/>
          <w:sz w:val="24"/>
          <w:szCs w:val="24"/>
        </w:rPr>
      </w:pPr>
    </w:p>
    <w:p w14:paraId="0635D535" w14:textId="77777777" w:rsidR="00AA0B32" w:rsidRDefault="00AA0B32" w:rsidP="00E51938">
      <w:pPr>
        <w:rPr>
          <w:rFonts w:ascii="Arial" w:hAnsi="Arial" w:cs="Arial"/>
          <w:sz w:val="24"/>
          <w:szCs w:val="24"/>
        </w:rPr>
      </w:pPr>
    </w:p>
    <w:p w14:paraId="0B5D6A6B" w14:textId="77777777" w:rsidR="00AA0B32" w:rsidRDefault="00AA0B32" w:rsidP="00E51938">
      <w:pPr>
        <w:rPr>
          <w:rFonts w:ascii="Arial" w:hAnsi="Arial" w:cs="Arial"/>
          <w:sz w:val="24"/>
          <w:szCs w:val="24"/>
        </w:rPr>
      </w:pPr>
    </w:p>
    <w:p w14:paraId="6BEFFCE3" w14:textId="77777777" w:rsidR="00AA0B32" w:rsidRDefault="00AA0B32" w:rsidP="00E51938">
      <w:pPr>
        <w:rPr>
          <w:rFonts w:ascii="Arial" w:hAnsi="Arial" w:cs="Arial"/>
          <w:sz w:val="24"/>
          <w:szCs w:val="24"/>
        </w:rPr>
      </w:pPr>
    </w:p>
    <w:sdt>
      <w:sdtPr>
        <w:rPr>
          <w:rFonts w:asciiTheme="minorHAnsi" w:eastAsiaTheme="minorEastAsia" w:hAnsiTheme="minorHAnsi" w:cstheme="minorBidi"/>
          <w:color w:val="auto"/>
          <w:kern w:val="2"/>
          <w:sz w:val="22"/>
          <w:szCs w:val="22"/>
          <w:lang w:eastAsia="en-US"/>
          <w14:ligatures w14:val="standardContextual"/>
        </w:rPr>
        <w:id w:val="835887036"/>
        <w:docPartObj>
          <w:docPartGallery w:val="Table of Contents"/>
          <w:docPartUnique/>
        </w:docPartObj>
      </w:sdtPr>
      <w:sdtEndPr>
        <w:rPr>
          <w:b/>
          <w:bCs/>
        </w:rPr>
      </w:sdtEndPr>
      <w:sdtContent>
        <w:p w14:paraId="284B0C33" w14:textId="3D3619AA" w:rsidR="00AA0B32" w:rsidRDefault="00AA0B32" w:rsidP="009334B1">
          <w:pPr>
            <w:pStyle w:val="TOCHead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A0B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F9B43E4" w14:textId="77777777" w:rsidR="009334B1" w:rsidRPr="009334B1" w:rsidRDefault="009334B1" w:rsidP="009334B1">
          <w:pPr>
            <w:rPr>
              <w:lang w:eastAsia="en-GB"/>
            </w:rPr>
          </w:pPr>
        </w:p>
        <w:p w14:paraId="58EABDF1" w14:textId="3CF9D418" w:rsidR="006D7D90" w:rsidRDefault="00AA0B3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0776064" w:history="1">
            <w:r w:rsidR="006D7D90"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6D7D90">
              <w:rPr>
                <w:noProof/>
                <w:webHidden/>
              </w:rPr>
              <w:tab/>
            </w:r>
            <w:r w:rsidR="006D7D90">
              <w:rPr>
                <w:noProof/>
                <w:webHidden/>
              </w:rPr>
              <w:fldChar w:fldCharType="begin"/>
            </w:r>
            <w:r w:rsidR="006D7D90">
              <w:rPr>
                <w:noProof/>
                <w:webHidden/>
              </w:rPr>
              <w:instrText xml:space="preserve"> PAGEREF _Toc180776064 \h </w:instrText>
            </w:r>
            <w:r w:rsidR="006D7D90">
              <w:rPr>
                <w:noProof/>
                <w:webHidden/>
              </w:rPr>
            </w:r>
            <w:r w:rsidR="006D7D90">
              <w:rPr>
                <w:noProof/>
                <w:webHidden/>
              </w:rPr>
              <w:fldChar w:fldCharType="separate"/>
            </w:r>
            <w:r w:rsidR="006D7D90">
              <w:rPr>
                <w:noProof/>
                <w:webHidden/>
              </w:rPr>
              <w:t>3</w:t>
            </w:r>
            <w:r w:rsidR="006D7D90">
              <w:rPr>
                <w:noProof/>
                <w:webHidden/>
              </w:rPr>
              <w:fldChar w:fldCharType="end"/>
            </w:r>
          </w:hyperlink>
        </w:p>
        <w:p w14:paraId="40859EF7" w14:textId="41EA48C7" w:rsidR="006D7D90" w:rsidRDefault="006D7D90">
          <w:pPr>
            <w:pStyle w:val="TOC1"/>
            <w:tabs>
              <w:tab w:val="right" w:leader="dot" w:pos="9016"/>
            </w:tabs>
            <w:rPr>
              <w:rFonts w:eastAsiaTheme="minorEastAsia"/>
              <w:noProof/>
              <w:sz w:val="24"/>
              <w:szCs w:val="24"/>
              <w:lang w:eastAsia="en-GB"/>
            </w:rPr>
          </w:pPr>
          <w:hyperlink w:anchor="_Toc180776065"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Corporate Governance Practices</w:t>
            </w:r>
            <w:r>
              <w:rPr>
                <w:noProof/>
                <w:webHidden/>
              </w:rPr>
              <w:tab/>
            </w:r>
            <w:r>
              <w:rPr>
                <w:noProof/>
                <w:webHidden/>
              </w:rPr>
              <w:fldChar w:fldCharType="begin"/>
            </w:r>
            <w:r>
              <w:rPr>
                <w:noProof/>
                <w:webHidden/>
              </w:rPr>
              <w:instrText xml:space="preserve"> PAGEREF _Toc180776065 \h </w:instrText>
            </w:r>
            <w:r>
              <w:rPr>
                <w:noProof/>
                <w:webHidden/>
              </w:rPr>
            </w:r>
            <w:r>
              <w:rPr>
                <w:noProof/>
                <w:webHidden/>
              </w:rPr>
              <w:fldChar w:fldCharType="separate"/>
            </w:r>
            <w:r>
              <w:rPr>
                <w:noProof/>
                <w:webHidden/>
              </w:rPr>
              <w:t>3</w:t>
            </w:r>
            <w:r>
              <w:rPr>
                <w:noProof/>
                <w:webHidden/>
              </w:rPr>
              <w:fldChar w:fldCharType="end"/>
            </w:r>
          </w:hyperlink>
        </w:p>
        <w:p w14:paraId="61305075" w14:textId="76F875A2" w:rsidR="006D7D90" w:rsidRDefault="006D7D90">
          <w:pPr>
            <w:pStyle w:val="TOC1"/>
            <w:tabs>
              <w:tab w:val="right" w:leader="dot" w:pos="9016"/>
            </w:tabs>
            <w:rPr>
              <w:rFonts w:eastAsiaTheme="minorEastAsia"/>
              <w:noProof/>
              <w:sz w:val="24"/>
              <w:szCs w:val="24"/>
              <w:lang w:eastAsia="en-GB"/>
            </w:rPr>
          </w:pPr>
          <w:hyperlink w:anchor="_Toc180776066" w:history="1">
            <w:r w:rsidRPr="008363A8">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Governance Variables for Compass Group</w:t>
            </w:r>
            <w:r>
              <w:rPr>
                <w:noProof/>
                <w:webHidden/>
              </w:rPr>
              <w:tab/>
            </w:r>
            <w:r>
              <w:rPr>
                <w:noProof/>
                <w:webHidden/>
              </w:rPr>
              <w:fldChar w:fldCharType="begin"/>
            </w:r>
            <w:r>
              <w:rPr>
                <w:noProof/>
                <w:webHidden/>
              </w:rPr>
              <w:instrText xml:space="preserve"> PAGEREF _Toc180776066 \h </w:instrText>
            </w:r>
            <w:r>
              <w:rPr>
                <w:noProof/>
                <w:webHidden/>
              </w:rPr>
            </w:r>
            <w:r>
              <w:rPr>
                <w:noProof/>
                <w:webHidden/>
              </w:rPr>
              <w:fldChar w:fldCharType="separate"/>
            </w:r>
            <w:r>
              <w:rPr>
                <w:noProof/>
                <w:webHidden/>
              </w:rPr>
              <w:t>4</w:t>
            </w:r>
            <w:r>
              <w:rPr>
                <w:noProof/>
                <w:webHidden/>
              </w:rPr>
              <w:fldChar w:fldCharType="end"/>
            </w:r>
          </w:hyperlink>
        </w:p>
        <w:p w14:paraId="158B7378" w14:textId="67EC5114" w:rsidR="006D7D90" w:rsidRDefault="006D7D90">
          <w:pPr>
            <w:pStyle w:val="TOC2"/>
            <w:tabs>
              <w:tab w:val="right" w:leader="dot" w:pos="9016"/>
            </w:tabs>
            <w:rPr>
              <w:rFonts w:eastAsiaTheme="minorEastAsia"/>
              <w:noProof/>
              <w:sz w:val="24"/>
              <w:szCs w:val="24"/>
              <w:lang w:eastAsia="en-GB"/>
            </w:rPr>
          </w:pPr>
          <w:hyperlink w:anchor="_Toc180776067"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Board Composition</w:t>
            </w:r>
            <w:r>
              <w:rPr>
                <w:noProof/>
                <w:webHidden/>
              </w:rPr>
              <w:tab/>
            </w:r>
            <w:r>
              <w:rPr>
                <w:noProof/>
                <w:webHidden/>
              </w:rPr>
              <w:fldChar w:fldCharType="begin"/>
            </w:r>
            <w:r>
              <w:rPr>
                <w:noProof/>
                <w:webHidden/>
              </w:rPr>
              <w:instrText xml:space="preserve"> PAGEREF _Toc180776067 \h </w:instrText>
            </w:r>
            <w:r>
              <w:rPr>
                <w:noProof/>
                <w:webHidden/>
              </w:rPr>
            </w:r>
            <w:r>
              <w:rPr>
                <w:noProof/>
                <w:webHidden/>
              </w:rPr>
              <w:fldChar w:fldCharType="separate"/>
            </w:r>
            <w:r>
              <w:rPr>
                <w:noProof/>
                <w:webHidden/>
              </w:rPr>
              <w:t>4</w:t>
            </w:r>
            <w:r>
              <w:rPr>
                <w:noProof/>
                <w:webHidden/>
              </w:rPr>
              <w:fldChar w:fldCharType="end"/>
            </w:r>
          </w:hyperlink>
        </w:p>
        <w:p w14:paraId="21D989B4" w14:textId="37EADAED" w:rsidR="006D7D90" w:rsidRDefault="006D7D90">
          <w:pPr>
            <w:pStyle w:val="TOC2"/>
            <w:tabs>
              <w:tab w:val="right" w:leader="dot" w:pos="9016"/>
            </w:tabs>
            <w:rPr>
              <w:rFonts w:eastAsiaTheme="minorEastAsia"/>
              <w:noProof/>
              <w:sz w:val="24"/>
              <w:szCs w:val="24"/>
              <w:lang w:eastAsia="en-GB"/>
            </w:rPr>
          </w:pPr>
          <w:hyperlink w:anchor="_Toc180776068"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Audit Committee Effectiveness</w:t>
            </w:r>
            <w:r>
              <w:rPr>
                <w:noProof/>
                <w:webHidden/>
              </w:rPr>
              <w:tab/>
            </w:r>
            <w:r>
              <w:rPr>
                <w:noProof/>
                <w:webHidden/>
              </w:rPr>
              <w:fldChar w:fldCharType="begin"/>
            </w:r>
            <w:r>
              <w:rPr>
                <w:noProof/>
                <w:webHidden/>
              </w:rPr>
              <w:instrText xml:space="preserve"> PAGEREF _Toc180776068 \h </w:instrText>
            </w:r>
            <w:r>
              <w:rPr>
                <w:noProof/>
                <w:webHidden/>
              </w:rPr>
            </w:r>
            <w:r>
              <w:rPr>
                <w:noProof/>
                <w:webHidden/>
              </w:rPr>
              <w:fldChar w:fldCharType="separate"/>
            </w:r>
            <w:r>
              <w:rPr>
                <w:noProof/>
                <w:webHidden/>
              </w:rPr>
              <w:t>4</w:t>
            </w:r>
            <w:r>
              <w:rPr>
                <w:noProof/>
                <w:webHidden/>
              </w:rPr>
              <w:fldChar w:fldCharType="end"/>
            </w:r>
          </w:hyperlink>
        </w:p>
        <w:p w14:paraId="31848054" w14:textId="21ED1559" w:rsidR="006D7D90" w:rsidRDefault="006D7D90">
          <w:pPr>
            <w:pStyle w:val="TOC2"/>
            <w:tabs>
              <w:tab w:val="right" w:leader="dot" w:pos="9016"/>
            </w:tabs>
            <w:rPr>
              <w:rFonts w:eastAsiaTheme="minorEastAsia"/>
              <w:noProof/>
              <w:sz w:val="24"/>
              <w:szCs w:val="24"/>
              <w:lang w:eastAsia="en-GB"/>
            </w:rPr>
          </w:pPr>
          <w:hyperlink w:anchor="_Toc180776069"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Ownership Structure</w:t>
            </w:r>
            <w:r>
              <w:rPr>
                <w:noProof/>
                <w:webHidden/>
              </w:rPr>
              <w:tab/>
            </w:r>
            <w:r>
              <w:rPr>
                <w:noProof/>
                <w:webHidden/>
              </w:rPr>
              <w:fldChar w:fldCharType="begin"/>
            </w:r>
            <w:r>
              <w:rPr>
                <w:noProof/>
                <w:webHidden/>
              </w:rPr>
              <w:instrText xml:space="preserve"> PAGEREF _Toc180776069 \h </w:instrText>
            </w:r>
            <w:r>
              <w:rPr>
                <w:noProof/>
                <w:webHidden/>
              </w:rPr>
            </w:r>
            <w:r>
              <w:rPr>
                <w:noProof/>
                <w:webHidden/>
              </w:rPr>
              <w:fldChar w:fldCharType="separate"/>
            </w:r>
            <w:r>
              <w:rPr>
                <w:noProof/>
                <w:webHidden/>
              </w:rPr>
              <w:t>4</w:t>
            </w:r>
            <w:r>
              <w:rPr>
                <w:noProof/>
                <w:webHidden/>
              </w:rPr>
              <w:fldChar w:fldCharType="end"/>
            </w:r>
          </w:hyperlink>
        </w:p>
        <w:p w14:paraId="433BEA5C" w14:textId="69B32897" w:rsidR="006D7D90" w:rsidRDefault="006D7D90">
          <w:pPr>
            <w:pStyle w:val="TOC2"/>
            <w:tabs>
              <w:tab w:val="right" w:leader="dot" w:pos="9016"/>
            </w:tabs>
            <w:rPr>
              <w:rFonts w:eastAsiaTheme="minorEastAsia"/>
              <w:noProof/>
              <w:sz w:val="24"/>
              <w:szCs w:val="24"/>
              <w:lang w:eastAsia="en-GB"/>
            </w:rPr>
          </w:pPr>
          <w:hyperlink w:anchor="_Toc180776070" w:history="1">
            <w:r w:rsidRPr="008363A8">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Compensation</w:t>
            </w:r>
            <w:r>
              <w:rPr>
                <w:noProof/>
                <w:webHidden/>
              </w:rPr>
              <w:tab/>
            </w:r>
            <w:r>
              <w:rPr>
                <w:noProof/>
                <w:webHidden/>
              </w:rPr>
              <w:fldChar w:fldCharType="begin"/>
            </w:r>
            <w:r>
              <w:rPr>
                <w:noProof/>
                <w:webHidden/>
              </w:rPr>
              <w:instrText xml:space="preserve"> PAGEREF _Toc180776070 \h </w:instrText>
            </w:r>
            <w:r>
              <w:rPr>
                <w:noProof/>
                <w:webHidden/>
              </w:rPr>
            </w:r>
            <w:r>
              <w:rPr>
                <w:noProof/>
                <w:webHidden/>
              </w:rPr>
              <w:fldChar w:fldCharType="separate"/>
            </w:r>
            <w:r>
              <w:rPr>
                <w:noProof/>
                <w:webHidden/>
              </w:rPr>
              <w:t>4</w:t>
            </w:r>
            <w:r>
              <w:rPr>
                <w:noProof/>
                <w:webHidden/>
              </w:rPr>
              <w:fldChar w:fldCharType="end"/>
            </w:r>
          </w:hyperlink>
        </w:p>
        <w:p w14:paraId="6C9AAF13" w14:textId="32B8548A" w:rsidR="006D7D90" w:rsidRDefault="006D7D90">
          <w:pPr>
            <w:pStyle w:val="TOC2"/>
            <w:tabs>
              <w:tab w:val="right" w:leader="dot" w:pos="9016"/>
            </w:tabs>
            <w:rPr>
              <w:rFonts w:eastAsiaTheme="minorEastAsia"/>
              <w:noProof/>
              <w:sz w:val="24"/>
              <w:szCs w:val="24"/>
              <w:lang w:eastAsia="en-GB"/>
            </w:rPr>
          </w:pPr>
          <w:hyperlink w:anchor="_Toc180776071"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 and Sustainability</w:t>
            </w:r>
            <w:r>
              <w:rPr>
                <w:noProof/>
                <w:webHidden/>
              </w:rPr>
              <w:tab/>
            </w:r>
            <w:r>
              <w:rPr>
                <w:noProof/>
                <w:webHidden/>
              </w:rPr>
              <w:fldChar w:fldCharType="begin"/>
            </w:r>
            <w:r>
              <w:rPr>
                <w:noProof/>
                <w:webHidden/>
              </w:rPr>
              <w:instrText xml:space="preserve"> PAGEREF _Toc180776071 \h </w:instrText>
            </w:r>
            <w:r>
              <w:rPr>
                <w:noProof/>
                <w:webHidden/>
              </w:rPr>
            </w:r>
            <w:r>
              <w:rPr>
                <w:noProof/>
                <w:webHidden/>
              </w:rPr>
              <w:fldChar w:fldCharType="separate"/>
            </w:r>
            <w:r>
              <w:rPr>
                <w:noProof/>
                <w:webHidden/>
              </w:rPr>
              <w:t>4</w:t>
            </w:r>
            <w:r>
              <w:rPr>
                <w:noProof/>
                <w:webHidden/>
              </w:rPr>
              <w:fldChar w:fldCharType="end"/>
            </w:r>
          </w:hyperlink>
        </w:p>
        <w:p w14:paraId="053B5C13" w14:textId="2F14CAC6" w:rsidR="006D7D90" w:rsidRDefault="006D7D90">
          <w:pPr>
            <w:pStyle w:val="TOC2"/>
            <w:tabs>
              <w:tab w:val="right" w:leader="dot" w:pos="9016"/>
            </w:tabs>
            <w:rPr>
              <w:rFonts w:eastAsiaTheme="minorEastAsia"/>
              <w:noProof/>
              <w:sz w:val="24"/>
              <w:szCs w:val="24"/>
              <w:lang w:eastAsia="en-GB"/>
            </w:rPr>
          </w:pPr>
          <w:hyperlink w:anchor="_Toc180776072"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Shareholder Rights</w:t>
            </w:r>
            <w:r>
              <w:rPr>
                <w:noProof/>
                <w:webHidden/>
              </w:rPr>
              <w:tab/>
            </w:r>
            <w:r>
              <w:rPr>
                <w:noProof/>
                <w:webHidden/>
              </w:rPr>
              <w:fldChar w:fldCharType="begin"/>
            </w:r>
            <w:r>
              <w:rPr>
                <w:noProof/>
                <w:webHidden/>
              </w:rPr>
              <w:instrText xml:space="preserve"> PAGEREF _Toc180776072 \h </w:instrText>
            </w:r>
            <w:r>
              <w:rPr>
                <w:noProof/>
                <w:webHidden/>
              </w:rPr>
            </w:r>
            <w:r>
              <w:rPr>
                <w:noProof/>
                <w:webHidden/>
              </w:rPr>
              <w:fldChar w:fldCharType="separate"/>
            </w:r>
            <w:r>
              <w:rPr>
                <w:noProof/>
                <w:webHidden/>
              </w:rPr>
              <w:t>5</w:t>
            </w:r>
            <w:r>
              <w:rPr>
                <w:noProof/>
                <w:webHidden/>
              </w:rPr>
              <w:fldChar w:fldCharType="end"/>
            </w:r>
          </w:hyperlink>
        </w:p>
        <w:p w14:paraId="5147F53B" w14:textId="0025B6D6" w:rsidR="006D7D90" w:rsidRDefault="006D7D90">
          <w:pPr>
            <w:pStyle w:val="TOC2"/>
            <w:tabs>
              <w:tab w:val="right" w:leader="dot" w:pos="9016"/>
            </w:tabs>
            <w:rPr>
              <w:rFonts w:eastAsiaTheme="minorEastAsia"/>
              <w:noProof/>
              <w:sz w:val="24"/>
              <w:szCs w:val="24"/>
              <w:lang w:eastAsia="en-GB"/>
            </w:rPr>
          </w:pPr>
          <w:hyperlink w:anchor="_Toc180776073"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Transparency and Disclosure</w:t>
            </w:r>
            <w:r>
              <w:rPr>
                <w:noProof/>
                <w:webHidden/>
              </w:rPr>
              <w:tab/>
            </w:r>
            <w:r>
              <w:rPr>
                <w:noProof/>
                <w:webHidden/>
              </w:rPr>
              <w:fldChar w:fldCharType="begin"/>
            </w:r>
            <w:r>
              <w:rPr>
                <w:noProof/>
                <w:webHidden/>
              </w:rPr>
              <w:instrText xml:space="preserve"> PAGEREF _Toc180776073 \h </w:instrText>
            </w:r>
            <w:r>
              <w:rPr>
                <w:noProof/>
                <w:webHidden/>
              </w:rPr>
            </w:r>
            <w:r>
              <w:rPr>
                <w:noProof/>
                <w:webHidden/>
              </w:rPr>
              <w:fldChar w:fldCharType="separate"/>
            </w:r>
            <w:r>
              <w:rPr>
                <w:noProof/>
                <w:webHidden/>
              </w:rPr>
              <w:t>5</w:t>
            </w:r>
            <w:r>
              <w:rPr>
                <w:noProof/>
                <w:webHidden/>
              </w:rPr>
              <w:fldChar w:fldCharType="end"/>
            </w:r>
          </w:hyperlink>
        </w:p>
        <w:p w14:paraId="5097B857" w14:textId="054E2CE6" w:rsidR="006D7D90" w:rsidRDefault="006D7D90">
          <w:pPr>
            <w:pStyle w:val="TOC1"/>
            <w:tabs>
              <w:tab w:val="right" w:leader="dot" w:pos="9016"/>
            </w:tabs>
            <w:rPr>
              <w:rFonts w:eastAsiaTheme="minorEastAsia"/>
              <w:noProof/>
              <w:sz w:val="24"/>
              <w:szCs w:val="24"/>
              <w:lang w:eastAsia="en-GB"/>
            </w:rPr>
          </w:pPr>
          <w:hyperlink w:anchor="_Toc180776074"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Between Corporate Governance Practices and Financial Performance</w:t>
            </w:r>
            <w:r>
              <w:rPr>
                <w:noProof/>
                <w:webHidden/>
              </w:rPr>
              <w:tab/>
            </w:r>
            <w:r>
              <w:rPr>
                <w:noProof/>
                <w:webHidden/>
              </w:rPr>
              <w:fldChar w:fldCharType="begin"/>
            </w:r>
            <w:r>
              <w:rPr>
                <w:noProof/>
                <w:webHidden/>
              </w:rPr>
              <w:instrText xml:space="preserve"> PAGEREF _Toc180776074 \h </w:instrText>
            </w:r>
            <w:r>
              <w:rPr>
                <w:noProof/>
                <w:webHidden/>
              </w:rPr>
            </w:r>
            <w:r>
              <w:rPr>
                <w:noProof/>
                <w:webHidden/>
              </w:rPr>
              <w:fldChar w:fldCharType="separate"/>
            </w:r>
            <w:r>
              <w:rPr>
                <w:noProof/>
                <w:webHidden/>
              </w:rPr>
              <w:t>5</w:t>
            </w:r>
            <w:r>
              <w:rPr>
                <w:noProof/>
                <w:webHidden/>
              </w:rPr>
              <w:fldChar w:fldCharType="end"/>
            </w:r>
          </w:hyperlink>
        </w:p>
        <w:p w14:paraId="6787CEA0" w14:textId="65FF3176" w:rsidR="006D7D90" w:rsidRDefault="006D7D90">
          <w:pPr>
            <w:pStyle w:val="TOC1"/>
            <w:tabs>
              <w:tab w:val="right" w:leader="dot" w:pos="9016"/>
            </w:tabs>
            <w:rPr>
              <w:rFonts w:eastAsiaTheme="minorEastAsia"/>
              <w:noProof/>
              <w:sz w:val="24"/>
              <w:szCs w:val="24"/>
              <w:lang w:eastAsia="en-GB"/>
            </w:rPr>
          </w:pPr>
          <w:hyperlink w:anchor="_Toc180776075"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_Toc180776075 \h </w:instrText>
            </w:r>
            <w:r>
              <w:rPr>
                <w:noProof/>
                <w:webHidden/>
              </w:rPr>
            </w:r>
            <w:r>
              <w:rPr>
                <w:noProof/>
                <w:webHidden/>
              </w:rPr>
              <w:fldChar w:fldCharType="separate"/>
            </w:r>
            <w:r>
              <w:rPr>
                <w:noProof/>
                <w:webHidden/>
              </w:rPr>
              <w:t>7</w:t>
            </w:r>
            <w:r>
              <w:rPr>
                <w:noProof/>
                <w:webHidden/>
              </w:rPr>
              <w:fldChar w:fldCharType="end"/>
            </w:r>
          </w:hyperlink>
        </w:p>
        <w:p w14:paraId="600EB4FA" w14:textId="3F866082" w:rsidR="006D7D90" w:rsidRDefault="006D7D90">
          <w:pPr>
            <w:pStyle w:val="TOC1"/>
            <w:tabs>
              <w:tab w:val="right" w:leader="dot" w:pos="9016"/>
            </w:tabs>
            <w:rPr>
              <w:rFonts w:eastAsiaTheme="minorEastAsia"/>
              <w:noProof/>
              <w:sz w:val="24"/>
              <w:szCs w:val="24"/>
              <w:lang w:eastAsia="en-GB"/>
            </w:rPr>
          </w:pPr>
          <w:hyperlink w:anchor="_Toc180776076" w:history="1">
            <w:r w:rsidRPr="008363A8">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Pr>
                <w:noProof/>
                <w:webHidden/>
              </w:rPr>
              <w:tab/>
            </w:r>
            <w:r>
              <w:rPr>
                <w:noProof/>
                <w:webHidden/>
              </w:rPr>
              <w:fldChar w:fldCharType="begin"/>
            </w:r>
            <w:r>
              <w:rPr>
                <w:noProof/>
                <w:webHidden/>
              </w:rPr>
              <w:instrText xml:space="preserve"> PAGEREF _Toc180776076 \h </w:instrText>
            </w:r>
            <w:r>
              <w:rPr>
                <w:noProof/>
                <w:webHidden/>
              </w:rPr>
            </w:r>
            <w:r>
              <w:rPr>
                <w:noProof/>
                <w:webHidden/>
              </w:rPr>
              <w:fldChar w:fldCharType="separate"/>
            </w:r>
            <w:r>
              <w:rPr>
                <w:noProof/>
                <w:webHidden/>
              </w:rPr>
              <w:t>8</w:t>
            </w:r>
            <w:r>
              <w:rPr>
                <w:noProof/>
                <w:webHidden/>
              </w:rPr>
              <w:fldChar w:fldCharType="end"/>
            </w:r>
          </w:hyperlink>
        </w:p>
        <w:p w14:paraId="11D0C397" w14:textId="2F41C765" w:rsidR="00AA0B32" w:rsidRDefault="00AA0B32">
          <w:r>
            <w:rPr>
              <w:b/>
              <w:bCs/>
            </w:rPr>
            <w:fldChar w:fldCharType="end"/>
          </w:r>
        </w:p>
      </w:sdtContent>
    </w:sdt>
    <w:p w14:paraId="078B4820" w14:textId="77777777" w:rsidR="00AA0B32" w:rsidRDefault="00AA0B32" w:rsidP="00E51938">
      <w:pPr>
        <w:rPr>
          <w:rFonts w:ascii="Arial" w:hAnsi="Arial" w:cs="Arial"/>
          <w:sz w:val="24"/>
          <w:szCs w:val="24"/>
        </w:rPr>
      </w:pPr>
    </w:p>
    <w:p w14:paraId="452CE47C" w14:textId="77777777" w:rsidR="0043142C" w:rsidRDefault="0043142C" w:rsidP="00E51938">
      <w:pPr>
        <w:rPr>
          <w:rFonts w:ascii="Arial" w:hAnsi="Arial" w:cs="Arial"/>
          <w:sz w:val="24"/>
          <w:szCs w:val="24"/>
        </w:rPr>
      </w:pPr>
    </w:p>
    <w:p w14:paraId="2EF9E1BA" w14:textId="77777777" w:rsidR="0043142C" w:rsidRDefault="0043142C" w:rsidP="00E51938">
      <w:pPr>
        <w:rPr>
          <w:rFonts w:ascii="Arial" w:hAnsi="Arial" w:cs="Arial"/>
          <w:sz w:val="24"/>
          <w:szCs w:val="24"/>
        </w:rPr>
      </w:pPr>
    </w:p>
    <w:p w14:paraId="3E5C4675" w14:textId="77777777" w:rsidR="0043142C" w:rsidRDefault="0043142C" w:rsidP="00E51938">
      <w:pPr>
        <w:rPr>
          <w:rFonts w:ascii="Arial" w:hAnsi="Arial" w:cs="Arial"/>
          <w:sz w:val="24"/>
          <w:szCs w:val="24"/>
        </w:rPr>
      </w:pPr>
    </w:p>
    <w:p w14:paraId="487D09E2" w14:textId="77777777" w:rsidR="0043142C" w:rsidRDefault="0043142C" w:rsidP="00E51938">
      <w:pPr>
        <w:rPr>
          <w:rFonts w:ascii="Arial" w:hAnsi="Arial" w:cs="Arial"/>
          <w:sz w:val="24"/>
          <w:szCs w:val="24"/>
        </w:rPr>
      </w:pPr>
    </w:p>
    <w:p w14:paraId="5889993A" w14:textId="77777777" w:rsidR="0043142C" w:rsidRDefault="0043142C" w:rsidP="00E51938">
      <w:pPr>
        <w:rPr>
          <w:rFonts w:ascii="Arial" w:hAnsi="Arial" w:cs="Arial"/>
          <w:sz w:val="24"/>
          <w:szCs w:val="24"/>
        </w:rPr>
      </w:pPr>
    </w:p>
    <w:p w14:paraId="64FE8501" w14:textId="77777777" w:rsidR="0043142C" w:rsidRDefault="0043142C" w:rsidP="00E51938">
      <w:pPr>
        <w:rPr>
          <w:rFonts w:ascii="Arial" w:hAnsi="Arial" w:cs="Arial"/>
          <w:sz w:val="24"/>
          <w:szCs w:val="24"/>
        </w:rPr>
      </w:pPr>
    </w:p>
    <w:p w14:paraId="4FF11A3B" w14:textId="77777777" w:rsidR="0043142C" w:rsidRDefault="0043142C" w:rsidP="00E51938">
      <w:pPr>
        <w:rPr>
          <w:rFonts w:ascii="Arial" w:hAnsi="Arial" w:cs="Arial"/>
          <w:sz w:val="24"/>
          <w:szCs w:val="24"/>
        </w:rPr>
      </w:pPr>
    </w:p>
    <w:p w14:paraId="52DB1BD4" w14:textId="77777777" w:rsidR="0043142C" w:rsidRDefault="0043142C" w:rsidP="00E51938">
      <w:pPr>
        <w:rPr>
          <w:rFonts w:ascii="Arial" w:hAnsi="Arial" w:cs="Arial"/>
          <w:sz w:val="24"/>
          <w:szCs w:val="24"/>
        </w:rPr>
      </w:pPr>
    </w:p>
    <w:p w14:paraId="1007B9A6" w14:textId="77777777" w:rsidR="0043142C" w:rsidRDefault="0043142C" w:rsidP="00E51938">
      <w:pPr>
        <w:rPr>
          <w:rFonts w:ascii="Arial" w:hAnsi="Arial" w:cs="Arial"/>
          <w:sz w:val="24"/>
          <w:szCs w:val="24"/>
        </w:rPr>
      </w:pPr>
    </w:p>
    <w:p w14:paraId="5B5CBCEE" w14:textId="77777777" w:rsidR="0043142C" w:rsidRDefault="0043142C" w:rsidP="00E51938">
      <w:pPr>
        <w:rPr>
          <w:rFonts w:ascii="Arial" w:hAnsi="Arial" w:cs="Arial"/>
          <w:sz w:val="24"/>
          <w:szCs w:val="24"/>
        </w:rPr>
      </w:pPr>
    </w:p>
    <w:p w14:paraId="2A80B6E2" w14:textId="77777777" w:rsidR="0043142C" w:rsidRDefault="0043142C" w:rsidP="00E51938">
      <w:pPr>
        <w:rPr>
          <w:rFonts w:ascii="Arial" w:hAnsi="Arial" w:cs="Arial"/>
          <w:sz w:val="24"/>
          <w:szCs w:val="24"/>
        </w:rPr>
      </w:pPr>
    </w:p>
    <w:p w14:paraId="3B6D0D92" w14:textId="77777777" w:rsidR="0043142C" w:rsidRDefault="0043142C" w:rsidP="00E51938">
      <w:pPr>
        <w:rPr>
          <w:rFonts w:ascii="Arial" w:hAnsi="Arial" w:cs="Arial"/>
          <w:sz w:val="24"/>
          <w:szCs w:val="24"/>
        </w:rPr>
      </w:pPr>
    </w:p>
    <w:p w14:paraId="3AB65C23" w14:textId="0D6C1602" w:rsidR="7BCDFF60" w:rsidRDefault="7BCDFF60" w:rsidP="7BCDFF60">
      <w:pPr>
        <w:rPr>
          <w:rFonts w:ascii="Arial" w:hAnsi="Arial" w:cs="Arial"/>
          <w:sz w:val="24"/>
          <w:szCs w:val="24"/>
        </w:rPr>
      </w:pPr>
    </w:p>
    <w:p w14:paraId="085325F3" w14:textId="77777777" w:rsidR="0043142C" w:rsidRDefault="0043142C" w:rsidP="00E51938">
      <w:pPr>
        <w:rPr>
          <w:rFonts w:ascii="Arial" w:hAnsi="Arial" w:cs="Arial"/>
          <w:sz w:val="24"/>
          <w:szCs w:val="24"/>
        </w:rPr>
      </w:pPr>
    </w:p>
    <w:p w14:paraId="66F74471" w14:textId="57FCF4C1" w:rsidR="00230383" w:rsidRPr="00D00C32" w:rsidRDefault="00230383" w:rsidP="00230383">
      <w:pPr>
        <w:pStyle w:val="Heading1"/>
        <w:spacing w:line="360" w:lineRule="auto"/>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80776064"/>
      <w:r w:rsidRPr="00D00C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68609FFE" w14:textId="75087AF1" w:rsidR="007F59A6" w:rsidRPr="00D00C32" w:rsidRDefault="007F59A6" w:rsidP="00A259EE">
      <w:pPr>
        <w:jc w:val="both"/>
        <w:rPr>
          <w:rFonts w:ascii="Arial" w:hAnsi="Arial" w:cs="Arial"/>
          <w:sz w:val="24"/>
          <w:szCs w:val="24"/>
        </w:rPr>
      </w:pPr>
      <w:r w:rsidRPr="00D00C32">
        <w:rPr>
          <w:rFonts w:ascii="Arial" w:hAnsi="Arial" w:cs="Arial"/>
          <w:sz w:val="24"/>
          <w:szCs w:val="24"/>
        </w:rPr>
        <w:t xml:space="preserve">Compass Group PLC is a British multinational contract food services company, one of the largest </w:t>
      </w:r>
      <w:r w:rsidR="005F3BEC" w:rsidRPr="00D00C32">
        <w:rPr>
          <w:rFonts w:ascii="Arial" w:hAnsi="Arial" w:cs="Arial"/>
          <w:sz w:val="24"/>
          <w:szCs w:val="24"/>
        </w:rPr>
        <w:t>gl</w:t>
      </w:r>
      <w:r w:rsidRPr="00D00C32">
        <w:rPr>
          <w:rFonts w:ascii="Arial" w:hAnsi="Arial" w:cs="Arial"/>
          <w:sz w:val="24"/>
          <w:szCs w:val="24"/>
        </w:rPr>
        <w:t>o</w:t>
      </w:r>
      <w:r w:rsidR="005F3BEC" w:rsidRPr="00D00C32">
        <w:rPr>
          <w:rFonts w:ascii="Arial" w:hAnsi="Arial" w:cs="Arial"/>
          <w:sz w:val="24"/>
          <w:szCs w:val="24"/>
        </w:rPr>
        <w:t>ba</w:t>
      </w:r>
      <w:r w:rsidRPr="00D00C32">
        <w:rPr>
          <w:rFonts w:ascii="Arial" w:hAnsi="Arial" w:cs="Arial"/>
          <w:sz w:val="24"/>
          <w:szCs w:val="24"/>
        </w:rPr>
        <w:t>l</w:t>
      </w:r>
      <w:r w:rsidR="005F3BEC" w:rsidRPr="00D00C32">
        <w:rPr>
          <w:rFonts w:ascii="Arial" w:hAnsi="Arial" w:cs="Arial"/>
          <w:sz w:val="24"/>
          <w:szCs w:val="24"/>
        </w:rPr>
        <w:t>ly</w:t>
      </w:r>
      <w:r w:rsidRPr="00D00C32">
        <w:rPr>
          <w:rFonts w:ascii="Arial" w:hAnsi="Arial" w:cs="Arial"/>
          <w:sz w:val="24"/>
          <w:szCs w:val="24"/>
        </w:rPr>
        <w:t>. Founded in 1941 as Factory Canteens Ltd</w:t>
      </w:r>
      <w:r w:rsidR="005F3BEC" w:rsidRPr="00D00C32">
        <w:rPr>
          <w:rFonts w:ascii="Arial" w:hAnsi="Arial" w:cs="Arial"/>
          <w:sz w:val="24"/>
          <w:szCs w:val="24"/>
        </w:rPr>
        <w:t xml:space="preserve"> to</w:t>
      </w:r>
      <w:r w:rsidRPr="00D00C32">
        <w:rPr>
          <w:rFonts w:ascii="Arial" w:hAnsi="Arial" w:cs="Arial"/>
          <w:sz w:val="24"/>
          <w:szCs w:val="24"/>
        </w:rPr>
        <w:t xml:space="preserve"> provid</w:t>
      </w:r>
      <w:r w:rsidR="005F3BEC" w:rsidRPr="00D00C32">
        <w:rPr>
          <w:rFonts w:ascii="Arial" w:hAnsi="Arial" w:cs="Arial"/>
          <w:sz w:val="24"/>
          <w:szCs w:val="24"/>
        </w:rPr>
        <w:t>e</w:t>
      </w:r>
      <w:r w:rsidRPr="00D00C32">
        <w:rPr>
          <w:rFonts w:ascii="Arial" w:hAnsi="Arial" w:cs="Arial"/>
          <w:sz w:val="24"/>
          <w:szCs w:val="24"/>
        </w:rPr>
        <w:t xml:space="preserve"> meals during World War II, it rebranded as Compass Group in 1987.</w:t>
      </w:r>
      <w:r w:rsidR="005F3BEC" w:rsidRPr="00D00C32">
        <w:rPr>
          <w:rFonts w:ascii="Arial" w:hAnsi="Arial" w:cs="Arial"/>
          <w:sz w:val="24"/>
          <w:szCs w:val="24"/>
        </w:rPr>
        <w:t xml:space="preserve">  </w:t>
      </w:r>
      <w:r w:rsidRPr="00D00C32">
        <w:rPr>
          <w:rFonts w:ascii="Arial" w:hAnsi="Arial" w:cs="Arial"/>
          <w:sz w:val="24"/>
          <w:szCs w:val="24"/>
        </w:rPr>
        <w:t>The compa</w:t>
      </w:r>
      <w:r w:rsidR="005F3BEC" w:rsidRPr="00D00C32">
        <w:rPr>
          <w:rFonts w:ascii="Arial" w:hAnsi="Arial" w:cs="Arial"/>
          <w:sz w:val="24"/>
          <w:szCs w:val="24"/>
        </w:rPr>
        <w:t>ny</w:t>
      </w:r>
      <w:r w:rsidRPr="00D00C32">
        <w:rPr>
          <w:rFonts w:ascii="Arial" w:hAnsi="Arial" w:cs="Arial"/>
          <w:sz w:val="24"/>
          <w:szCs w:val="24"/>
        </w:rPr>
        <w:t xml:space="preserve"> </w:t>
      </w:r>
      <w:r w:rsidR="005F3BEC" w:rsidRPr="00D00C32">
        <w:rPr>
          <w:rFonts w:ascii="Arial" w:hAnsi="Arial" w:cs="Arial"/>
          <w:sz w:val="24"/>
          <w:szCs w:val="24"/>
        </w:rPr>
        <w:t>ex</w:t>
      </w:r>
      <w:r w:rsidRPr="00D00C32">
        <w:rPr>
          <w:rFonts w:ascii="Arial" w:hAnsi="Arial" w:cs="Arial"/>
          <w:sz w:val="24"/>
          <w:szCs w:val="24"/>
        </w:rPr>
        <w:t>p</w:t>
      </w:r>
      <w:r w:rsidR="005F3BEC" w:rsidRPr="00D00C32">
        <w:rPr>
          <w:rFonts w:ascii="Arial" w:hAnsi="Arial" w:cs="Arial"/>
          <w:sz w:val="24"/>
          <w:szCs w:val="24"/>
        </w:rPr>
        <w:t>and</w:t>
      </w:r>
      <w:r w:rsidRPr="00D00C32">
        <w:rPr>
          <w:rFonts w:ascii="Arial" w:hAnsi="Arial" w:cs="Arial"/>
          <w:sz w:val="24"/>
          <w:szCs w:val="24"/>
        </w:rPr>
        <w:t>e</w:t>
      </w:r>
      <w:r w:rsidR="005F3BEC" w:rsidRPr="00D00C32">
        <w:rPr>
          <w:rFonts w:ascii="Arial" w:hAnsi="Arial" w:cs="Arial"/>
          <w:sz w:val="24"/>
          <w:szCs w:val="24"/>
        </w:rPr>
        <w:t>d</w:t>
      </w:r>
      <w:r w:rsidRPr="00D00C32">
        <w:rPr>
          <w:rFonts w:ascii="Arial" w:hAnsi="Arial" w:cs="Arial"/>
          <w:sz w:val="24"/>
          <w:szCs w:val="24"/>
        </w:rPr>
        <w:t xml:space="preserve"> rapidly through acquisitions</w:t>
      </w:r>
      <w:r w:rsidR="005F3BEC" w:rsidRPr="00D00C32">
        <w:rPr>
          <w:rFonts w:ascii="Arial" w:hAnsi="Arial" w:cs="Arial"/>
          <w:sz w:val="24"/>
          <w:szCs w:val="24"/>
        </w:rPr>
        <w:t>,</w:t>
      </w:r>
      <w:r w:rsidRPr="00D00C32">
        <w:rPr>
          <w:rFonts w:ascii="Arial" w:hAnsi="Arial" w:cs="Arial"/>
          <w:sz w:val="24"/>
          <w:szCs w:val="24"/>
        </w:rPr>
        <w:t xml:space="preserve"> inc</w:t>
      </w:r>
      <w:r w:rsidR="005F3BEC" w:rsidRPr="00D00C32">
        <w:rPr>
          <w:rFonts w:ascii="Arial" w:hAnsi="Arial" w:cs="Arial"/>
          <w:sz w:val="24"/>
          <w:szCs w:val="24"/>
        </w:rPr>
        <w:t>l</w:t>
      </w:r>
      <w:r w:rsidRPr="00D00C32">
        <w:rPr>
          <w:rFonts w:ascii="Arial" w:hAnsi="Arial" w:cs="Arial"/>
          <w:sz w:val="24"/>
          <w:szCs w:val="24"/>
        </w:rPr>
        <w:t>ud</w:t>
      </w:r>
      <w:r w:rsidR="005F3BEC" w:rsidRPr="00D00C32">
        <w:rPr>
          <w:rFonts w:ascii="Arial" w:hAnsi="Arial" w:cs="Arial"/>
          <w:sz w:val="24"/>
          <w:szCs w:val="24"/>
        </w:rPr>
        <w:t>ing</w:t>
      </w:r>
      <w:r w:rsidRPr="00D00C32">
        <w:rPr>
          <w:rFonts w:ascii="Arial" w:hAnsi="Arial" w:cs="Arial"/>
          <w:sz w:val="24"/>
          <w:szCs w:val="24"/>
        </w:rPr>
        <w:t xml:space="preserve"> </w:t>
      </w:r>
      <w:r w:rsidR="00642495" w:rsidRPr="00D00C32">
        <w:rPr>
          <w:rFonts w:ascii="Arial" w:hAnsi="Arial" w:cs="Arial"/>
          <w:sz w:val="24"/>
          <w:szCs w:val="24"/>
        </w:rPr>
        <w:t>Grand Met</w:t>
      </w:r>
      <w:r w:rsidRPr="00D00C32">
        <w:rPr>
          <w:rFonts w:ascii="Arial" w:hAnsi="Arial" w:cs="Arial"/>
          <w:sz w:val="24"/>
          <w:szCs w:val="24"/>
        </w:rPr>
        <w:t xml:space="preserve"> Catering Services in 1993 an</w:t>
      </w:r>
      <w:r w:rsidR="005F3BEC" w:rsidRPr="00D00C32">
        <w:rPr>
          <w:rFonts w:ascii="Arial" w:hAnsi="Arial" w:cs="Arial"/>
          <w:sz w:val="24"/>
          <w:szCs w:val="24"/>
        </w:rPr>
        <w:t>d</w:t>
      </w:r>
      <w:r w:rsidRPr="00D00C32">
        <w:rPr>
          <w:rFonts w:ascii="Arial" w:hAnsi="Arial" w:cs="Arial"/>
          <w:sz w:val="24"/>
          <w:szCs w:val="24"/>
        </w:rPr>
        <w:t xml:space="preserve"> a merge</w:t>
      </w:r>
      <w:r w:rsidR="005F3BEC" w:rsidRPr="00D00C32">
        <w:rPr>
          <w:rFonts w:ascii="Arial" w:hAnsi="Arial" w:cs="Arial"/>
          <w:sz w:val="24"/>
          <w:szCs w:val="24"/>
        </w:rPr>
        <w:t>r</w:t>
      </w:r>
      <w:r w:rsidRPr="00D00C32">
        <w:rPr>
          <w:rFonts w:ascii="Arial" w:hAnsi="Arial" w:cs="Arial"/>
          <w:sz w:val="24"/>
          <w:szCs w:val="24"/>
        </w:rPr>
        <w:t xml:space="preserve"> with Sutcliffe Catering in 1994</w:t>
      </w:r>
      <w:r w:rsidR="007A02F6" w:rsidRPr="00D00C32">
        <w:rPr>
          <w:rFonts w:ascii="Arial" w:hAnsi="Arial" w:cs="Arial"/>
          <w:sz w:val="24"/>
          <w:szCs w:val="24"/>
        </w:rPr>
        <w:t xml:space="preserve"> </w:t>
      </w:r>
      <w:r w:rsidR="00180F20" w:rsidRPr="00D00C32">
        <w:rPr>
          <w:rFonts w:ascii="Arial" w:hAnsi="Arial" w:cs="Arial"/>
          <w:sz w:val="24"/>
          <w:szCs w:val="24"/>
        </w:rPr>
        <w:t>(Compass Group, 2024)</w:t>
      </w:r>
      <w:r w:rsidRPr="00D00C32">
        <w:rPr>
          <w:rFonts w:ascii="Arial" w:hAnsi="Arial" w:cs="Arial"/>
          <w:sz w:val="24"/>
          <w:szCs w:val="24"/>
        </w:rPr>
        <w:t xml:space="preserve">. </w:t>
      </w:r>
      <w:r w:rsidR="005F3BEC" w:rsidRPr="00D00C32">
        <w:rPr>
          <w:rFonts w:ascii="Arial" w:hAnsi="Arial" w:cs="Arial"/>
          <w:sz w:val="24"/>
          <w:szCs w:val="24"/>
        </w:rPr>
        <w:t>It</w:t>
      </w:r>
      <w:r w:rsidRPr="00D00C32">
        <w:rPr>
          <w:rFonts w:ascii="Arial" w:hAnsi="Arial" w:cs="Arial"/>
          <w:sz w:val="24"/>
          <w:szCs w:val="24"/>
        </w:rPr>
        <w:t xml:space="preserve"> went public on the London Stock Exchange in 1988 and is </w:t>
      </w:r>
      <w:r w:rsidR="005F3BEC" w:rsidRPr="00D00C32">
        <w:rPr>
          <w:rFonts w:ascii="Arial" w:hAnsi="Arial" w:cs="Arial"/>
          <w:sz w:val="24"/>
          <w:szCs w:val="24"/>
        </w:rPr>
        <w:t>p</w:t>
      </w:r>
      <w:r w:rsidRPr="00D00C32">
        <w:rPr>
          <w:rFonts w:ascii="Arial" w:hAnsi="Arial" w:cs="Arial"/>
          <w:sz w:val="24"/>
          <w:szCs w:val="24"/>
        </w:rPr>
        <w:t>a</w:t>
      </w:r>
      <w:r w:rsidR="005F3BEC" w:rsidRPr="00D00C32">
        <w:rPr>
          <w:rFonts w:ascii="Arial" w:hAnsi="Arial" w:cs="Arial"/>
          <w:sz w:val="24"/>
          <w:szCs w:val="24"/>
        </w:rPr>
        <w:t>r</w:t>
      </w:r>
      <w:r w:rsidRPr="00D00C32">
        <w:rPr>
          <w:rFonts w:ascii="Arial" w:hAnsi="Arial" w:cs="Arial"/>
          <w:sz w:val="24"/>
          <w:szCs w:val="24"/>
        </w:rPr>
        <w:t>t of the FTSE 100 Index.</w:t>
      </w:r>
      <w:r w:rsidR="005F3BEC" w:rsidRPr="00D00C32">
        <w:rPr>
          <w:rFonts w:ascii="Arial" w:hAnsi="Arial" w:cs="Arial"/>
          <w:sz w:val="24"/>
          <w:szCs w:val="24"/>
        </w:rPr>
        <w:t xml:space="preserve">  </w:t>
      </w:r>
      <w:r w:rsidRPr="00D00C32">
        <w:rPr>
          <w:rFonts w:ascii="Arial" w:hAnsi="Arial" w:cs="Arial"/>
          <w:sz w:val="24"/>
          <w:szCs w:val="24"/>
        </w:rPr>
        <w:t>Today, Compass Group operates in over 40 countries</w:t>
      </w:r>
      <w:r w:rsidR="005F3BEC" w:rsidRPr="00D00C32">
        <w:rPr>
          <w:rFonts w:ascii="Arial" w:hAnsi="Arial" w:cs="Arial"/>
          <w:sz w:val="24"/>
          <w:szCs w:val="24"/>
        </w:rPr>
        <w:t>,</w:t>
      </w:r>
      <w:r w:rsidRPr="00D00C32">
        <w:rPr>
          <w:rFonts w:ascii="Arial" w:hAnsi="Arial" w:cs="Arial"/>
          <w:sz w:val="24"/>
          <w:szCs w:val="24"/>
        </w:rPr>
        <w:t xml:space="preserve"> serv</w:t>
      </w:r>
      <w:r w:rsidR="005F3BEC" w:rsidRPr="00D00C32">
        <w:rPr>
          <w:rFonts w:ascii="Arial" w:hAnsi="Arial" w:cs="Arial"/>
          <w:sz w:val="24"/>
          <w:szCs w:val="24"/>
        </w:rPr>
        <w:t>ing</w:t>
      </w:r>
      <w:r w:rsidRPr="00D00C32">
        <w:rPr>
          <w:rFonts w:ascii="Arial" w:hAnsi="Arial" w:cs="Arial"/>
          <w:sz w:val="24"/>
          <w:szCs w:val="24"/>
        </w:rPr>
        <w:t xml:space="preserve"> millions of customers daily across various sectors</w:t>
      </w:r>
      <w:r w:rsidR="005F3BEC" w:rsidRPr="00D00C32">
        <w:rPr>
          <w:rFonts w:ascii="Arial" w:hAnsi="Arial" w:cs="Arial"/>
          <w:sz w:val="24"/>
          <w:szCs w:val="24"/>
        </w:rPr>
        <w:t>,</w:t>
      </w:r>
      <w:r w:rsidRPr="00D00C32">
        <w:rPr>
          <w:rFonts w:ascii="Arial" w:hAnsi="Arial" w:cs="Arial"/>
          <w:sz w:val="24"/>
          <w:szCs w:val="24"/>
        </w:rPr>
        <w:t xml:space="preserve"> including </w:t>
      </w:r>
      <w:r w:rsidR="005F3BEC" w:rsidRPr="00D00C32">
        <w:rPr>
          <w:rFonts w:ascii="Arial" w:hAnsi="Arial" w:cs="Arial"/>
          <w:sz w:val="24"/>
          <w:szCs w:val="24"/>
        </w:rPr>
        <w:t>he</w:t>
      </w:r>
      <w:r w:rsidRPr="00D00C32">
        <w:rPr>
          <w:rFonts w:ascii="Arial" w:hAnsi="Arial" w:cs="Arial"/>
          <w:sz w:val="24"/>
          <w:szCs w:val="24"/>
        </w:rPr>
        <w:t>a</w:t>
      </w:r>
      <w:r w:rsidR="005F3BEC" w:rsidRPr="00D00C32">
        <w:rPr>
          <w:rFonts w:ascii="Arial" w:hAnsi="Arial" w:cs="Arial"/>
          <w:sz w:val="24"/>
          <w:szCs w:val="24"/>
        </w:rPr>
        <w:t>l</w:t>
      </w:r>
      <w:r w:rsidRPr="00D00C32">
        <w:rPr>
          <w:rFonts w:ascii="Arial" w:hAnsi="Arial" w:cs="Arial"/>
          <w:sz w:val="24"/>
          <w:szCs w:val="24"/>
        </w:rPr>
        <w:t>t</w:t>
      </w:r>
      <w:r w:rsidR="005F3BEC" w:rsidRPr="00D00C32">
        <w:rPr>
          <w:rFonts w:ascii="Arial" w:hAnsi="Arial" w:cs="Arial"/>
          <w:sz w:val="24"/>
          <w:szCs w:val="24"/>
        </w:rPr>
        <w:t>h</w:t>
      </w:r>
      <w:r w:rsidRPr="00D00C32">
        <w:rPr>
          <w:rFonts w:ascii="Arial" w:hAnsi="Arial" w:cs="Arial"/>
          <w:sz w:val="24"/>
          <w:szCs w:val="24"/>
        </w:rPr>
        <w:t>c</w:t>
      </w:r>
      <w:r w:rsidR="005F3BEC" w:rsidRPr="00D00C32">
        <w:rPr>
          <w:rFonts w:ascii="Arial" w:hAnsi="Arial" w:cs="Arial"/>
          <w:sz w:val="24"/>
          <w:szCs w:val="24"/>
        </w:rPr>
        <w:t>ar</w:t>
      </w:r>
      <w:r w:rsidRPr="00D00C32">
        <w:rPr>
          <w:rFonts w:ascii="Arial" w:hAnsi="Arial" w:cs="Arial"/>
          <w:sz w:val="24"/>
          <w:szCs w:val="24"/>
        </w:rPr>
        <w:t xml:space="preserve">e, </w:t>
      </w:r>
      <w:r w:rsidR="005F3BEC" w:rsidRPr="00D00C32">
        <w:rPr>
          <w:rFonts w:ascii="Arial" w:hAnsi="Arial" w:cs="Arial"/>
          <w:sz w:val="24"/>
          <w:szCs w:val="24"/>
        </w:rPr>
        <w:t>educat</w:t>
      </w:r>
      <w:r w:rsidRPr="00D00C32">
        <w:rPr>
          <w:rFonts w:ascii="Arial" w:hAnsi="Arial" w:cs="Arial"/>
          <w:sz w:val="24"/>
          <w:szCs w:val="24"/>
        </w:rPr>
        <w:t>i</w:t>
      </w:r>
      <w:r w:rsidR="005F3BEC" w:rsidRPr="00D00C32">
        <w:rPr>
          <w:rFonts w:ascii="Arial" w:hAnsi="Arial" w:cs="Arial"/>
          <w:sz w:val="24"/>
          <w:szCs w:val="24"/>
        </w:rPr>
        <w:t>on</w:t>
      </w:r>
      <w:r w:rsidRPr="00D00C32">
        <w:rPr>
          <w:rFonts w:ascii="Arial" w:hAnsi="Arial" w:cs="Arial"/>
          <w:sz w:val="24"/>
          <w:szCs w:val="24"/>
        </w:rPr>
        <w:t xml:space="preserve">, </w:t>
      </w:r>
      <w:r w:rsidR="009334B1" w:rsidRPr="00D00C32">
        <w:rPr>
          <w:rFonts w:ascii="Arial" w:hAnsi="Arial" w:cs="Arial"/>
          <w:sz w:val="24"/>
          <w:szCs w:val="24"/>
        </w:rPr>
        <w:t>defence</w:t>
      </w:r>
      <w:r w:rsidRPr="00D00C32">
        <w:rPr>
          <w:rFonts w:ascii="Arial" w:hAnsi="Arial" w:cs="Arial"/>
          <w:sz w:val="24"/>
          <w:szCs w:val="24"/>
        </w:rPr>
        <w:t>,</w:t>
      </w:r>
      <w:r w:rsidR="009334B1">
        <w:rPr>
          <w:rFonts w:ascii="Arial" w:hAnsi="Arial" w:cs="Arial"/>
          <w:sz w:val="24"/>
          <w:szCs w:val="24"/>
        </w:rPr>
        <w:t xml:space="preserve"> </w:t>
      </w:r>
      <w:r w:rsidRPr="00D00C32">
        <w:rPr>
          <w:rFonts w:ascii="Arial" w:hAnsi="Arial" w:cs="Arial"/>
          <w:sz w:val="24"/>
          <w:szCs w:val="24"/>
        </w:rPr>
        <w:t xml:space="preserve">and </w:t>
      </w:r>
      <w:r w:rsidR="005F3BEC" w:rsidRPr="00D00C32">
        <w:rPr>
          <w:rFonts w:ascii="Arial" w:hAnsi="Arial" w:cs="Arial"/>
          <w:sz w:val="24"/>
          <w:szCs w:val="24"/>
        </w:rPr>
        <w:t>cor</w:t>
      </w:r>
      <w:r w:rsidRPr="00D00C32">
        <w:rPr>
          <w:rFonts w:ascii="Arial" w:hAnsi="Arial" w:cs="Arial"/>
          <w:sz w:val="24"/>
          <w:szCs w:val="24"/>
        </w:rPr>
        <w:t>por</w:t>
      </w:r>
      <w:r w:rsidR="005F3BEC" w:rsidRPr="00D00C32">
        <w:rPr>
          <w:rFonts w:ascii="Arial" w:hAnsi="Arial" w:cs="Arial"/>
          <w:sz w:val="24"/>
          <w:szCs w:val="24"/>
        </w:rPr>
        <w:t>a</w:t>
      </w:r>
      <w:r w:rsidRPr="00D00C32">
        <w:rPr>
          <w:rFonts w:ascii="Arial" w:hAnsi="Arial" w:cs="Arial"/>
          <w:sz w:val="24"/>
          <w:szCs w:val="24"/>
        </w:rPr>
        <w:t>t</w:t>
      </w:r>
      <w:r w:rsidR="005F3BEC" w:rsidRPr="00D00C32">
        <w:rPr>
          <w:rFonts w:ascii="Arial" w:hAnsi="Arial" w:cs="Arial"/>
          <w:sz w:val="24"/>
          <w:szCs w:val="24"/>
        </w:rPr>
        <w:t>e</w:t>
      </w:r>
      <w:r w:rsidRPr="00D00C32">
        <w:rPr>
          <w:rFonts w:ascii="Arial" w:hAnsi="Arial" w:cs="Arial"/>
          <w:sz w:val="24"/>
          <w:szCs w:val="24"/>
        </w:rPr>
        <w:t xml:space="preserve"> </w:t>
      </w:r>
      <w:r w:rsidR="005F3BEC" w:rsidRPr="00D00C32">
        <w:rPr>
          <w:rFonts w:ascii="Arial" w:hAnsi="Arial" w:cs="Arial"/>
          <w:sz w:val="24"/>
          <w:szCs w:val="24"/>
        </w:rPr>
        <w:t>offic</w:t>
      </w:r>
      <w:r w:rsidRPr="00D00C32">
        <w:rPr>
          <w:rFonts w:ascii="Arial" w:hAnsi="Arial" w:cs="Arial"/>
          <w:sz w:val="24"/>
          <w:szCs w:val="24"/>
        </w:rPr>
        <w:t>es</w:t>
      </w:r>
      <w:r w:rsidR="006F1EB3" w:rsidRPr="00D00C32">
        <w:rPr>
          <w:rFonts w:ascii="Arial" w:hAnsi="Arial" w:cs="Arial"/>
          <w:sz w:val="24"/>
          <w:szCs w:val="24"/>
        </w:rPr>
        <w:t xml:space="preserve"> (</w:t>
      </w:r>
      <w:proofErr w:type="spellStart"/>
      <w:r w:rsidR="006F1EB3" w:rsidRPr="00D00C32">
        <w:rPr>
          <w:rFonts w:ascii="Arial" w:hAnsi="Arial" w:cs="Arial"/>
          <w:sz w:val="24"/>
          <w:szCs w:val="24"/>
        </w:rPr>
        <w:t>Stockchallenge</w:t>
      </w:r>
      <w:proofErr w:type="spellEnd"/>
      <w:r w:rsidR="006F1EB3" w:rsidRPr="00D00C32">
        <w:rPr>
          <w:rFonts w:ascii="Arial" w:hAnsi="Arial" w:cs="Arial"/>
          <w:sz w:val="24"/>
          <w:szCs w:val="24"/>
        </w:rPr>
        <w:t>, 2024).</w:t>
      </w:r>
    </w:p>
    <w:p w14:paraId="0AD1E772" w14:textId="72CB374C" w:rsidR="00167667" w:rsidRPr="00D00C32" w:rsidRDefault="00167667" w:rsidP="00A259EE">
      <w:pPr>
        <w:jc w:val="both"/>
        <w:rPr>
          <w:rFonts w:ascii="Arial" w:hAnsi="Arial" w:cs="Arial"/>
          <w:sz w:val="24"/>
          <w:szCs w:val="24"/>
        </w:rPr>
      </w:pPr>
      <w:r w:rsidRPr="00D00C32">
        <w:rPr>
          <w:rFonts w:ascii="Arial" w:hAnsi="Arial" w:cs="Arial"/>
          <w:sz w:val="24"/>
          <w:szCs w:val="24"/>
        </w:rPr>
        <w:t>Corporate governance is essential for the success and sustainability of contemporary corporations. Well-structured governance frameworks empower companies like Compass Group PLC to align management objectives with shareholders</w:t>
      </w:r>
      <w:r w:rsidR="0058676F" w:rsidRPr="00D00C32">
        <w:rPr>
          <w:rFonts w:ascii="Arial" w:hAnsi="Arial" w:cs="Arial"/>
          <w:sz w:val="24"/>
          <w:szCs w:val="24"/>
        </w:rPr>
        <w:t>' interests</w:t>
      </w:r>
      <w:r w:rsidRPr="00D00C32">
        <w:rPr>
          <w:rFonts w:ascii="Arial" w:hAnsi="Arial" w:cs="Arial"/>
          <w:sz w:val="24"/>
          <w:szCs w:val="24"/>
        </w:rPr>
        <w:t>, mitigate risks, and promote transparency and accountability (</w:t>
      </w:r>
      <w:proofErr w:type="spellStart"/>
      <w:r w:rsidRPr="00D00C32">
        <w:rPr>
          <w:rFonts w:ascii="Arial" w:hAnsi="Arial" w:cs="Arial"/>
          <w:sz w:val="24"/>
          <w:szCs w:val="24"/>
        </w:rPr>
        <w:t>Kitema</w:t>
      </w:r>
      <w:proofErr w:type="spellEnd"/>
      <w:r w:rsidRPr="00D00C32">
        <w:rPr>
          <w:rFonts w:ascii="Arial" w:hAnsi="Arial" w:cs="Arial"/>
          <w:sz w:val="24"/>
          <w:szCs w:val="24"/>
        </w:rPr>
        <w:t xml:space="preserve">, 2021).  </w:t>
      </w:r>
    </w:p>
    <w:p w14:paraId="06D147FB" w14:textId="199E5D8D" w:rsidR="00200262" w:rsidRPr="00D00C32" w:rsidRDefault="00230383" w:rsidP="00A259EE">
      <w:pPr>
        <w:jc w:val="both"/>
        <w:rPr>
          <w:rFonts w:ascii="Arial" w:hAnsi="Arial" w:cs="Arial"/>
          <w:sz w:val="24"/>
          <w:szCs w:val="24"/>
        </w:rPr>
      </w:pPr>
      <w:r w:rsidRPr="00D00C32">
        <w:rPr>
          <w:rFonts w:ascii="Arial" w:hAnsi="Arial" w:cs="Arial"/>
          <w:sz w:val="24"/>
          <w:szCs w:val="24"/>
        </w:rPr>
        <w:t xml:space="preserve">This </w:t>
      </w:r>
      <w:r w:rsidR="009F0BCD" w:rsidRPr="00D00C32">
        <w:rPr>
          <w:rFonts w:ascii="Arial" w:hAnsi="Arial" w:cs="Arial"/>
          <w:sz w:val="24"/>
          <w:szCs w:val="24"/>
        </w:rPr>
        <w:t>report</w:t>
      </w:r>
      <w:r w:rsidRPr="00D00C32">
        <w:rPr>
          <w:rFonts w:ascii="Arial" w:hAnsi="Arial" w:cs="Arial"/>
          <w:sz w:val="24"/>
          <w:szCs w:val="24"/>
        </w:rPr>
        <w:t xml:space="preserve"> in</w:t>
      </w:r>
      <w:r w:rsidR="008F009F" w:rsidRPr="00D00C32">
        <w:rPr>
          <w:rFonts w:ascii="Arial" w:hAnsi="Arial" w:cs="Arial"/>
          <w:sz w:val="24"/>
          <w:szCs w:val="24"/>
        </w:rPr>
        <w:t>vestigat</w:t>
      </w:r>
      <w:r w:rsidRPr="00D00C32">
        <w:rPr>
          <w:rFonts w:ascii="Arial" w:hAnsi="Arial" w:cs="Arial"/>
          <w:sz w:val="24"/>
          <w:szCs w:val="24"/>
        </w:rPr>
        <w:t xml:space="preserve">es the </w:t>
      </w:r>
      <w:r w:rsidR="008F009F" w:rsidRPr="00D00C32">
        <w:rPr>
          <w:rFonts w:ascii="Arial" w:hAnsi="Arial" w:cs="Arial"/>
          <w:sz w:val="24"/>
          <w:szCs w:val="24"/>
        </w:rPr>
        <w:t>conn</w:t>
      </w:r>
      <w:r w:rsidRPr="00D00C32">
        <w:rPr>
          <w:rFonts w:ascii="Arial" w:hAnsi="Arial" w:cs="Arial"/>
          <w:sz w:val="24"/>
          <w:szCs w:val="24"/>
        </w:rPr>
        <w:t>e</w:t>
      </w:r>
      <w:r w:rsidR="008F009F" w:rsidRPr="00D00C32">
        <w:rPr>
          <w:rFonts w:ascii="Arial" w:hAnsi="Arial" w:cs="Arial"/>
          <w:sz w:val="24"/>
          <w:szCs w:val="24"/>
        </w:rPr>
        <w:t>c</w:t>
      </w:r>
      <w:r w:rsidRPr="00D00C32">
        <w:rPr>
          <w:rFonts w:ascii="Arial" w:hAnsi="Arial" w:cs="Arial"/>
          <w:sz w:val="24"/>
          <w:szCs w:val="24"/>
        </w:rPr>
        <w:t xml:space="preserve">tion between corporate governance practices and financial performance, </w:t>
      </w:r>
      <w:r w:rsidR="008F009F" w:rsidRPr="00D00C32">
        <w:rPr>
          <w:rFonts w:ascii="Arial" w:hAnsi="Arial" w:cs="Arial"/>
          <w:sz w:val="24"/>
          <w:szCs w:val="24"/>
        </w:rPr>
        <w:t>foc</w:t>
      </w:r>
      <w:r w:rsidRPr="00D00C32">
        <w:rPr>
          <w:rFonts w:ascii="Arial" w:hAnsi="Arial" w:cs="Arial"/>
          <w:sz w:val="24"/>
          <w:szCs w:val="24"/>
        </w:rPr>
        <w:t>using</w:t>
      </w:r>
      <w:r w:rsidR="008F009F" w:rsidRPr="00D00C32">
        <w:rPr>
          <w:rFonts w:ascii="Arial" w:hAnsi="Arial" w:cs="Arial"/>
          <w:sz w:val="24"/>
          <w:szCs w:val="24"/>
        </w:rPr>
        <w:t xml:space="preserve"> on</w:t>
      </w:r>
      <w:r w:rsidRPr="00D00C32">
        <w:rPr>
          <w:rFonts w:ascii="Arial" w:hAnsi="Arial" w:cs="Arial"/>
          <w:sz w:val="24"/>
          <w:szCs w:val="24"/>
        </w:rPr>
        <w:t xml:space="preserve"> Compass Group PLC as a case study o</w:t>
      </w:r>
      <w:r w:rsidR="008F009F" w:rsidRPr="00D00C32">
        <w:rPr>
          <w:rFonts w:ascii="Arial" w:hAnsi="Arial" w:cs="Arial"/>
          <w:sz w:val="24"/>
          <w:szCs w:val="24"/>
        </w:rPr>
        <w:t>ver</w:t>
      </w:r>
      <w:r w:rsidRPr="00D00C32">
        <w:rPr>
          <w:rFonts w:ascii="Arial" w:hAnsi="Arial" w:cs="Arial"/>
          <w:sz w:val="24"/>
          <w:szCs w:val="24"/>
        </w:rPr>
        <w:t xml:space="preserve"> the </w:t>
      </w:r>
      <w:r w:rsidR="008F009F" w:rsidRPr="00D00C32">
        <w:rPr>
          <w:rFonts w:ascii="Arial" w:hAnsi="Arial" w:cs="Arial"/>
          <w:sz w:val="24"/>
          <w:szCs w:val="24"/>
        </w:rPr>
        <w:t>p</w:t>
      </w:r>
      <w:r w:rsidRPr="00D00C32">
        <w:rPr>
          <w:rFonts w:ascii="Arial" w:hAnsi="Arial" w:cs="Arial"/>
          <w:sz w:val="24"/>
          <w:szCs w:val="24"/>
        </w:rPr>
        <w:t>ast five years. It aims to a</w:t>
      </w:r>
      <w:r w:rsidR="008F009F" w:rsidRPr="00D00C32">
        <w:rPr>
          <w:rFonts w:ascii="Arial" w:hAnsi="Arial" w:cs="Arial"/>
          <w:sz w:val="24"/>
          <w:szCs w:val="24"/>
        </w:rPr>
        <w:t>ss</w:t>
      </w:r>
      <w:r w:rsidRPr="00D00C32">
        <w:rPr>
          <w:rFonts w:ascii="Arial" w:hAnsi="Arial" w:cs="Arial"/>
          <w:sz w:val="24"/>
          <w:szCs w:val="24"/>
        </w:rPr>
        <w:t>e</w:t>
      </w:r>
      <w:r w:rsidR="008F009F" w:rsidRPr="00D00C32">
        <w:rPr>
          <w:rFonts w:ascii="Arial" w:hAnsi="Arial" w:cs="Arial"/>
          <w:sz w:val="24"/>
          <w:szCs w:val="24"/>
        </w:rPr>
        <w:t>ss</w:t>
      </w:r>
      <w:r w:rsidRPr="00D00C32">
        <w:rPr>
          <w:rFonts w:ascii="Arial" w:hAnsi="Arial" w:cs="Arial"/>
          <w:sz w:val="24"/>
          <w:szCs w:val="24"/>
        </w:rPr>
        <w:t xml:space="preserve"> whether </w:t>
      </w:r>
      <w:r w:rsidR="008F009F" w:rsidRPr="00D00C32">
        <w:rPr>
          <w:rFonts w:ascii="Arial" w:hAnsi="Arial" w:cs="Arial"/>
          <w:sz w:val="24"/>
          <w:szCs w:val="24"/>
        </w:rPr>
        <w:t>r</w:t>
      </w:r>
      <w:r w:rsidRPr="00D00C32">
        <w:rPr>
          <w:rFonts w:ascii="Arial" w:hAnsi="Arial" w:cs="Arial"/>
          <w:sz w:val="24"/>
          <w:szCs w:val="24"/>
        </w:rPr>
        <w:t>o</w:t>
      </w:r>
      <w:r w:rsidR="008F009F" w:rsidRPr="00D00C32">
        <w:rPr>
          <w:rFonts w:ascii="Arial" w:hAnsi="Arial" w:cs="Arial"/>
          <w:sz w:val="24"/>
          <w:szCs w:val="24"/>
        </w:rPr>
        <w:t>b</w:t>
      </w:r>
      <w:r w:rsidRPr="00D00C32">
        <w:rPr>
          <w:rFonts w:ascii="Arial" w:hAnsi="Arial" w:cs="Arial"/>
          <w:sz w:val="24"/>
          <w:szCs w:val="24"/>
        </w:rPr>
        <w:t>u</w:t>
      </w:r>
      <w:r w:rsidR="008F009F" w:rsidRPr="00D00C32">
        <w:rPr>
          <w:rFonts w:ascii="Arial" w:hAnsi="Arial" w:cs="Arial"/>
          <w:sz w:val="24"/>
          <w:szCs w:val="24"/>
        </w:rPr>
        <w:t>st</w:t>
      </w:r>
      <w:r w:rsidRPr="00D00C32">
        <w:rPr>
          <w:rFonts w:ascii="Arial" w:hAnsi="Arial" w:cs="Arial"/>
          <w:sz w:val="24"/>
          <w:szCs w:val="24"/>
        </w:rPr>
        <w:t xml:space="preserve"> governance practices positive</w:t>
      </w:r>
      <w:r w:rsidR="001222C3" w:rsidRPr="00D00C32">
        <w:rPr>
          <w:rFonts w:ascii="Arial" w:hAnsi="Arial" w:cs="Arial"/>
          <w:sz w:val="24"/>
          <w:szCs w:val="24"/>
        </w:rPr>
        <w:t>ly</w:t>
      </w:r>
      <w:r w:rsidRPr="00D00C32">
        <w:rPr>
          <w:rFonts w:ascii="Arial" w:hAnsi="Arial" w:cs="Arial"/>
          <w:sz w:val="24"/>
          <w:szCs w:val="24"/>
        </w:rPr>
        <w:t xml:space="preserve"> </w:t>
      </w:r>
      <w:r w:rsidR="008F009F" w:rsidRPr="00D00C32">
        <w:rPr>
          <w:rFonts w:ascii="Arial" w:hAnsi="Arial" w:cs="Arial"/>
          <w:sz w:val="24"/>
          <w:szCs w:val="24"/>
        </w:rPr>
        <w:t>impac</w:t>
      </w:r>
      <w:r w:rsidRPr="00D00C32">
        <w:rPr>
          <w:rFonts w:ascii="Arial" w:hAnsi="Arial" w:cs="Arial"/>
          <w:sz w:val="24"/>
          <w:szCs w:val="24"/>
        </w:rPr>
        <w:t>t the company's financial performance</w:t>
      </w:r>
      <w:r w:rsidR="00167667" w:rsidRPr="00D00C32">
        <w:rPr>
          <w:rFonts w:ascii="Arial" w:hAnsi="Arial" w:cs="Arial"/>
          <w:sz w:val="24"/>
          <w:szCs w:val="24"/>
        </w:rPr>
        <w:t>.</w:t>
      </w:r>
    </w:p>
    <w:p w14:paraId="6221386D" w14:textId="77777777" w:rsidR="005A3FBA" w:rsidRPr="00D00C32" w:rsidRDefault="005A3FBA" w:rsidP="00A259EE">
      <w:pPr>
        <w:pStyle w:val="Heading1"/>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80776065"/>
      <w:r w:rsidRPr="00D00C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Importance of Corporate Governance Practices</w:t>
      </w:r>
      <w:bookmarkEnd w:id="1"/>
    </w:p>
    <w:p w14:paraId="7E04F71C" w14:textId="55EC0A46" w:rsidR="00D217BF" w:rsidRPr="00D00C32" w:rsidRDefault="00D217BF" w:rsidP="00A259EE">
      <w:pPr>
        <w:jc w:val="both"/>
        <w:rPr>
          <w:rFonts w:ascii="Arial" w:hAnsi="Arial" w:cs="Arial"/>
          <w:sz w:val="24"/>
          <w:szCs w:val="24"/>
        </w:rPr>
      </w:pPr>
      <w:r w:rsidRPr="00D00C32">
        <w:rPr>
          <w:rFonts w:ascii="Arial" w:hAnsi="Arial" w:cs="Arial"/>
          <w:sz w:val="24"/>
          <w:szCs w:val="24"/>
        </w:rPr>
        <w:t>Compass Group's corporate strategy is fundamentally grounded in three essential principles: integrity, performance, and safety. The organization prioritizes providing high-quality services while upholding rigorous ethical standards and demonstrating a strong commitment to sustainability (Tumer, 2015).</w:t>
      </w:r>
    </w:p>
    <w:p w14:paraId="7283E371" w14:textId="7045A346" w:rsidR="009B3ED4" w:rsidRPr="00D00C32" w:rsidRDefault="009B3ED4" w:rsidP="00A259EE">
      <w:pPr>
        <w:jc w:val="both"/>
        <w:rPr>
          <w:rFonts w:ascii="Arial" w:hAnsi="Arial" w:cs="Arial"/>
          <w:sz w:val="24"/>
          <w:szCs w:val="24"/>
        </w:rPr>
      </w:pPr>
      <w:r w:rsidRPr="00D00C32">
        <w:rPr>
          <w:rFonts w:ascii="Arial" w:hAnsi="Arial" w:cs="Arial"/>
          <w:sz w:val="24"/>
          <w:szCs w:val="24"/>
        </w:rPr>
        <w:t>Corporate governance is fundamental to ensuring accountability and enhancing investor confidence in financial markets. Claessens (2020</w:t>
      </w:r>
      <w:r w:rsidR="00C6416C" w:rsidRPr="00D00C32">
        <w:rPr>
          <w:rFonts w:ascii="Arial" w:hAnsi="Arial" w:cs="Arial"/>
          <w:sz w:val="24"/>
          <w:szCs w:val="24"/>
        </w:rPr>
        <w:t>), argues</w:t>
      </w:r>
      <w:r w:rsidRPr="00D00C32">
        <w:rPr>
          <w:rFonts w:ascii="Arial" w:hAnsi="Arial" w:cs="Arial"/>
          <w:sz w:val="24"/>
          <w:szCs w:val="24"/>
        </w:rPr>
        <w:t xml:space="preserve"> that strong corporate governance practices play a crucial role in mitigating risks, improving decision-making processes, and ultimately leading to superior financial outcomes. Compass Group PLC exemplifies adherence to the UK Corporate Governance Code, which articulates guidelines for effective governance. These guidelines encompass aspects such as board composition, the establishment of audit committees, and the engagement of shareholders (</w:t>
      </w:r>
      <w:r w:rsidR="00C6416C" w:rsidRPr="00D00C32">
        <w:rPr>
          <w:rFonts w:ascii="Arial" w:hAnsi="Arial" w:cs="Arial"/>
          <w:sz w:val="24"/>
          <w:szCs w:val="24"/>
        </w:rPr>
        <w:t>FRC</w:t>
      </w:r>
      <w:r w:rsidRPr="00D00C32">
        <w:rPr>
          <w:rFonts w:ascii="Arial" w:hAnsi="Arial" w:cs="Arial"/>
          <w:sz w:val="24"/>
          <w:szCs w:val="24"/>
        </w:rPr>
        <w:t>, 20</w:t>
      </w:r>
      <w:r w:rsidR="00C6416C" w:rsidRPr="00D00C32">
        <w:rPr>
          <w:rFonts w:ascii="Arial" w:hAnsi="Arial" w:cs="Arial"/>
          <w:sz w:val="24"/>
          <w:szCs w:val="24"/>
        </w:rPr>
        <w:t>24</w:t>
      </w:r>
      <w:r w:rsidRPr="00D00C32">
        <w:rPr>
          <w:rFonts w:ascii="Arial" w:hAnsi="Arial" w:cs="Arial"/>
          <w:sz w:val="24"/>
          <w:szCs w:val="24"/>
        </w:rPr>
        <w:t>).</w:t>
      </w:r>
    </w:p>
    <w:p w14:paraId="6E4DDEF2" w14:textId="1EDED60C" w:rsidR="00D82E42" w:rsidRPr="00D00C32" w:rsidRDefault="002C4A6B" w:rsidP="00A259EE">
      <w:pPr>
        <w:jc w:val="both"/>
        <w:rPr>
          <w:rFonts w:ascii="Arial" w:hAnsi="Arial" w:cs="Arial"/>
          <w:sz w:val="24"/>
          <w:szCs w:val="24"/>
        </w:rPr>
      </w:pPr>
      <w:r w:rsidRPr="00D00C32">
        <w:rPr>
          <w:rFonts w:ascii="Arial" w:hAnsi="Arial" w:cs="Arial"/>
          <w:sz w:val="24"/>
          <w:szCs w:val="24"/>
        </w:rPr>
        <w:t xml:space="preserve">By implementing robust governance frameworks, Compass Group is positioned to effectively manage stakeholder expectations and promote sustained long-term profitability </w:t>
      </w:r>
      <w:r w:rsidR="005A3FBA" w:rsidRPr="00D00C32">
        <w:rPr>
          <w:rFonts w:ascii="Arial" w:hAnsi="Arial" w:cs="Arial"/>
          <w:sz w:val="24"/>
          <w:szCs w:val="24"/>
        </w:rPr>
        <w:t>(Compass Group, 2023).</w:t>
      </w:r>
    </w:p>
    <w:p w14:paraId="64ED49C4" w14:textId="64A39514" w:rsidR="00053A84" w:rsidRPr="00D00C32" w:rsidRDefault="00053A84" w:rsidP="00A259EE">
      <w:pPr>
        <w:pStyle w:val="Heading1"/>
        <w:jc w:val="both"/>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80776066"/>
      <w:r w:rsidRPr="00D00C3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Corporate Governance Variables </w:t>
      </w:r>
      <w:r w:rsidR="00554C7E" w:rsidRPr="00D00C3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Compass Group</w:t>
      </w:r>
      <w:bookmarkEnd w:id="2"/>
    </w:p>
    <w:p w14:paraId="7E33C5E8" w14:textId="77777777" w:rsidR="00053A84" w:rsidRPr="00D00C32" w:rsidRDefault="00053A84" w:rsidP="00A259EE">
      <w:pPr>
        <w:jc w:val="both"/>
        <w:rPr>
          <w:rFonts w:ascii="Arial" w:hAnsi="Arial" w:cs="Arial"/>
          <w:sz w:val="24"/>
          <w:szCs w:val="24"/>
        </w:rPr>
      </w:pPr>
      <w:r w:rsidRPr="00D00C32">
        <w:rPr>
          <w:rFonts w:ascii="Arial" w:hAnsi="Arial" w:cs="Arial"/>
          <w:sz w:val="24"/>
          <w:szCs w:val="24"/>
        </w:rPr>
        <w:t>To evaluate the corporate governance practices of Compass Group, the following key variables have been identified:</w:t>
      </w:r>
    </w:p>
    <w:p w14:paraId="33FF3557" w14:textId="77777777" w:rsidR="00290B23" w:rsidRPr="00D00C32" w:rsidRDefault="00053A84" w:rsidP="00A259EE">
      <w:pPr>
        <w:pStyle w:val="Heading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80776067"/>
      <w:r w:rsidRPr="00D00C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Board Composition</w:t>
      </w:r>
      <w:bookmarkEnd w:id="3"/>
    </w:p>
    <w:p w14:paraId="77B1F235" w14:textId="45CB488E" w:rsidR="00290B23" w:rsidRPr="00D00C32" w:rsidRDefault="00290B23" w:rsidP="00A259EE">
      <w:pPr>
        <w:jc w:val="both"/>
        <w:rPr>
          <w:rFonts w:ascii="Arial" w:hAnsi="Arial" w:cs="Arial"/>
          <w:sz w:val="24"/>
          <w:szCs w:val="24"/>
        </w:rPr>
      </w:pPr>
      <w:r w:rsidRPr="00D00C32">
        <w:rPr>
          <w:rFonts w:ascii="Arial" w:hAnsi="Arial" w:cs="Arial"/>
          <w:sz w:val="24"/>
          <w:szCs w:val="24"/>
        </w:rPr>
        <w:t>The</w:t>
      </w:r>
      <w:r w:rsidR="00053A84" w:rsidRPr="00D00C32">
        <w:rPr>
          <w:rFonts w:ascii="Arial" w:hAnsi="Arial" w:cs="Arial"/>
          <w:sz w:val="24"/>
          <w:szCs w:val="24"/>
        </w:rPr>
        <w:t xml:space="preserve"> </w:t>
      </w:r>
      <w:r w:rsidRPr="00D00C32">
        <w:rPr>
          <w:rFonts w:ascii="Arial" w:hAnsi="Arial" w:cs="Arial"/>
          <w:sz w:val="24"/>
          <w:szCs w:val="24"/>
        </w:rPr>
        <w:t>compo</w:t>
      </w:r>
      <w:r w:rsidR="00053A84" w:rsidRPr="00D00C32">
        <w:rPr>
          <w:rFonts w:ascii="Arial" w:hAnsi="Arial" w:cs="Arial"/>
          <w:sz w:val="24"/>
          <w:szCs w:val="24"/>
        </w:rPr>
        <w:t>s</w:t>
      </w:r>
      <w:r w:rsidRPr="00D00C32">
        <w:rPr>
          <w:rFonts w:ascii="Arial" w:hAnsi="Arial" w:cs="Arial"/>
          <w:sz w:val="24"/>
          <w:szCs w:val="24"/>
        </w:rPr>
        <w:t>i</w:t>
      </w:r>
      <w:r w:rsidR="00053A84" w:rsidRPr="00D00C32">
        <w:rPr>
          <w:rFonts w:ascii="Arial" w:hAnsi="Arial" w:cs="Arial"/>
          <w:sz w:val="24"/>
          <w:szCs w:val="24"/>
        </w:rPr>
        <w:t>t</w:t>
      </w:r>
      <w:r w:rsidRPr="00D00C32">
        <w:rPr>
          <w:rFonts w:ascii="Arial" w:hAnsi="Arial" w:cs="Arial"/>
          <w:sz w:val="24"/>
          <w:szCs w:val="24"/>
        </w:rPr>
        <w:t>ion of a</w:t>
      </w:r>
      <w:r w:rsidR="00053A84" w:rsidRPr="00D00C32">
        <w:rPr>
          <w:rFonts w:ascii="Arial" w:hAnsi="Arial" w:cs="Arial"/>
          <w:sz w:val="24"/>
          <w:szCs w:val="24"/>
        </w:rPr>
        <w:t xml:space="preserve"> board is </w:t>
      </w:r>
      <w:r w:rsidRPr="00D00C32">
        <w:rPr>
          <w:rFonts w:ascii="Arial" w:hAnsi="Arial" w:cs="Arial"/>
          <w:sz w:val="24"/>
          <w:szCs w:val="24"/>
        </w:rPr>
        <w:t>i</w:t>
      </w:r>
      <w:r w:rsidR="00053A84" w:rsidRPr="00D00C32">
        <w:rPr>
          <w:rFonts w:ascii="Arial" w:hAnsi="Arial" w:cs="Arial"/>
          <w:sz w:val="24"/>
          <w:szCs w:val="24"/>
        </w:rPr>
        <w:t>nt</w:t>
      </w:r>
      <w:r w:rsidRPr="00D00C32">
        <w:rPr>
          <w:rFonts w:ascii="Arial" w:hAnsi="Arial" w:cs="Arial"/>
          <w:sz w:val="24"/>
          <w:szCs w:val="24"/>
        </w:rPr>
        <w:t>egr</w:t>
      </w:r>
      <w:r w:rsidR="00053A84" w:rsidRPr="00D00C32">
        <w:rPr>
          <w:rFonts w:ascii="Arial" w:hAnsi="Arial" w:cs="Arial"/>
          <w:sz w:val="24"/>
          <w:szCs w:val="24"/>
        </w:rPr>
        <w:t xml:space="preserve">al </w:t>
      </w:r>
      <w:r w:rsidRPr="00D00C32">
        <w:rPr>
          <w:rFonts w:ascii="Arial" w:hAnsi="Arial" w:cs="Arial"/>
          <w:sz w:val="24"/>
          <w:szCs w:val="24"/>
        </w:rPr>
        <w:t>t</w:t>
      </w:r>
      <w:r w:rsidR="00053A84" w:rsidRPr="00D00C32">
        <w:rPr>
          <w:rFonts w:ascii="Arial" w:hAnsi="Arial" w:cs="Arial"/>
          <w:sz w:val="24"/>
          <w:szCs w:val="24"/>
        </w:rPr>
        <w:t>o effective decision-making</w:t>
      </w:r>
      <w:r w:rsidRPr="00D00C32">
        <w:rPr>
          <w:rFonts w:ascii="Arial" w:hAnsi="Arial" w:cs="Arial"/>
          <w:sz w:val="24"/>
          <w:szCs w:val="24"/>
        </w:rPr>
        <w:t xml:space="preserve"> within an organization</w:t>
      </w:r>
      <w:r w:rsidR="00053A84" w:rsidRPr="00D00C32">
        <w:rPr>
          <w:rFonts w:ascii="Arial" w:hAnsi="Arial" w:cs="Arial"/>
          <w:sz w:val="24"/>
          <w:szCs w:val="24"/>
        </w:rPr>
        <w:t>. Compass Group</w:t>
      </w:r>
      <w:r w:rsidRPr="00D00C32">
        <w:rPr>
          <w:rFonts w:ascii="Arial" w:hAnsi="Arial" w:cs="Arial"/>
          <w:sz w:val="24"/>
          <w:szCs w:val="24"/>
        </w:rPr>
        <w:t>'</w:t>
      </w:r>
      <w:r w:rsidR="00053A84" w:rsidRPr="00D00C32">
        <w:rPr>
          <w:rFonts w:ascii="Arial" w:hAnsi="Arial" w:cs="Arial"/>
          <w:sz w:val="24"/>
          <w:szCs w:val="24"/>
        </w:rPr>
        <w:t xml:space="preserve">s board is </w:t>
      </w:r>
      <w:r w:rsidRPr="00D00C32">
        <w:rPr>
          <w:rFonts w:ascii="Arial" w:hAnsi="Arial" w:cs="Arial"/>
          <w:sz w:val="24"/>
          <w:szCs w:val="24"/>
        </w:rPr>
        <w:t>pred</w:t>
      </w:r>
      <w:r w:rsidR="00053A84" w:rsidRPr="00D00C32">
        <w:rPr>
          <w:rFonts w:ascii="Arial" w:hAnsi="Arial" w:cs="Arial"/>
          <w:sz w:val="24"/>
          <w:szCs w:val="24"/>
        </w:rPr>
        <w:t>o</w:t>
      </w:r>
      <w:r w:rsidRPr="00D00C32">
        <w:rPr>
          <w:rFonts w:ascii="Arial" w:hAnsi="Arial" w:cs="Arial"/>
          <w:sz w:val="24"/>
          <w:szCs w:val="24"/>
        </w:rPr>
        <w:t>min</w:t>
      </w:r>
      <w:r w:rsidR="00053A84" w:rsidRPr="00D00C32">
        <w:rPr>
          <w:rFonts w:ascii="Arial" w:hAnsi="Arial" w:cs="Arial"/>
          <w:sz w:val="24"/>
          <w:szCs w:val="24"/>
        </w:rPr>
        <w:t>a</w:t>
      </w:r>
      <w:r w:rsidRPr="00D00C32">
        <w:rPr>
          <w:rFonts w:ascii="Arial" w:hAnsi="Arial" w:cs="Arial"/>
          <w:sz w:val="24"/>
          <w:szCs w:val="24"/>
        </w:rPr>
        <w:t>ntly</w:t>
      </w:r>
      <w:r w:rsidR="00053A84" w:rsidRPr="00D00C32">
        <w:rPr>
          <w:rFonts w:ascii="Arial" w:hAnsi="Arial" w:cs="Arial"/>
          <w:sz w:val="24"/>
          <w:szCs w:val="24"/>
        </w:rPr>
        <w:t xml:space="preserve"> </w:t>
      </w:r>
      <w:r w:rsidRPr="00D00C32">
        <w:rPr>
          <w:rFonts w:ascii="Arial" w:hAnsi="Arial" w:cs="Arial"/>
          <w:sz w:val="24"/>
          <w:szCs w:val="24"/>
        </w:rPr>
        <w:t>co</w:t>
      </w:r>
      <w:r w:rsidR="00053A84" w:rsidRPr="00D00C32">
        <w:rPr>
          <w:rFonts w:ascii="Arial" w:hAnsi="Arial" w:cs="Arial"/>
          <w:sz w:val="24"/>
          <w:szCs w:val="24"/>
        </w:rPr>
        <w:t>m</w:t>
      </w:r>
      <w:r w:rsidRPr="00D00C32">
        <w:rPr>
          <w:rFonts w:ascii="Arial" w:hAnsi="Arial" w:cs="Arial"/>
          <w:sz w:val="24"/>
          <w:szCs w:val="24"/>
        </w:rPr>
        <w:t>p</w:t>
      </w:r>
      <w:r w:rsidR="00053A84" w:rsidRPr="00D00C32">
        <w:rPr>
          <w:rFonts w:ascii="Arial" w:hAnsi="Arial" w:cs="Arial"/>
          <w:sz w:val="24"/>
          <w:szCs w:val="24"/>
        </w:rPr>
        <w:t>ri</w:t>
      </w:r>
      <w:r w:rsidRPr="00D00C32">
        <w:rPr>
          <w:rFonts w:ascii="Arial" w:hAnsi="Arial" w:cs="Arial"/>
          <w:sz w:val="24"/>
          <w:szCs w:val="24"/>
        </w:rPr>
        <w:t>sed</w:t>
      </w:r>
      <w:r w:rsidR="00053A84" w:rsidRPr="00D00C32">
        <w:rPr>
          <w:rFonts w:ascii="Arial" w:hAnsi="Arial" w:cs="Arial"/>
          <w:sz w:val="24"/>
          <w:szCs w:val="24"/>
        </w:rPr>
        <w:t xml:space="preserve"> of independent directors </w:t>
      </w:r>
      <w:r w:rsidRPr="00D00C32">
        <w:rPr>
          <w:rFonts w:ascii="Arial" w:hAnsi="Arial" w:cs="Arial"/>
          <w:sz w:val="24"/>
          <w:szCs w:val="24"/>
        </w:rPr>
        <w:t>and</w:t>
      </w:r>
      <w:r w:rsidR="00053A84" w:rsidRPr="00D00C32">
        <w:rPr>
          <w:rFonts w:ascii="Arial" w:hAnsi="Arial" w:cs="Arial"/>
          <w:sz w:val="24"/>
          <w:szCs w:val="24"/>
        </w:rPr>
        <w:t xml:space="preserve"> </w:t>
      </w:r>
      <w:r w:rsidRPr="00D00C32">
        <w:rPr>
          <w:rFonts w:ascii="Arial" w:hAnsi="Arial" w:cs="Arial"/>
          <w:sz w:val="24"/>
          <w:szCs w:val="24"/>
        </w:rPr>
        <w:t>demon</w:t>
      </w:r>
      <w:r w:rsidR="00053A84" w:rsidRPr="00D00C32">
        <w:rPr>
          <w:rFonts w:ascii="Arial" w:hAnsi="Arial" w:cs="Arial"/>
          <w:sz w:val="24"/>
          <w:szCs w:val="24"/>
        </w:rPr>
        <w:t>s</w:t>
      </w:r>
      <w:r w:rsidRPr="00D00C32">
        <w:rPr>
          <w:rFonts w:ascii="Arial" w:hAnsi="Arial" w:cs="Arial"/>
          <w:sz w:val="24"/>
          <w:szCs w:val="24"/>
        </w:rPr>
        <w:t>trates co</w:t>
      </w:r>
      <w:r w:rsidR="00053A84" w:rsidRPr="00D00C32">
        <w:rPr>
          <w:rFonts w:ascii="Arial" w:hAnsi="Arial" w:cs="Arial"/>
          <w:sz w:val="24"/>
          <w:szCs w:val="24"/>
        </w:rPr>
        <w:t>n</w:t>
      </w:r>
      <w:r w:rsidRPr="00D00C32">
        <w:rPr>
          <w:rFonts w:ascii="Arial" w:hAnsi="Arial" w:cs="Arial"/>
          <w:sz w:val="24"/>
          <w:szCs w:val="24"/>
        </w:rPr>
        <w:t>s</w:t>
      </w:r>
      <w:r w:rsidR="00053A84" w:rsidRPr="00D00C32">
        <w:rPr>
          <w:rFonts w:ascii="Arial" w:hAnsi="Arial" w:cs="Arial"/>
          <w:sz w:val="24"/>
          <w:szCs w:val="24"/>
        </w:rPr>
        <w:t>i</w:t>
      </w:r>
      <w:r w:rsidRPr="00D00C32">
        <w:rPr>
          <w:rFonts w:ascii="Arial" w:hAnsi="Arial" w:cs="Arial"/>
          <w:sz w:val="24"/>
          <w:szCs w:val="24"/>
        </w:rPr>
        <w:t>der</w:t>
      </w:r>
      <w:r w:rsidR="00053A84" w:rsidRPr="00D00C32">
        <w:rPr>
          <w:rFonts w:ascii="Arial" w:hAnsi="Arial" w:cs="Arial"/>
          <w:sz w:val="24"/>
          <w:szCs w:val="24"/>
        </w:rPr>
        <w:t>a</w:t>
      </w:r>
      <w:r w:rsidRPr="00D00C32">
        <w:rPr>
          <w:rFonts w:ascii="Arial" w:hAnsi="Arial" w:cs="Arial"/>
          <w:sz w:val="24"/>
          <w:szCs w:val="24"/>
        </w:rPr>
        <w:t>ble</w:t>
      </w:r>
      <w:r w:rsidR="00053A84" w:rsidRPr="00D00C32">
        <w:rPr>
          <w:rFonts w:ascii="Arial" w:hAnsi="Arial" w:cs="Arial"/>
          <w:sz w:val="24"/>
          <w:szCs w:val="24"/>
        </w:rPr>
        <w:t xml:space="preserve"> diversity in terms of gender, experience, and expertise. </w:t>
      </w:r>
      <w:r w:rsidR="001222C3" w:rsidRPr="00D00C32">
        <w:rPr>
          <w:rFonts w:ascii="Arial" w:hAnsi="Arial" w:cs="Arial"/>
          <w:sz w:val="24"/>
          <w:szCs w:val="24"/>
        </w:rPr>
        <w:t>By</w:t>
      </w:r>
      <w:r w:rsidRPr="00D00C32">
        <w:rPr>
          <w:rFonts w:ascii="Arial" w:hAnsi="Arial" w:cs="Arial"/>
          <w:sz w:val="24"/>
          <w:szCs w:val="24"/>
        </w:rPr>
        <w:t xml:space="preserve"> t</w:t>
      </w:r>
      <w:r w:rsidR="00053A84" w:rsidRPr="00D00C32">
        <w:rPr>
          <w:rFonts w:ascii="Arial" w:hAnsi="Arial" w:cs="Arial"/>
          <w:sz w:val="24"/>
          <w:szCs w:val="24"/>
        </w:rPr>
        <w:t>he UK Corporate Governance Code</w:t>
      </w:r>
      <w:r w:rsidRPr="00D00C32">
        <w:rPr>
          <w:rFonts w:ascii="Arial" w:hAnsi="Arial" w:cs="Arial"/>
          <w:sz w:val="24"/>
          <w:szCs w:val="24"/>
        </w:rPr>
        <w:t>,</w:t>
      </w:r>
      <w:r w:rsidR="00053A84" w:rsidRPr="00D00C32">
        <w:rPr>
          <w:rFonts w:ascii="Arial" w:hAnsi="Arial" w:cs="Arial"/>
          <w:sz w:val="24"/>
          <w:szCs w:val="24"/>
        </w:rPr>
        <w:t xml:space="preserve"> </w:t>
      </w:r>
      <w:r w:rsidRPr="00D00C32">
        <w:rPr>
          <w:rFonts w:ascii="Arial" w:hAnsi="Arial" w:cs="Arial"/>
          <w:sz w:val="24"/>
          <w:szCs w:val="24"/>
        </w:rPr>
        <w:t>whi</w:t>
      </w:r>
      <w:r w:rsidR="00053A84" w:rsidRPr="00D00C32">
        <w:rPr>
          <w:rFonts w:ascii="Arial" w:hAnsi="Arial" w:cs="Arial"/>
          <w:sz w:val="24"/>
          <w:szCs w:val="24"/>
        </w:rPr>
        <w:t>c</w:t>
      </w:r>
      <w:r w:rsidRPr="00D00C32">
        <w:rPr>
          <w:rFonts w:ascii="Arial" w:hAnsi="Arial" w:cs="Arial"/>
          <w:sz w:val="24"/>
          <w:szCs w:val="24"/>
        </w:rPr>
        <w:t>h stipulat</w:t>
      </w:r>
      <w:r w:rsidR="00053A84" w:rsidRPr="00D00C32">
        <w:rPr>
          <w:rFonts w:ascii="Arial" w:hAnsi="Arial" w:cs="Arial"/>
          <w:sz w:val="24"/>
          <w:szCs w:val="24"/>
        </w:rPr>
        <w:t>es that a</w:t>
      </w:r>
      <w:r w:rsidRPr="00D00C32">
        <w:rPr>
          <w:rFonts w:ascii="Arial" w:hAnsi="Arial" w:cs="Arial"/>
          <w:sz w:val="24"/>
          <w:szCs w:val="24"/>
        </w:rPr>
        <w:t xml:space="preserve"> minimum</w:t>
      </w:r>
      <w:r w:rsidR="00053A84" w:rsidRPr="00D00C32">
        <w:rPr>
          <w:rFonts w:ascii="Arial" w:hAnsi="Arial" w:cs="Arial"/>
          <w:sz w:val="24"/>
          <w:szCs w:val="24"/>
        </w:rPr>
        <w:t xml:space="preserve"> </w:t>
      </w:r>
      <w:r w:rsidRPr="00D00C32">
        <w:rPr>
          <w:rFonts w:ascii="Arial" w:hAnsi="Arial" w:cs="Arial"/>
          <w:sz w:val="24"/>
          <w:szCs w:val="24"/>
        </w:rPr>
        <w:t>of</w:t>
      </w:r>
      <w:r w:rsidR="00053A84" w:rsidRPr="00D00C32">
        <w:rPr>
          <w:rFonts w:ascii="Arial" w:hAnsi="Arial" w:cs="Arial"/>
          <w:sz w:val="24"/>
          <w:szCs w:val="24"/>
        </w:rPr>
        <w:t xml:space="preserve"> half of the board members should be independent, Compass Group </w:t>
      </w:r>
      <w:r w:rsidRPr="00D00C32">
        <w:rPr>
          <w:rFonts w:ascii="Arial" w:hAnsi="Arial" w:cs="Arial"/>
          <w:sz w:val="24"/>
          <w:szCs w:val="24"/>
        </w:rPr>
        <w:t>adher</w:t>
      </w:r>
      <w:r w:rsidR="00053A84" w:rsidRPr="00D00C32">
        <w:rPr>
          <w:rFonts w:ascii="Arial" w:hAnsi="Arial" w:cs="Arial"/>
          <w:sz w:val="24"/>
          <w:szCs w:val="24"/>
        </w:rPr>
        <w:t>es t</w:t>
      </w:r>
      <w:r w:rsidRPr="00D00C32">
        <w:rPr>
          <w:rFonts w:ascii="Arial" w:hAnsi="Arial" w:cs="Arial"/>
          <w:sz w:val="24"/>
          <w:szCs w:val="24"/>
        </w:rPr>
        <w:t>o</w:t>
      </w:r>
      <w:r w:rsidR="00053A84" w:rsidRPr="00D00C32">
        <w:rPr>
          <w:rFonts w:ascii="Arial" w:hAnsi="Arial" w:cs="Arial"/>
          <w:sz w:val="24"/>
          <w:szCs w:val="24"/>
        </w:rPr>
        <w:t xml:space="preserve"> this </w:t>
      </w:r>
      <w:r w:rsidRPr="00D00C32">
        <w:rPr>
          <w:rFonts w:ascii="Arial" w:hAnsi="Arial" w:cs="Arial"/>
          <w:sz w:val="24"/>
          <w:szCs w:val="24"/>
        </w:rPr>
        <w:t>s</w:t>
      </w:r>
      <w:r w:rsidR="00053A84" w:rsidRPr="00D00C32">
        <w:rPr>
          <w:rFonts w:ascii="Arial" w:hAnsi="Arial" w:cs="Arial"/>
          <w:sz w:val="24"/>
          <w:szCs w:val="24"/>
        </w:rPr>
        <w:t>t</w:t>
      </w:r>
      <w:r w:rsidRPr="00D00C32">
        <w:rPr>
          <w:rFonts w:ascii="Arial" w:hAnsi="Arial" w:cs="Arial"/>
          <w:sz w:val="24"/>
          <w:szCs w:val="24"/>
        </w:rPr>
        <w:t>anda</w:t>
      </w:r>
      <w:r w:rsidR="00053A84" w:rsidRPr="00D00C32">
        <w:rPr>
          <w:rFonts w:ascii="Arial" w:hAnsi="Arial" w:cs="Arial"/>
          <w:sz w:val="24"/>
          <w:szCs w:val="24"/>
        </w:rPr>
        <w:t>r</w:t>
      </w:r>
      <w:r w:rsidRPr="00D00C32">
        <w:rPr>
          <w:rFonts w:ascii="Arial" w:hAnsi="Arial" w:cs="Arial"/>
          <w:sz w:val="24"/>
          <w:szCs w:val="24"/>
        </w:rPr>
        <w:t>d</w:t>
      </w:r>
      <w:r w:rsidR="00053A84" w:rsidRPr="00D00C32">
        <w:rPr>
          <w:rFonts w:ascii="Arial" w:hAnsi="Arial" w:cs="Arial"/>
          <w:sz w:val="24"/>
          <w:szCs w:val="24"/>
        </w:rPr>
        <w:t xml:space="preserve"> (Financial Reporting Council, 2018).</w:t>
      </w:r>
    </w:p>
    <w:p w14:paraId="584F2F9D" w14:textId="77777777" w:rsidR="00290B23" w:rsidRPr="00D00C32" w:rsidRDefault="00053A84" w:rsidP="00A259EE">
      <w:pPr>
        <w:pStyle w:val="Heading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80776068"/>
      <w:r w:rsidRPr="00D00C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Audit Committee Effectiveness</w:t>
      </w:r>
      <w:bookmarkEnd w:id="4"/>
    </w:p>
    <w:p w14:paraId="25EBDBD8" w14:textId="1A5D09F9" w:rsidR="00876E2B" w:rsidRPr="00D00C32" w:rsidRDefault="00876E2B" w:rsidP="002A3B3F">
      <w:pPr>
        <w:jc w:val="both"/>
        <w:rPr>
          <w:rFonts w:ascii="Arial" w:hAnsi="Arial" w:cs="Arial"/>
          <w:sz w:val="24"/>
          <w:szCs w:val="24"/>
        </w:rPr>
      </w:pPr>
      <w:r w:rsidRPr="00D00C32">
        <w:rPr>
          <w:rFonts w:ascii="Arial" w:hAnsi="Arial" w:cs="Arial"/>
          <w:sz w:val="24"/>
          <w:szCs w:val="24"/>
        </w:rPr>
        <w:t>An effective and autonomous audit committee is essential for maintaining the integrity of financial reporting. The audit committee of Compass Group is comprised solely of independent non-executive directors, all of whom possess financial expertise (Compass Group PLC, 202</w:t>
      </w:r>
      <w:r w:rsidR="00FB39C7">
        <w:rPr>
          <w:rFonts w:ascii="Arial" w:hAnsi="Arial" w:cs="Arial"/>
          <w:sz w:val="24"/>
          <w:szCs w:val="24"/>
        </w:rPr>
        <w:t>4</w:t>
      </w:r>
      <w:r w:rsidRPr="00D00C32">
        <w:rPr>
          <w:rFonts w:ascii="Arial" w:hAnsi="Arial" w:cs="Arial"/>
          <w:sz w:val="24"/>
          <w:szCs w:val="24"/>
        </w:rPr>
        <w:t>).</w:t>
      </w:r>
    </w:p>
    <w:p w14:paraId="109CCBC8" w14:textId="3E81E315" w:rsidR="00290B23" w:rsidRPr="00D00C32" w:rsidRDefault="00053A84" w:rsidP="00A259EE">
      <w:pPr>
        <w:pStyle w:val="Heading2"/>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80776069"/>
      <w:r w:rsidRPr="00D00C3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Ownership Structure</w:t>
      </w:r>
      <w:bookmarkEnd w:id="5"/>
    </w:p>
    <w:p w14:paraId="7613F5DC" w14:textId="77777777" w:rsidR="0005580E" w:rsidRDefault="00DB197B" w:rsidP="002252A8">
      <w:pPr>
        <w:jc w:val="both"/>
        <w:rPr>
          <w:rFonts w:ascii="Arial" w:hAnsi="Arial" w:cs="Arial"/>
          <w:sz w:val="24"/>
          <w:szCs w:val="24"/>
        </w:rPr>
      </w:pPr>
      <w:r w:rsidRPr="00D00C32">
        <w:rPr>
          <w:rFonts w:ascii="Arial" w:hAnsi="Arial" w:cs="Arial"/>
          <w:sz w:val="24"/>
          <w:szCs w:val="24"/>
        </w:rPr>
        <w:t xml:space="preserve">The ownership structure of a company significantly impacts its corporate governance practices. Compass Group exemplifies this with its varied shareholder composition, where no individual shareholder possesses a controlling stake, thereby reflecting the ideals of dispersed ownership as noted by </w:t>
      </w:r>
      <w:r w:rsidR="00C82DDF" w:rsidRPr="00C82DDF">
        <w:rPr>
          <w:rFonts w:ascii="Arial" w:hAnsi="Arial" w:cs="Arial"/>
          <w:sz w:val="24"/>
          <w:szCs w:val="24"/>
        </w:rPr>
        <w:t>(Melin</w:t>
      </w:r>
      <w:r w:rsidR="00C82DDF">
        <w:rPr>
          <w:rFonts w:ascii="Arial" w:hAnsi="Arial" w:cs="Arial"/>
          <w:sz w:val="24"/>
          <w:szCs w:val="24"/>
        </w:rPr>
        <w:t xml:space="preserve"> et.al, 2</w:t>
      </w:r>
      <w:r w:rsidR="00041876">
        <w:rPr>
          <w:rFonts w:ascii="Arial" w:hAnsi="Arial" w:cs="Arial"/>
          <w:sz w:val="24"/>
          <w:szCs w:val="24"/>
        </w:rPr>
        <w:t>014)</w:t>
      </w:r>
      <w:r w:rsidRPr="00D00C32">
        <w:rPr>
          <w:rFonts w:ascii="Arial" w:hAnsi="Arial" w:cs="Arial"/>
          <w:sz w:val="24"/>
          <w:szCs w:val="24"/>
        </w:rPr>
        <w:t xml:space="preserve">. </w:t>
      </w:r>
    </w:p>
    <w:p w14:paraId="2DDAE1D7" w14:textId="77777777" w:rsidR="0005580E" w:rsidRPr="00D25345" w:rsidRDefault="00B80145" w:rsidP="0005580E">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80776070"/>
      <w:r w:rsidRPr="00D25345">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Compensation</w:t>
      </w:r>
      <w:bookmarkEnd w:id="6"/>
    </w:p>
    <w:p w14:paraId="527E17C9" w14:textId="1597FBD7" w:rsidR="00D8777B" w:rsidRDefault="00D8777B" w:rsidP="002252A8">
      <w:pPr>
        <w:jc w:val="both"/>
        <w:rPr>
          <w:rFonts w:ascii="Arial" w:hAnsi="Arial" w:cs="Arial"/>
          <w:sz w:val="24"/>
          <w:szCs w:val="24"/>
        </w:rPr>
      </w:pPr>
      <w:r w:rsidRPr="00D8777B">
        <w:rPr>
          <w:rFonts w:ascii="Arial" w:hAnsi="Arial" w:cs="Arial"/>
          <w:sz w:val="24"/>
          <w:szCs w:val="24"/>
        </w:rPr>
        <w:t>The remuneration framework for the company's executives is designed to be closely linked to performance outcomes, incorporating a long-term incentive plan (LTIP) that is associated with both financial and non-financial indicators, including return on capital employed (ROCE) and sustainability objectives. This framework serves to encourage management to actively engage in achieving strategic objectives that ultimately enhance shareholder value (Core et al., 1999).</w:t>
      </w:r>
    </w:p>
    <w:p w14:paraId="099BD63D" w14:textId="52DBBA12" w:rsidR="00D25345" w:rsidRDefault="00B80145" w:rsidP="002252A8">
      <w:pPr>
        <w:pStyle w:val="Heading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80776071"/>
      <w:r w:rsidRPr="002252A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Management and Sustainability</w:t>
      </w:r>
      <w:bookmarkEnd w:id="7"/>
    </w:p>
    <w:p w14:paraId="268F5C2A" w14:textId="47662AAF" w:rsidR="00A04EBE" w:rsidRPr="00A04EBE" w:rsidRDefault="00A04EBE" w:rsidP="00A04EBE">
      <w:pPr>
        <w:jc w:val="both"/>
        <w:rPr>
          <w:rFonts w:ascii="Arial" w:hAnsi="Arial" w:cs="Arial"/>
          <w:sz w:val="24"/>
          <w:szCs w:val="24"/>
        </w:rPr>
      </w:pPr>
      <w:r w:rsidRPr="00A04EBE">
        <w:rPr>
          <w:rFonts w:ascii="Arial" w:hAnsi="Arial" w:cs="Arial"/>
          <w:sz w:val="24"/>
          <w:szCs w:val="24"/>
        </w:rPr>
        <w:t>Compass Group exhibits a strong dedication to sustainability, evidenced by its greenhouse gas intensity ratio of 6.4 tCO2e per million pounds in 2023, reflecting a 12% decrease compared to the previous year (Compass Group PLC, 2023). Additionally, the company's risk management framework prioritizes health and safety, as demonstrated by the enhancement of its Global Lost Time Incident Frequency Rate, which reached 1.98 in 2023</w:t>
      </w:r>
      <w:r w:rsidR="006C38C2">
        <w:rPr>
          <w:rFonts w:ascii="Arial" w:hAnsi="Arial" w:cs="Arial"/>
          <w:sz w:val="24"/>
          <w:szCs w:val="24"/>
        </w:rPr>
        <w:t xml:space="preserve"> </w:t>
      </w:r>
      <w:r w:rsidR="006C38C2" w:rsidRPr="00A04EBE">
        <w:rPr>
          <w:rFonts w:ascii="Arial" w:hAnsi="Arial" w:cs="Arial"/>
          <w:sz w:val="24"/>
          <w:szCs w:val="24"/>
        </w:rPr>
        <w:t xml:space="preserve">(Compass Group </w:t>
      </w:r>
      <w:proofErr w:type="gramStart"/>
      <w:r w:rsidR="006C38C2" w:rsidRPr="00A04EBE">
        <w:rPr>
          <w:rFonts w:ascii="Arial" w:hAnsi="Arial" w:cs="Arial"/>
          <w:sz w:val="24"/>
          <w:szCs w:val="24"/>
        </w:rPr>
        <w:t xml:space="preserve">PLC, </w:t>
      </w:r>
      <w:r w:rsidR="006C38C2">
        <w:rPr>
          <w:rFonts w:ascii="Arial" w:hAnsi="Arial" w:cs="Arial"/>
          <w:sz w:val="24"/>
          <w:szCs w:val="24"/>
        </w:rPr>
        <w:t xml:space="preserve"> </w:t>
      </w:r>
      <w:r w:rsidR="006C38C2" w:rsidRPr="00A04EBE">
        <w:rPr>
          <w:rFonts w:ascii="Arial" w:hAnsi="Arial" w:cs="Arial"/>
          <w:sz w:val="24"/>
          <w:szCs w:val="24"/>
        </w:rPr>
        <w:t>2023</w:t>
      </w:r>
      <w:proofErr w:type="gramEnd"/>
      <w:r w:rsidR="006C38C2" w:rsidRPr="00A04EBE">
        <w:rPr>
          <w:rFonts w:ascii="Arial" w:hAnsi="Arial" w:cs="Arial"/>
          <w:sz w:val="24"/>
          <w:szCs w:val="24"/>
        </w:rPr>
        <w:t>)</w:t>
      </w:r>
      <w:r w:rsidR="006C38C2">
        <w:rPr>
          <w:rFonts w:ascii="Arial" w:hAnsi="Arial" w:cs="Arial"/>
          <w:sz w:val="24"/>
          <w:szCs w:val="24"/>
        </w:rPr>
        <w:t>.</w:t>
      </w:r>
    </w:p>
    <w:p w14:paraId="75C764AE" w14:textId="77777777" w:rsidR="00183FF9" w:rsidRDefault="00B80145" w:rsidP="006C38C2">
      <w:pPr>
        <w:pStyle w:val="Heading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80776072"/>
      <w:r w:rsidRPr="006C38C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Shareholder Rights</w:t>
      </w:r>
      <w:bookmarkEnd w:id="8"/>
    </w:p>
    <w:p w14:paraId="05AB316E" w14:textId="67B4D75A" w:rsidR="00FD41D6" w:rsidRPr="00FD41D6" w:rsidRDefault="00FD41D6" w:rsidP="00FD41D6">
      <w:pPr>
        <w:jc w:val="both"/>
        <w:rPr>
          <w:rFonts w:ascii="Arial" w:hAnsi="Arial" w:cs="Arial"/>
          <w:sz w:val="24"/>
          <w:szCs w:val="24"/>
        </w:rPr>
      </w:pPr>
      <w:r w:rsidRPr="00FF11E0">
        <w:rPr>
          <w:rFonts w:ascii="Arial" w:hAnsi="Arial" w:cs="Arial"/>
          <w:sz w:val="24"/>
          <w:szCs w:val="24"/>
        </w:rPr>
        <w:t>The organization provides robust rights for its shareholders, guaranteeing that investors can influence significant decisions by participating in the voting process during annual general meetings</w:t>
      </w:r>
      <w:r>
        <w:rPr>
          <w:rFonts w:ascii="Arial" w:hAnsi="Arial" w:cs="Arial"/>
          <w:sz w:val="24"/>
          <w:szCs w:val="24"/>
        </w:rPr>
        <w:t xml:space="preserve"> </w:t>
      </w:r>
      <w:r w:rsidRPr="00A04EBE">
        <w:rPr>
          <w:rFonts w:ascii="Arial" w:hAnsi="Arial" w:cs="Arial"/>
          <w:sz w:val="24"/>
          <w:szCs w:val="24"/>
        </w:rPr>
        <w:t xml:space="preserve">(Compass Group </w:t>
      </w:r>
      <w:proofErr w:type="gramStart"/>
      <w:r w:rsidRPr="00A04EBE">
        <w:rPr>
          <w:rFonts w:ascii="Arial" w:hAnsi="Arial" w:cs="Arial"/>
          <w:sz w:val="24"/>
          <w:szCs w:val="24"/>
        </w:rPr>
        <w:t xml:space="preserve">PLC, </w:t>
      </w:r>
      <w:r>
        <w:rPr>
          <w:rFonts w:ascii="Arial" w:hAnsi="Arial" w:cs="Arial"/>
          <w:sz w:val="24"/>
          <w:szCs w:val="24"/>
        </w:rPr>
        <w:t xml:space="preserve"> </w:t>
      </w:r>
      <w:r w:rsidRPr="00A04EBE">
        <w:rPr>
          <w:rFonts w:ascii="Arial" w:hAnsi="Arial" w:cs="Arial"/>
          <w:sz w:val="24"/>
          <w:szCs w:val="24"/>
        </w:rPr>
        <w:t>202</w:t>
      </w:r>
      <w:r>
        <w:rPr>
          <w:rFonts w:ascii="Arial" w:hAnsi="Arial" w:cs="Arial"/>
          <w:sz w:val="24"/>
          <w:szCs w:val="24"/>
        </w:rPr>
        <w:t>4</w:t>
      </w:r>
      <w:proofErr w:type="gramEnd"/>
      <w:r w:rsidRPr="00A04EBE">
        <w:rPr>
          <w:rFonts w:ascii="Arial" w:hAnsi="Arial" w:cs="Arial"/>
          <w:sz w:val="24"/>
          <w:szCs w:val="24"/>
        </w:rPr>
        <w:t>)</w:t>
      </w:r>
      <w:r>
        <w:rPr>
          <w:rFonts w:ascii="Arial" w:hAnsi="Arial" w:cs="Arial"/>
          <w:sz w:val="24"/>
          <w:szCs w:val="24"/>
        </w:rPr>
        <w:t>.</w:t>
      </w:r>
    </w:p>
    <w:p w14:paraId="58C2D409" w14:textId="6A7C7B91" w:rsidR="00F900D2" w:rsidRPr="00F900D2" w:rsidRDefault="00F900D2" w:rsidP="00F900D2">
      <w:pPr>
        <w:jc w:val="both"/>
        <w:rPr>
          <w:rFonts w:ascii="Arial" w:hAnsi="Arial" w:cs="Arial"/>
          <w:sz w:val="24"/>
          <w:szCs w:val="24"/>
        </w:rPr>
      </w:pPr>
      <w:r w:rsidRPr="00F900D2">
        <w:rPr>
          <w:rFonts w:ascii="Arial" w:hAnsi="Arial" w:cs="Arial"/>
          <w:sz w:val="24"/>
          <w:szCs w:val="24"/>
        </w:rPr>
        <w:t>In 2020, in response to the financial repercussions of the COVID-19 pandemic, Compass Group deci</w:t>
      </w:r>
      <w:r w:rsidR="00FD41D6">
        <w:rPr>
          <w:rFonts w:ascii="Arial" w:hAnsi="Arial" w:cs="Arial"/>
          <w:sz w:val="24"/>
          <w:szCs w:val="24"/>
        </w:rPr>
        <w:t>ded</w:t>
      </w:r>
      <w:r w:rsidRPr="00F900D2">
        <w:rPr>
          <w:rFonts w:ascii="Arial" w:hAnsi="Arial" w:cs="Arial"/>
          <w:sz w:val="24"/>
          <w:szCs w:val="24"/>
        </w:rPr>
        <w:t xml:space="preserve"> to suspend both interim and final dividends to maintain liquidity and protect its operational capabilities. Consequently, no dividends were distributed to shareholders throughout that year (Compass Group PLC, 2020</w:t>
      </w:r>
      <w:r w:rsidR="00B6608C">
        <w:rPr>
          <w:rFonts w:ascii="Arial" w:hAnsi="Arial" w:cs="Arial"/>
          <w:sz w:val="24"/>
          <w:szCs w:val="24"/>
        </w:rPr>
        <w:t xml:space="preserve">). </w:t>
      </w:r>
      <w:r w:rsidRPr="00F900D2">
        <w:rPr>
          <w:rFonts w:ascii="Arial" w:hAnsi="Arial" w:cs="Arial"/>
          <w:sz w:val="24"/>
          <w:szCs w:val="24"/>
        </w:rPr>
        <w:t xml:space="preserve">By 2021, as the company began to regain its financial footing, it reinstated dividends, issuing a final dividend of 14.0 pence per share, which amounted to a total of £250 </w:t>
      </w:r>
      <w:r w:rsidRPr="00F900D2">
        <w:rPr>
          <w:rFonts w:ascii="Arial" w:hAnsi="Arial" w:cs="Arial"/>
          <w:sz w:val="24"/>
          <w:szCs w:val="24"/>
        </w:rPr>
        <w:lastRenderedPageBreak/>
        <w:t xml:space="preserve">million for shareholders (Compass Group PLC, 2021)​. In 2022, </w:t>
      </w:r>
      <w:proofErr w:type="gramStart"/>
      <w:r w:rsidRPr="00F900D2">
        <w:rPr>
          <w:rFonts w:ascii="Arial" w:hAnsi="Arial" w:cs="Arial"/>
          <w:sz w:val="24"/>
          <w:szCs w:val="24"/>
        </w:rPr>
        <w:t>continuing on</w:t>
      </w:r>
      <w:proofErr w:type="gramEnd"/>
      <w:r w:rsidRPr="00F900D2">
        <w:rPr>
          <w:rFonts w:ascii="Arial" w:hAnsi="Arial" w:cs="Arial"/>
          <w:sz w:val="24"/>
          <w:szCs w:val="24"/>
        </w:rPr>
        <w:t xml:space="preserve"> its upward financial trend, Compass Group declared an interim dividend of 9.4 pence per share, </w:t>
      </w:r>
      <w:r w:rsidR="008E31F0" w:rsidRPr="00F900D2">
        <w:rPr>
          <w:rFonts w:ascii="Arial" w:hAnsi="Arial" w:cs="Arial"/>
          <w:sz w:val="24"/>
          <w:szCs w:val="24"/>
        </w:rPr>
        <w:t>totalling</w:t>
      </w:r>
      <w:r w:rsidRPr="00F900D2">
        <w:rPr>
          <w:rFonts w:ascii="Arial" w:hAnsi="Arial" w:cs="Arial"/>
          <w:sz w:val="24"/>
          <w:szCs w:val="24"/>
        </w:rPr>
        <w:t xml:space="preserve"> £168 million, and proposed a final dividend of 22.1 pence per share, culminating in an overall dividend of 31.5 pence per share, which equated to £418 million (Compass Group PLC, 2022)​. Looking ahead to 2023, the company has planned an increase in the final dividend proposal, with specific payment and total dividend details anticipated to be confirmed during the forthcoming Annual General Meeting (Compass Group PLC, 2023)​. This trajectory of dividend payments illustrates Compass Group's dedication to striking a balance between preserving capital and providing returns to shareholders, all while maintaining a strategic emphasis on sustainability and operational recovery.</w:t>
      </w:r>
    </w:p>
    <w:p w14:paraId="44AF0416" w14:textId="77777777" w:rsidR="009F05A9" w:rsidRPr="009F05A9" w:rsidRDefault="00B80145" w:rsidP="009F05A9">
      <w:pPr>
        <w:pStyle w:val="Heading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80776073"/>
      <w:r w:rsidRPr="009F05A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Transparency and Disclosure</w:t>
      </w:r>
      <w:bookmarkEnd w:id="9"/>
      <w:r w:rsidRPr="009F05A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7D9B48F" w14:textId="131FE16D" w:rsidR="00B80145" w:rsidRDefault="00665085" w:rsidP="009F05A9">
      <w:pPr>
        <w:jc w:val="both"/>
        <w:rPr>
          <w:rFonts w:ascii="Arial" w:hAnsi="Arial" w:cs="Arial"/>
          <w:sz w:val="24"/>
          <w:szCs w:val="24"/>
        </w:rPr>
      </w:pPr>
      <w:r w:rsidRPr="00665085">
        <w:rPr>
          <w:rFonts w:ascii="Arial" w:hAnsi="Arial" w:cs="Arial"/>
          <w:sz w:val="24"/>
          <w:szCs w:val="24"/>
        </w:rPr>
        <w:t>The organization prioritizes transparent and thorough communication regarding its financial outcomes and governance standards. A notable example of this commitment is the 36.7% rise in its underlying basic earnings per share in 2023, a growth that is bolstered by robust disclosure practices (Compass Group PLC, 202</w:t>
      </w:r>
      <w:r>
        <w:rPr>
          <w:rFonts w:ascii="Arial" w:hAnsi="Arial" w:cs="Arial"/>
          <w:sz w:val="24"/>
          <w:szCs w:val="24"/>
        </w:rPr>
        <w:t>4</w:t>
      </w:r>
      <w:r w:rsidRPr="00665085">
        <w:rPr>
          <w:rFonts w:ascii="Arial" w:hAnsi="Arial" w:cs="Arial"/>
          <w:sz w:val="24"/>
          <w:szCs w:val="24"/>
        </w:rPr>
        <w:t>).</w:t>
      </w:r>
    </w:p>
    <w:p w14:paraId="1D3515CB" w14:textId="43BE041A" w:rsidR="00053A84" w:rsidRPr="00EF72B3" w:rsidRDefault="00DB197B" w:rsidP="009F05A9">
      <w:pPr>
        <w:pStyle w:val="Heading1"/>
        <w:jc w:val="both"/>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F72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0" w:name="_Toc180776074"/>
      <w:r w:rsidR="00053A84" w:rsidRPr="00EF72B3">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Relationship Between Corporate Governance Practices and Financial Performance</w:t>
      </w:r>
      <w:bookmarkEnd w:id="10"/>
    </w:p>
    <w:p w14:paraId="33FF1BAC" w14:textId="602B73B0" w:rsidR="00AA11B8" w:rsidRDefault="00E04953" w:rsidP="009F05A9">
      <w:pPr>
        <w:jc w:val="both"/>
        <w:rPr>
          <w:rFonts w:ascii="Arial" w:hAnsi="Arial" w:cs="Arial"/>
          <w:sz w:val="24"/>
          <w:szCs w:val="24"/>
        </w:rPr>
      </w:pPr>
      <w:r w:rsidRPr="00E04953">
        <w:rPr>
          <w:rFonts w:ascii="Arial" w:hAnsi="Arial" w:cs="Arial"/>
          <w:sz w:val="24"/>
          <w:szCs w:val="24"/>
        </w:rPr>
        <w:t xml:space="preserve">A favourable relationship between board independence and return on equity (ROE) is anticipated. Research by Adams and Ferreira (2009) indicates that independent directors tend to enhance oversight and ensure that management prioritizes the interests of shareholders. Over the last five years, Compass Group has maintained a board composition with </w:t>
      </w:r>
      <w:proofErr w:type="gramStart"/>
      <w:r w:rsidRPr="00E04953">
        <w:rPr>
          <w:rFonts w:ascii="Arial" w:hAnsi="Arial" w:cs="Arial"/>
          <w:sz w:val="24"/>
          <w:szCs w:val="24"/>
        </w:rPr>
        <w:t>a majority of</w:t>
      </w:r>
      <w:proofErr w:type="gramEnd"/>
      <w:r w:rsidRPr="00E04953">
        <w:rPr>
          <w:rFonts w:ascii="Arial" w:hAnsi="Arial" w:cs="Arial"/>
          <w:sz w:val="24"/>
          <w:szCs w:val="24"/>
        </w:rPr>
        <w:t xml:space="preserve"> independent directors, which has played a significant role in sustaining stable ROE performance (Compass Group PLC, 202</w:t>
      </w:r>
      <w:r w:rsidR="00351F2F">
        <w:rPr>
          <w:rFonts w:ascii="Arial" w:hAnsi="Arial" w:cs="Arial"/>
          <w:sz w:val="24"/>
          <w:szCs w:val="24"/>
        </w:rPr>
        <w:t>4</w:t>
      </w:r>
      <w:r w:rsidRPr="00E04953">
        <w:rPr>
          <w:rFonts w:ascii="Arial" w:hAnsi="Arial" w:cs="Arial"/>
          <w:sz w:val="24"/>
          <w:szCs w:val="24"/>
        </w:rPr>
        <w:t>). It is essential to align executive compensation with the performance of the firm to effectively motivate management toward achieving robust results. Compass Group’s long-term incentive plans (LTIPs) tie executive bonuses to financial metrics, particularly return on assets (ROA) and stock price performance. This strategy has led management to concentrate on enhancing asset efficiency (Core</w:t>
      </w:r>
      <w:r w:rsidR="00874F56">
        <w:rPr>
          <w:rFonts w:ascii="Arial" w:hAnsi="Arial" w:cs="Arial"/>
          <w:sz w:val="24"/>
          <w:szCs w:val="24"/>
        </w:rPr>
        <w:t xml:space="preserve"> et.al</w:t>
      </w:r>
      <w:r w:rsidRPr="00E04953">
        <w:rPr>
          <w:rFonts w:ascii="Arial" w:hAnsi="Arial" w:cs="Arial"/>
          <w:sz w:val="24"/>
          <w:szCs w:val="24"/>
        </w:rPr>
        <w:t>, 1999). The independence and expertise of the audit committee have been instrumental in ensuring the accuracy of Compass Group's financial statements. The company's strong governance practices concerning audits have bolstered investor confidence, as demonstrated by its consistent stock price and earnings growth (Compass Group PLC, 202</w:t>
      </w:r>
      <w:r w:rsidR="00874F56">
        <w:rPr>
          <w:rFonts w:ascii="Arial" w:hAnsi="Arial" w:cs="Arial"/>
          <w:sz w:val="24"/>
          <w:szCs w:val="24"/>
        </w:rPr>
        <w:t>4</w:t>
      </w:r>
      <w:r w:rsidRPr="00E04953">
        <w:rPr>
          <w:rFonts w:ascii="Arial" w:hAnsi="Arial" w:cs="Arial"/>
          <w:sz w:val="24"/>
          <w:szCs w:val="24"/>
        </w:rPr>
        <w:t xml:space="preserve">). </w:t>
      </w:r>
    </w:p>
    <w:p w14:paraId="05812B45" w14:textId="77777777" w:rsidR="00B20799" w:rsidRDefault="00B20799" w:rsidP="009F05A9">
      <w:pPr>
        <w:jc w:val="both"/>
        <w:rPr>
          <w:rFonts w:ascii="Arial" w:hAnsi="Arial" w:cs="Arial"/>
          <w:sz w:val="24"/>
          <w:szCs w:val="24"/>
        </w:rPr>
      </w:pPr>
      <w:r w:rsidRPr="00837E07">
        <w:rPr>
          <w:rFonts w:ascii="Arial" w:hAnsi="Arial" w:cs="Arial"/>
          <w:sz w:val="24"/>
          <w:szCs w:val="24"/>
        </w:rPr>
        <w:t>These metrics reflect strong governance practices, strategic focus, and efficient operational management across the company</w:t>
      </w:r>
      <w:r>
        <w:rPr>
          <w:rFonts w:ascii="Arial" w:hAnsi="Arial" w:cs="Arial"/>
          <w:sz w:val="24"/>
          <w:szCs w:val="24"/>
        </w:rPr>
        <w:t>.</w:t>
      </w:r>
    </w:p>
    <w:p w14:paraId="2ABBE65C" w14:textId="77777777" w:rsidR="00B20799" w:rsidRDefault="00B20799" w:rsidP="005A3FBA">
      <w:pPr>
        <w:rPr>
          <w:rFonts w:ascii="Arial" w:hAnsi="Arial" w:cs="Arial"/>
          <w:sz w:val="24"/>
          <w:szCs w:val="24"/>
        </w:rPr>
      </w:pPr>
    </w:p>
    <w:p w14:paraId="3046088D" w14:textId="509A025B" w:rsidR="000F5D76" w:rsidRDefault="000F5D76" w:rsidP="005A3FBA">
      <w:pPr>
        <w:rPr>
          <w:rFonts w:ascii="Arial" w:hAnsi="Arial" w:cs="Arial"/>
          <w:sz w:val="24"/>
          <w:szCs w:val="24"/>
        </w:rPr>
      </w:pPr>
      <w:r>
        <w:rPr>
          <w:noProof/>
        </w:rPr>
        <w:lastRenderedPageBreak/>
        <w:drawing>
          <wp:inline distT="0" distB="0" distL="0" distR="0" wp14:anchorId="3F593553" wp14:editId="5C5F89F1">
            <wp:extent cx="4572000" cy="2743200"/>
            <wp:effectExtent l="0" t="0" r="0" b="0"/>
            <wp:docPr id="882198431" name="Chart 1">
              <a:extLst xmlns:a="http://schemas.openxmlformats.org/drawingml/2006/main">
                <a:ext uri="{FF2B5EF4-FFF2-40B4-BE49-F238E27FC236}">
                  <a16:creationId xmlns:a16="http://schemas.microsoft.com/office/drawing/2014/main" id="{1EEB8381-EFF5-F325-8CCF-721D7FC87E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EC14700" w14:textId="3F0DBABD" w:rsidR="00AA11B8" w:rsidRPr="00F36B96" w:rsidRDefault="00F36B96" w:rsidP="00F36B96">
      <w:pPr>
        <w:jc w:val="center"/>
        <w:rPr>
          <w:rFonts w:ascii="Arial" w:hAnsi="Arial" w:cs="Arial"/>
          <w:sz w:val="20"/>
          <w:szCs w:val="20"/>
        </w:rPr>
      </w:pPr>
      <w:r w:rsidRPr="00F36B96">
        <w:rPr>
          <w:rFonts w:ascii="Arial" w:hAnsi="Arial" w:cs="Arial"/>
          <w:sz w:val="20"/>
          <w:szCs w:val="20"/>
        </w:rPr>
        <w:t xml:space="preserve">                                                     Source: Self mode</w:t>
      </w:r>
    </w:p>
    <w:p w14:paraId="0B10B1A0" w14:textId="77777777" w:rsidR="00AA11B8" w:rsidRDefault="00AA11B8" w:rsidP="005A3FBA">
      <w:pPr>
        <w:rPr>
          <w:rFonts w:ascii="Arial" w:hAnsi="Arial" w:cs="Arial"/>
          <w:sz w:val="24"/>
          <w:szCs w:val="24"/>
        </w:rPr>
      </w:pPr>
    </w:p>
    <w:p w14:paraId="65E16F56" w14:textId="02AE88B8" w:rsidR="00D82E42" w:rsidRPr="005A3FBA" w:rsidRDefault="00E04953" w:rsidP="005A3FBA">
      <w:pPr>
        <w:rPr>
          <w:rFonts w:ascii="Arial" w:hAnsi="Arial" w:cs="Arial"/>
          <w:sz w:val="24"/>
          <w:szCs w:val="24"/>
        </w:rPr>
      </w:pPr>
      <w:r w:rsidRPr="00E04953">
        <w:rPr>
          <w:rFonts w:ascii="Arial" w:hAnsi="Arial" w:cs="Arial"/>
          <w:sz w:val="24"/>
          <w:szCs w:val="24"/>
        </w:rPr>
        <w:t xml:space="preserve">Firms that maintain transparency in their financial reporting generally enjoy </w:t>
      </w:r>
      <w:r w:rsidR="00057210">
        <w:rPr>
          <w:rFonts w:ascii="Arial" w:hAnsi="Arial" w:cs="Arial"/>
          <w:sz w:val="24"/>
          <w:szCs w:val="24"/>
        </w:rPr>
        <w:t xml:space="preserve">a </w:t>
      </w:r>
      <w:r w:rsidRPr="00E04953">
        <w:rPr>
          <w:rFonts w:ascii="Arial" w:hAnsi="Arial" w:cs="Arial"/>
          <w:sz w:val="24"/>
          <w:szCs w:val="24"/>
        </w:rPr>
        <w:t xml:space="preserve">superior market performance, attributed to heightened investor confidence (Bushman </w:t>
      </w:r>
      <w:r w:rsidR="00FB23EA">
        <w:rPr>
          <w:rFonts w:ascii="Arial" w:hAnsi="Arial" w:cs="Arial"/>
          <w:sz w:val="24"/>
          <w:szCs w:val="24"/>
        </w:rPr>
        <w:t>et.al</w:t>
      </w:r>
      <w:r w:rsidRPr="00E04953">
        <w:rPr>
          <w:rFonts w:ascii="Arial" w:hAnsi="Arial" w:cs="Arial"/>
          <w:sz w:val="24"/>
          <w:szCs w:val="24"/>
        </w:rPr>
        <w:t xml:space="preserve">, 2001). Compass Group’s comprehensive annual reports, which encompass its corporate social responsibility (CSR) and environmental, social, and governance (ESG) disclosures, have positively influenced its financial outcomes, as evidenced by the growth in its net profit margin over the past </w:t>
      </w:r>
      <w:r w:rsidR="002F2DE6">
        <w:rPr>
          <w:rFonts w:ascii="Arial" w:hAnsi="Arial" w:cs="Arial"/>
          <w:sz w:val="24"/>
          <w:szCs w:val="24"/>
        </w:rPr>
        <w:t xml:space="preserve">four </w:t>
      </w:r>
      <w:r w:rsidRPr="00E04953">
        <w:rPr>
          <w:rFonts w:ascii="Arial" w:hAnsi="Arial" w:cs="Arial"/>
          <w:sz w:val="24"/>
          <w:szCs w:val="24"/>
        </w:rPr>
        <w:t>years (Compass Group PLC, 202</w:t>
      </w:r>
      <w:r w:rsidR="002F2DE6">
        <w:rPr>
          <w:rFonts w:ascii="Arial" w:hAnsi="Arial" w:cs="Arial"/>
          <w:sz w:val="24"/>
          <w:szCs w:val="24"/>
        </w:rPr>
        <w:t>4</w:t>
      </w:r>
      <w:r w:rsidRPr="00E04953">
        <w:rPr>
          <w:rFonts w:ascii="Arial" w:hAnsi="Arial" w:cs="Arial"/>
          <w:sz w:val="24"/>
          <w:szCs w:val="24"/>
        </w:rPr>
        <w:t>).</w:t>
      </w:r>
    </w:p>
    <w:p w14:paraId="0D5904FE" w14:textId="77777777" w:rsidR="00200262" w:rsidRDefault="00200262" w:rsidP="00230383">
      <w:pPr>
        <w:spacing w:line="360" w:lineRule="auto"/>
        <w:rPr>
          <w:rFonts w:ascii="Arial" w:hAnsi="Arial" w:cs="Arial"/>
          <w:sz w:val="24"/>
          <w:szCs w:val="24"/>
        </w:rPr>
      </w:pPr>
    </w:p>
    <w:p w14:paraId="375B7048" w14:textId="5A62DAD5" w:rsidR="00200262" w:rsidRDefault="00301FD1" w:rsidP="00230383">
      <w:pPr>
        <w:spacing w:line="360" w:lineRule="auto"/>
        <w:rPr>
          <w:rFonts w:ascii="Arial" w:hAnsi="Arial" w:cs="Arial"/>
          <w:sz w:val="24"/>
          <w:szCs w:val="24"/>
        </w:rPr>
      </w:pPr>
      <w:r>
        <w:rPr>
          <w:noProof/>
        </w:rPr>
        <w:drawing>
          <wp:inline distT="0" distB="0" distL="0" distR="0" wp14:anchorId="1D7203E2" wp14:editId="14531ACE">
            <wp:extent cx="5227320" cy="2346960"/>
            <wp:effectExtent l="0" t="0" r="11430" b="15240"/>
            <wp:docPr id="1586133079" name="Chart 1">
              <a:extLst xmlns:a="http://schemas.openxmlformats.org/drawingml/2006/main">
                <a:ext uri="{FF2B5EF4-FFF2-40B4-BE49-F238E27FC236}">
                  <a16:creationId xmlns:a16="http://schemas.microsoft.com/office/drawing/2014/main" id="{DB728A46-F07B-8780-56B2-EBF92AA2EF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7C3DAF" w14:textId="77777777" w:rsidR="00FC79C0" w:rsidRDefault="00700314" w:rsidP="00230383">
      <w:pPr>
        <w:spacing w:line="360" w:lineRule="auto"/>
        <w:rPr>
          <w:rFonts w:ascii="Arial" w:hAnsi="Arial" w:cs="Arial"/>
          <w:sz w:val="24"/>
          <w:szCs w:val="24"/>
        </w:rPr>
      </w:pPr>
      <w:r>
        <w:rPr>
          <w:rFonts w:ascii="Arial" w:hAnsi="Arial" w:cs="Arial"/>
          <w:sz w:val="24"/>
          <w:szCs w:val="24"/>
        </w:rPr>
        <w:t xml:space="preserve">         </w:t>
      </w:r>
    </w:p>
    <w:p w14:paraId="5ABBC273" w14:textId="77777777" w:rsidR="00FC79C0" w:rsidRDefault="00FC79C0" w:rsidP="00230383">
      <w:pPr>
        <w:spacing w:line="360" w:lineRule="auto"/>
        <w:rPr>
          <w:rFonts w:ascii="Arial" w:hAnsi="Arial" w:cs="Arial"/>
          <w:sz w:val="24"/>
          <w:szCs w:val="24"/>
        </w:rPr>
      </w:pPr>
    </w:p>
    <w:p w14:paraId="57E00482" w14:textId="7057288E" w:rsidR="00700314" w:rsidRPr="006F0E05" w:rsidRDefault="00700314" w:rsidP="00230383">
      <w:pPr>
        <w:spacing w:line="360" w:lineRule="auto"/>
        <w:rPr>
          <w:rFonts w:ascii="Arial" w:hAnsi="Arial" w:cs="Arial"/>
          <w:sz w:val="18"/>
          <w:szCs w:val="18"/>
        </w:rPr>
      </w:pPr>
      <w:r>
        <w:rPr>
          <w:rFonts w:ascii="Arial" w:hAnsi="Arial" w:cs="Arial"/>
          <w:sz w:val="24"/>
          <w:szCs w:val="24"/>
        </w:rPr>
        <w:t xml:space="preserve">                                                                 </w:t>
      </w:r>
      <w:r w:rsidRPr="006F0E05">
        <w:rPr>
          <w:rFonts w:ascii="Arial" w:hAnsi="Arial" w:cs="Arial"/>
          <w:sz w:val="18"/>
          <w:szCs w:val="18"/>
        </w:rPr>
        <w:t xml:space="preserve">Source: </w:t>
      </w:r>
      <w:r w:rsidR="002F2DE6" w:rsidRPr="006F0E05">
        <w:rPr>
          <w:rFonts w:ascii="Arial" w:hAnsi="Arial" w:cs="Arial"/>
          <w:sz w:val="18"/>
          <w:szCs w:val="18"/>
        </w:rPr>
        <w:t>Self mode</w:t>
      </w:r>
    </w:p>
    <w:p w14:paraId="7E9C5B4B" w14:textId="77777777" w:rsidR="00784BFA" w:rsidRPr="00784BFA" w:rsidRDefault="00784BFA" w:rsidP="00784BFA">
      <w:pPr>
        <w:pStyle w:val="Heading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80776075"/>
      <w:r w:rsidRPr="00784BF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bookmarkEnd w:id="11"/>
    </w:p>
    <w:p w14:paraId="2F436CC1" w14:textId="44FF2467" w:rsidR="00200262" w:rsidRDefault="00EA1143" w:rsidP="00230383">
      <w:pPr>
        <w:spacing w:line="360" w:lineRule="auto"/>
        <w:rPr>
          <w:rFonts w:ascii="Arial" w:hAnsi="Arial" w:cs="Arial"/>
          <w:sz w:val="24"/>
          <w:szCs w:val="24"/>
        </w:rPr>
      </w:pPr>
      <w:r w:rsidRPr="00EA1143">
        <w:rPr>
          <w:rFonts w:ascii="Arial" w:hAnsi="Arial" w:cs="Arial"/>
          <w:sz w:val="24"/>
          <w:szCs w:val="24"/>
        </w:rPr>
        <w:t>The corporate governance practices of Compass Group PLC have significantly enhanced its financial performance over the past five years. Essential elements of governance, including the independence of the board, the oversight provided by the audit committee, and the alignment of executive compensation with performance metrics, have played a crucial role in the company's financial achievements and overall stability</w:t>
      </w:r>
      <w:r w:rsidR="008A1061">
        <w:rPr>
          <w:rFonts w:ascii="Arial" w:hAnsi="Arial" w:cs="Arial"/>
          <w:sz w:val="24"/>
          <w:szCs w:val="24"/>
        </w:rPr>
        <w:t xml:space="preserve"> (Adams et al., </w:t>
      </w:r>
      <w:r w:rsidR="00C27F8A">
        <w:rPr>
          <w:rFonts w:ascii="Arial" w:hAnsi="Arial" w:cs="Arial"/>
          <w:sz w:val="24"/>
          <w:szCs w:val="24"/>
        </w:rPr>
        <w:t xml:space="preserve">2009). </w:t>
      </w:r>
      <w:r w:rsidRPr="00EA1143">
        <w:rPr>
          <w:rFonts w:ascii="Arial" w:hAnsi="Arial" w:cs="Arial"/>
          <w:sz w:val="24"/>
          <w:szCs w:val="24"/>
        </w:rPr>
        <w:t>An independent and diverse board fosters impartial strategic guidance and accountability, which has enabled Compass Group to achieve sustainable revenue growth while bolstering investor trust. In 2023, the board's effective governance was reflected in an impressive organic revenue growth of 18.8%, underscoring the importance of robust board oversight in seizing new business opportunities and responding to market dynamics</w:t>
      </w:r>
      <w:r w:rsidR="003347F6">
        <w:rPr>
          <w:rFonts w:ascii="Arial" w:hAnsi="Arial" w:cs="Arial"/>
          <w:sz w:val="24"/>
          <w:szCs w:val="24"/>
        </w:rPr>
        <w:t xml:space="preserve"> </w:t>
      </w:r>
      <w:r w:rsidR="003347F6" w:rsidRPr="003347F6">
        <w:rPr>
          <w:rFonts w:ascii="Arial" w:hAnsi="Arial" w:cs="Arial"/>
          <w:sz w:val="24"/>
          <w:szCs w:val="24"/>
        </w:rPr>
        <w:t>(Compass Group PLC, 202</w:t>
      </w:r>
      <w:r w:rsidR="003347F6">
        <w:rPr>
          <w:rFonts w:ascii="Arial" w:hAnsi="Arial" w:cs="Arial"/>
          <w:sz w:val="24"/>
          <w:szCs w:val="24"/>
        </w:rPr>
        <w:t>4</w:t>
      </w:r>
      <w:r w:rsidR="003347F6" w:rsidRPr="003347F6">
        <w:rPr>
          <w:rFonts w:ascii="Arial" w:hAnsi="Arial" w:cs="Arial"/>
          <w:sz w:val="24"/>
          <w:szCs w:val="24"/>
        </w:rPr>
        <w:t>).</w:t>
      </w:r>
    </w:p>
    <w:p w14:paraId="46C74179" w14:textId="26EC979E" w:rsidR="009A70F9" w:rsidRDefault="009A70F9" w:rsidP="00230383">
      <w:pPr>
        <w:spacing w:line="360" w:lineRule="auto"/>
        <w:rPr>
          <w:rFonts w:ascii="Arial" w:hAnsi="Arial" w:cs="Arial"/>
          <w:sz w:val="24"/>
          <w:szCs w:val="24"/>
        </w:rPr>
      </w:pPr>
      <w:r w:rsidRPr="009A70F9">
        <w:rPr>
          <w:rFonts w:ascii="Arial" w:hAnsi="Arial" w:cs="Arial"/>
          <w:sz w:val="24"/>
          <w:szCs w:val="24"/>
        </w:rPr>
        <w:t>As Compass Group moves forward, it is crucial to enhance its governance framework, particularly by progressing its sustainability initiatives and environmental, social, and governance (ESG) objectives. Strengthening stakeholder engagement and implementing more robust ESG policies will play a vital role in fostering long-term financial stability and value generation, which aligns with the company's aims of growth, performance, and purpose (Financial Reporting Council, 2018).</w:t>
      </w:r>
    </w:p>
    <w:p w14:paraId="20708009" w14:textId="77777777" w:rsidR="00200262" w:rsidRDefault="00200262" w:rsidP="00230383">
      <w:pPr>
        <w:spacing w:line="360" w:lineRule="auto"/>
        <w:rPr>
          <w:rFonts w:ascii="Arial" w:hAnsi="Arial" w:cs="Arial"/>
          <w:sz w:val="24"/>
          <w:szCs w:val="24"/>
        </w:rPr>
      </w:pPr>
    </w:p>
    <w:p w14:paraId="0CD4A212" w14:textId="77777777" w:rsidR="00200262" w:rsidRDefault="00200262" w:rsidP="00230383">
      <w:pPr>
        <w:spacing w:line="360" w:lineRule="auto"/>
        <w:rPr>
          <w:rFonts w:ascii="Arial" w:hAnsi="Arial" w:cs="Arial"/>
          <w:sz w:val="24"/>
          <w:szCs w:val="24"/>
        </w:rPr>
      </w:pPr>
    </w:p>
    <w:p w14:paraId="2484D491" w14:textId="77777777" w:rsidR="00200262" w:rsidRDefault="00200262" w:rsidP="00230383">
      <w:pPr>
        <w:spacing w:line="360" w:lineRule="auto"/>
        <w:rPr>
          <w:rFonts w:ascii="Arial" w:hAnsi="Arial" w:cs="Arial"/>
          <w:sz w:val="24"/>
          <w:szCs w:val="24"/>
        </w:rPr>
      </w:pPr>
    </w:p>
    <w:p w14:paraId="007CBCE1" w14:textId="77777777" w:rsidR="00200262" w:rsidRDefault="00200262" w:rsidP="00230383">
      <w:pPr>
        <w:spacing w:line="360" w:lineRule="auto"/>
        <w:rPr>
          <w:rFonts w:ascii="Arial" w:hAnsi="Arial" w:cs="Arial"/>
          <w:sz w:val="24"/>
          <w:szCs w:val="24"/>
        </w:rPr>
      </w:pPr>
    </w:p>
    <w:p w14:paraId="1D7B148B" w14:textId="77777777" w:rsidR="00200262" w:rsidRDefault="00200262" w:rsidP="00230383">
      <w:pPr>
        <w:spacing w:line="360" w:lineRule="auto"/>
        <w:rPr>
          <w:rFonts w:ascii="Arial" w:hAnsi="Arial" w:cs="Arial"/>
          <w:sz w:val="24"/>
          <w:szCs w:val="24"/>
        </w:rPr>
      </w:pPr>
    </w:p>
    <w:p w14:paraId="7AC090AE" w14:textId="77777777" w:rsidR="00200262" w:rsidRDefault="00200262" w:rsidP="00230383">
      <w:pPr>
        <w:spacing w:line="360" w:lineRule="auto"/>
        <w:rPr>
          <w:rFonts w:ascii="Arial" w:hAnsi="Arial" w:cs="Arial"/>
          <w:sz w:val="24"/>
          <w:szCs w:val="24"/>
        </w:rPr>
      </w:pPr>
    </w:p>
    <w:p w14:paraId="76AD3DA2" w14:textId="77777777" w:rsidR="006D7D90" w:rsidRDefault="006D7D90" w:rsidP="00230383">
      <w:pPr>
        <w:spacing w:line="360" w:lineRule="auto"/>
        <w:rPr>
          <w:rFonts w:ascii="Arial" w:hAnsi="Arial" w:cs="Arial"/>
          <w:sz w:val="24"/>
          <w:szCs w:val="24"/>
        </w:rPr>
      </w:pPr>
    </w:p>
    <w:p w14:paraId="6DBFE023" w14:textId="77777777" w:rsidR="00200262" w:rsidRDefault="00200262" w:rsidP="00230383">
      <w:pPr>
        <w:spacing w:line="360" w:lineRule="auto"/>
        <w:rPr>
          <w:rFonts w:ascii="Arial" w:hAnsi="Arial" w:cs="Arial"/>
          <w:sz w:val="24"/>
          <w:szCs w:val="24"/>
        </w:rPr>
      </w:pPr>
    </w:p>
    <w:p w14:paraId="2EA68EA9" w14:textId="77777777" w:rsidR="006D7D90" w:rsidRDefault="006D7D90" w:rsidP="00230383">
      <w:pPr>
        <w:spacing w:line="360" w:lineRule="auto"/>
        <w:rPr>
          <w:rFonts w:ascii="Arial" w:hAnsi="Arial" w:cs="Arial"/>
          <w:sz w:val="24"/>
          <w:szCs w:val="24"/>
        </w:rPr>
      </w:pPr>
    </w:p>
    <w:p w14:paraId="37A68CB4" w14:textId="66AF1B3B" w:rsidR="006D7D90" w:rsidRDefault="00200262" w:rsidP="006D7D90">
      <w:pPr>
        <w:pStyle w:val="Heading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80776076"/>
      <w:r w:rsidRPr="0020026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2"/>
      <w:r w:rsidRPr="0020026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3AD1524" w14:textId="77777777" w:rsidR="00766821" w:rsidRDefault="00766821" w:rsidP="004F2B60">
      <w:pPr>
        <w:spacing w:line="360" w:lineRule="auto"/>
        <w:rPr>
          <w:rFonts w:ascii="Arial" w:hAnsi="Arial" w:cs="Arial"/>
          <w:sz w:val="24"/>
          <w:szCs w:val="24"/>
        </w:rPr>
      </w:pPr>
    </w:p>
    <w:p w14:paraId="021103E3" w14:textId="77777777" w:rsidR="00766821" w:rsidRPr="006F4D6E" w:rsidRDefault="00766821" w:rsidP="006F4D6E">
      <w:pPr>
        <w:spacing w:line="360" w:lineRule="auto"/>
        <w:rPr>
          <w:rFonts w:ascii="Arial" w:hAnsi="Arial" w:cs="Arial"/>
          <w:sz w:val="24"/>
          <w:szCs w:val="24"/>
        </w:rPr>
      </w:pPr>
      <w:r w:rsidRPr="006F4D6E">
        <w:rPr>
          <w:rFonts w:ascii="Arial" w:hAnsi="Arial" w:cs="Arial"/>
          <w:sz w:val="24"/>
          <w:szCs w:val="24"/>
        </w:rPr>
        <w:t>Adams, R.B. and Ferreira, D., (2009</w:t>
      </w:r>
      <w:r>
        <w:rPr>
          <w:rFonts w:ascii="Arial" w:hAnsi="Arial" w:cs="Arial"/>
          <w:b/>
          <w:bCs/>
          <w:sz w:val="24"/>
          <w:szCs w:val="24"/>
        </w:rPr>
        <w:t>)</w:t>
      </w:r>
      <w:r w:rsidRPr="006F4D6E">
        <w:rPr>
          <w:rFonts w:ascii="Arial" w:hAnsi="Arial" w:cs="Arial"/>
          <w:b/>
          <w:bCs/>
          <w:sz w:val="24"/>
          <w:szCs w:val="24"/>
        </w:rPr>
        <w:t>.</w:t>
      </w:r>
      <w:r w:rsidRPr="006F4D6E">
        <w:rPr>
          <w:rFonts w:ascii="Arial" w:hAnsi="Arial" w:cs="Arial"/>
          <w:sz w:val="24"/>
          <w:szCs w:val="24"/>
        </w:rPr>
        <w:t xml:space="preserve"> Women in the boardroom and their impact on governance and performance. </w:t>
      </w:r>
      <w:r w:rsidRPr="006F4D6E">
        <w:rPr>
          <w:rFonts w:ascii="Arial" w:hAnsi="Arial" w:cs="Arial"/>
          <w:i/>
          <w:iCs/>
          <w:sz w:val="24"/>
          <w:szCs w:val="24"/>
        </w:rPr>
        <w:t>Journal of Financial Economics</w:t>
      </w:r>
      <w:r w:rsidRPr="006F4D6E">
        <w:rPr>
          <w:rFonts w:ascii="Arial" w:hAnsi="Arial" w:cs="Arial"/>
          <w:sz w:val="24"/>
          <w:szCs w:val="24"/>
        </w:rPr>
        <w:t>, 94(2), pp.291-309.</w:t>
      </w:r>
    </w:p>
    <w:p w14:paraId="61CECDF7" w14:textId="77777777" w:rsidR="00766821" w:rsidRPr="00834B8A" w:rsidRDefault="00766821" w:rsidP="00834B8A">
      <w:pPr>
        <w:spacing w:line="360" w:lineRule="auto"/>
        <w:rPr>
          <w:rFonts w:ascii="Arial" w:hAnsi="Arial" w:cs="Arial"/>
          <w:sz w:val="24"/>
          <w:szCs w:val="24"/>
        </w:rPr>
      </w:pPr>
      <w:r w:rsidRPr="00FB23EA">
        <w:rPr>
          <w:rFonts w:ascii="Arial" w:hAnsi="Arial" w:cs="Arial"/>
          <w:sz w:val="24"/>
          <w:szCs w:val="24"/>
        </w:rPr>
        <w:t xml:space="preserve">Bushman, R.M. and Smith, A.J., </w:t>
      </w:r>
      <w:r>
        <w:rPr>
          <w:rFonts w:ascii="Arial" w:hAnsi="Arial" w:cs="Arial"/>
          <w:sz w:val="24"/>
          <w:szCs w:val="24"/>
        </w:rPr>
        <w:t>(</w:t>
      </w:r>
      <w:r w:rsidRPr="00FB23EA">
        <w:rPr>
          <w:rFonts w:ascii="Arial" w:hAnsi="Arial" w:cs="Arial"/>
          <w:sz w:val="24"/>
          <w:szCs w:val="24"/>
        </w:rPr>
        <w:t>2001</w:t>
      </w:r>
      <w:r>
        <w:rPr>
          <w:rFonts w:ascii="Arial" w:hAnsi="Arial" w:cs="Arial"/>
          <w:sz w:val="24"/>
          <w:szCs w:val="24"/>
        </w:rPr>
        <w:t>)</w:t>
      </w:r>
      <w:r w:rsidRPr="00FB23EA">
        <w:rPr>
          <w:rFonts w:ascii="Arial" w:hAnsi="Arial" w:cs="Arial"/>
          <w:sz w:val="24"/>
          <w:szCs w:val="24"/>
        </w:rPr>
        <w:t xml:space="preserve">. Financial accounting information and corporate governance. </w:t>
      </w:r>
      <w:r w:rsidRPr="00FB23EA">
        <w:rPr>
          <w:rFonts w:ascii="Arial" w:hAnsi="Arial" w:cs="Arial"/>
          <w:i/>
          <w:iCs/>
          <w:sz w:val="24"/>
          <w:szCs w:val="24"/>
        </w:rPr>
        <w:t>Journal of Accounting and Economics</w:t>
      </w:r>
      <w:r w:rsidRPr="00FB23EA">
        <w:rPr>
          <w:rFonts w:ascii="Arial" w:hAnsi="Arial" w:cs="Arial"/>
          <w:sz w:val="24"/>
          <w:szCs w:val="24"/>
        </w:rPr>
        <w:t>, 32(1-3), pp.237-333.</w:t>
      </w:r>
    </w:p>
    <w:p w14:paraId="55C066E8" w14:textId="77777777" w:rsidR="00766821" w:rsidRDefault="00766821" w:rsidP="004F2B60">
      <w:pPr>
        <w:spacing w:line="360" w:lineRule="auto"/>
        <w:rPr>
          <w:rFonts w:ascii="Arial" w:hAnsi="Arial" w:cs="Arial"/>
          <w:sz w:val="24"/>
          <w:szCs w:val="24"/>
        </w:rPr>
      </w:pPr>
      <w:r w:rsidRPr="004F2B60">
        <w:rPr>
          <w:rFonts w:ascii="Arial" w:hAnsi="Arial" w:cs="Arial"/>
          <w:sz w:val="24"/>
          <w:szCs w:val="24"/>
        </w:rPr>
        <w:t xml:space="preserve">Claessens, S., </w:t>
      </w:r>
      <w:r>
        <w:rPr>
          <w:rFonts w:ascii="Arial" w:hAnsi="Arial" w:cs="Arial"/>
          <w:sz w:val="24"/>
          <w:szCs w:val="24"/>
        </w:rPr>
        <w:t>(</w:t>
      </w:r>
      <w:r w:rsidRPr="004F2B60">
        <w:rPr>
          <w:rFonts w:ascii="Arial" w:hAnsi="Arial" w:cs="Arial"/>
          <w:sz w:val="24"/>
          <w:szCs w:val="24"/>
        </w:rPr>
        <w:t>2020</w:t>
      </w:r>
      <w:r>
        <w:rPr>
          <w:rFonts w:ascii="Arial" w:hAnsi="Arial" w:cs="Arial"/>
          <w:sz w:val="24"/>
          <w:szCs w:val="24"/>
        </w:rPr>
        <w:t>)</w:t>
      </w:r>
      <w:r w:rsidRPr="004F2B60">
        <w:rPr>
          <w:rFonts w:ascii="Arial" w:hAnsi="Arial" w:cs="Arial"/>
          <w:sz w:val="24"/>
          <w:szCs w:val="24"/>
        </w:rPr>
        <w:t xml:space="preserve">. Corporate governance and development. </w:t>
      </w:r>
      <w:r w:rsidRPr="004F2B60">
        <w:rPr>
          <w:rFonts w:ascii="Arial" w:hAnsi="Arial" w:cs="Arial"/>
          <w:i/>
          <w:iCs/>
          <w:sz w:val="24"/>
          <w:szCs w:val="24"/>
        </w:rPr>
        <w:t>World Bank Research Observer</w:t>
      </w:r>
      <w:r w:rsidRPr="004F2B60">
        <w:rPr>
          <w:rFonts w:ascii="Arial" w:hAnsi="Arial" w:cs="Arial"/>
          <w:sz w:val="24"/>
          <w:szCs w:val="24"/>
        </w:rPr>
        <w:t>, 33(2), pp.197-241.</w:t>
      </w:r>
    </w:p>
    <w:p w14:paraId="5138AB85" w14:textId="77777777" w:rsidR="00766821" w:rsidRPr="00766821" w:rsidRDefault="00766821" w:rsidP="00766821">
      <w:pPr>
        <w:jc w:val="both"/>
        <w:rPr>
          <w:rFonts w:ascii="Arial" w:hAnsi="Arial" w:cs="Arial"/>
          <w:sz w:val="24"/>
          <w:szCs w:val="24"/>
        </w:rPr>
      </w:pPr>
      <w:r w:rsidRPr="00766821">
        <w:rPr>
          <w:rFonts w:ascii="Arial" w:hAnsi="Arial" w:cs="Arial"/>
          <w:bCs/>
          <w:sz w:val="24"/>
          <w:szCs w:val="24"/>
        </w:rPr>
        <w:t xml:space="preserve">Compass Group PLC, </w:t>
      </w:r>
      <w:r>
        <w:rPr>
          <w:rFonts w:ascii="Arial" w:hAnsi="Arial" w:cs="Arial"/>
          <w:bCs/>
          <w:sz w:val="24"/>
          <w:szCs w:val="24"/>
        </w:rPr>
        <w:t>(</w:t>
      </w:r>
      <w:r w:rsidRPr="00766821">
        <w:rPr>
          <w:rFonts w:ascii="Arial" w:hAnsi="Arial" w:cs="Arial"/>
          <w:bCs/>
          <w:sz w:val="24"/>
          <w:szCs w:val="24"/>
        </w:rPr>
        <w:t>2020</w:t>
      </w:r>
      <w:r>
        <w:rPr>
          <w:rFonts w:ascii="Arial" w:hAnsi="Arial" w:cs="Arial"/>
          <w:bCs/>
          <w:sz w:val="24"/>
          <w:szCs w:val="24"/>
        </w:rPr>
        <w:t>)</w:t>
      </w:r>
      <w:r w:rsidRPr="00766821">
        <w:rPr>
          <w:rFonts w:ascii="Arial" w:hAnsi="Arial" w:cs="Arial"/>
          <w:bCs/>
          <w:sz w:val="24"/>
          <w:szCs w:val="24"/>
        </w:rPr>
        <w:t>.</w:t>
      </w:r>
      <w:r w:rsidRPr="00766821">
        <w:rPr>
          <w:rFonts w:ascii="Arial" w:hAnsi="Arial" w:cs="Arial"/>
          <w:sz w:val="24"/>
          <w:szCs w:val="24"/>
        </w:rPr>
        <w:t xml:space="preserve"> </w:t>
      </w:r>
      <w:r w:rsidRPr="00766821">
        <w:rPr>
          <w:rFonts w:ascii="Arial" w:hAnsi="Arial" w:cs="Arial"/>
          <w:i/>
          <w:iCs/>
          <w:sz w:val="24"/>
          <w:szCs w:val="24"/>
        </w:rPr>
        <w:t>Annual Report 2020.</w:t>
      </w:r>
      <w:r w:rsidRPr="00766821">
        <w:rPr>
          <w:rFonts w:ascii="Arial" w:hAnsi="Arial" w:cs="Arial"/>
          <w:sz w:val="24"/>
          <w:szCs w:val="24"/>
        </w:rPr>
        <w:t xml:space="preserve"> Available at: </w:t>
      </w:r>
      <w:hyperlink r:id="rId14" w:tgtFrame="_new" w:history="1">
        <w:r w:rsidRPr="0076682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https://www.compass-group.com</w:t>
        </w:r>
      </w:hyperlink>
      <w:r w:rsidRPr="00766821">
        <w:rPr>
          <w:rFonts w:ascii="Arial" w:hAnsi="Arial" w:cs="Arial"/>
          <w:sz w:val="24"/>
          <w:szCs w:val="24"/>
        </w:rPr>
        <w:t xml:space="preserve"> [Accessed 25 October 2024].</w:t>
      </w:r>
    </w:p>
    <w:p w14:paraId="0618F3F9" w14:textId="77777777" w:rsidR="00766821" w:rsidRPr="00766821" w:rsidRDefault="00766821" w:rsidP="00766821">
      <w:pPr>
        <w:jc w:val="both"/>
        <w:rPr>
          <w:rFonts w:ascii="Arial" w:hAnsi="Arial" w:cs="Arial"/>
          <w:sz w:val="24"/>
          <w:szCs w:val="24"/>
        </w:rPr>
      </w:pPr>
      <w:r w:rsidRPr="00766821">
        <w:rPr>
          <w:rFonts w:ascii="Arial" w:hAnsi="Arial" w:cs="Arial"/>
          <w:bCs/>
          <w:sz w:val="24"/>
          <w:szCs w:val="24"/>
        </w:rPr>
        <w:t xml:space="preserve">Compass Group PLC, </w:t>
      </w:r>
      <w:r>
        <w:rPr>
          <w:rFonts w:ascii="Arial" w:hAnsi="Arial" w:cs="Arial"/>
          <w:bCs/>
          <w:sz w:val="24"/>
          <w:szCs w:val="24"/>
        </w:rPr>
        <w:t>(</w:t>
      </w:r>
      <w:r w:rsidRPr="00766821">
        <w:rPr>
          <w:rFonts w:ascii="Arial" w:hAnsi="Arial" w:cs="Arial"/>
          <w:bCs/>
          <w:sz w:val="24"/>
          <w:szCs w:val="24"/>
        </w:rPr>
        <w:t>2021</w:t>
      </w:r>
      <w:r>
        <w:rPr>
          <w:rFonts w:ascii="Arial" w:hAnsi="Arial" w:cs="Arial"/>
          <w:bCs/>
          <w:sz w:val="24"/>
          <w:szCs w:val="24"/>
        </w:rPr>
        <w:t>)</w:t>
      </w:r>
      <w:r w:rsidRPr="00766821">
        <w:rPr>
          <w:rFonts w:ascii="Arial" w:hAnsi="Arial" w:cs="Arial"/>
          <w:bCs/>
          <w:sz w:val="24"/>
          <w:szCs w:val="24"/>
        </w:rPr>
        <w:t>.</w:t>
      </w:r>
      <w:r w:rsidRPr="00766821">
        <w:rPr>
          <w:rFonts w:ascii="Arial" w:hAnsi="Arial" w:cs="Arial"/>
          <w:sz w:val="24"/>
          <w:szCs w:val="24"/>
        </w:rPr>
        <w:t xml:space="preserve"> </w:t>
      </w:r>
      <w:r w:rsidRPr="00766821">
        <w:rPr>
          <w:rFonts w:ascii="Arial" w:hAnsi="Arial" w:cs="Arial"/>
          <w:i/>
          <w:iCs/>
          <w:sz w:val="24"/>
          <w:szCs w:val="24"/>
        </w:rPr>
        <w:t>Annual Report 2021.</w:t>
      </w:r>
      <w:r w:rsidRPr="00766821">
        <w:rPr>
          <w:rFonts w:ascii="Arial" w:hAnsi="Arial" w:cs="Arial"/>
          <w:sz w:val="24"/>
          <w:szCs w:val="24"/>
        </w:rPr>
        <w:t xml:space="preserve"> Available at: </w:t>
      </w:r>
      <w:hyperlink r:id="rId15" w:tgtFrame="_new" w:history="1">
        <w:r w:rsidRPr="0076682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https://www.compass-group.com</w:t>
        </w:r>
      </w:hyperlink>
      <w:r w:rsidRPr="00766821">
        <w:rPr>
          <w:rFonts w:ascii="Arial" w:hAnsi="Arial" w:cs="Arial"/>
          <w:sz w:val="24"/>
          <w:szCs w:val="24"/>
        </w:rPr>
        <w:t xml:space="preserve"> [Accessed 25 October 2024].</w:t>
      </w:r>
    </w:p>
    <w:p w14:paraId="06544518" w14:textId="77777777" w:rsidR="00766821" w:rsidRPr="00766821" w:rsidRDefault="00766821" w:rsidP="00766821">
      <w:pPr>
        <w:jc w:val="both"/>
        <w:rPr>
          <w:rFonts w:ascii="Arial" w:hAnsi="Arial" w:cs="Arial"/>
          <w:sz w:val="24"/>
          <w:szCs w:val="24"/>
        </w:rPr>
      </w:pPr>
      <w:r w:rsidRPr="00766821">
        <w:rPr>
          <w:rFonts w:ascii="Arial" w:hAnsi="Arial" w:cs="Arial"/>
          <w:bCs/>
          <w:sz w:val="24"/>
          <w:szCs w:val="24"/>
        </w:rPr>
        <w:t xml:space="preserve">Compass Group PLC, </w:t>
      </w:r>
      <w:r>
        <w:rPr>
          <w:rFonts w:ascii="Arial" w:hAnsi="Arial" w:cs="Arial"/>
          <w:bCs/>
          <w:sz w:val="24"/>
          <w:szCs w:val="24"/>
        </w:rPr>
        <w:t>(</w:t>
      </w:r>
      <w:r w:rsidRPr="00766821">
        <w:rPr>
          <w:rFonts w:ascii="Arial" w:hAnsi="Arial" w:cs="Arial"/>
          <w:bCs/>
          <w:sz w:val="24"/>
          <w:szCs w:val="24"/>
        </w:rPr>
        <w:t>2022</w:t>
      </w:r>
      <w:r>
        <w:rPr>
          <w:rFonts w:ascii="Arial" w:hAnsi="Arial" w:cs="Arial"/>
          <w:bCs/>
          <w:sz w:val="24"/>
          <w:szCs w:val="24"/>
        </w:rPr>
        <w:t>)</w:t>
      </w:r>
      <w:r w:rsidRPr="00766821">
        <w:rPr>
          <w:rFonts w:ascii="Arial" w:hAnsi="Arial" w:cs="Arial"/>
          <w:bCs/>
          <w:sz w:val="24"/>
          <w:szCs w:val="24"/>
        </w:rPr>
        <w:t>.</w:t>
      </w:r>
      <w:r w:rsidRPr="00766821">
        <w:rPr>
          <w:rFonts w:ascii="Arial" w:hAnsi="Arial" w:cs="Arial"/>
          <w:sz w:val="24"/>
          <w:szCs w:val="24"/>
        </w:rPr>
        <w:t xml:space="preserve"> </w:t>
      </w:r>
      <w:r w:rsidRPr="00766821">
        <w:rPr>
          <w:rFonts w:ascii="Arial" w:hAnsi="Arial" w:cs="Arial"/>
          <w:i/>
          <w:iCs/>
          <w:sz w:val="24"/>
          <w:szCs w:val="24"/>
        </w:rPr>
        <w:t>Annual Report 2022.</w:t>
      </w:r>
      <w:r w:rsidRPr="00766821">
        <w:rPr>
          <w:rFonts w:ascii="Arial" w:hAnsi="Arial" w:cs="Arial"/>
          <w:sz w:val="24"/>
          <w:szCs w:val="24"/>
        </w:rPr>
        <w:t xml:space="preserve"> Available at: </w:t>
      </w:r>
      <w:hyperlink r:id="rId16" w:tgtFrame="_new" w:history="1">
        <w:r w:rsidRPr="0076682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https://www.compass-group.com</w:t>
        </w:r>
      </w:hyperlink>
      <w:r w:rsidRPr="00766821">
        <w:rPr>
          <w:rFonts w:ascii="Arial" w:hAnsi="Arial" w:cs="Arial"/>
          <w:sz w:val="24"/>
          <w:szCs w:val="24"/>
        </w:rPr>
        <w:t xml:space="preserve"> [Accessed 25 October 2024].</w:t>
      </w:r>
    </w:p>
    <w:p w14:paraId="69EB4E95" w14:textId="77777777" w:rsidR="00766821" w:rsidRPr="00766821" w:rsidRDefault="00766821" w:rsidP="00766821">
      <w:pPr>
        <w:jc w:val="both"/>
        <w:rPr>
          <w:rFonts w:ascii="Arial" w:hAnsi="Arial" w:cs="Arial"/>
          <w:sz w:val="24"/>
          <w:szCs w:val="24"/>
        </w:rPr>
      </w:pPr>
      <w:r w:rsidRPr="00766821">
        <w:rPr>
          <w:rFonts w:ascii="Arial" w:hAnsi="Arial" w:cs="Arial"/>
          <w:bCs/>
          <w:sz w:val="24"/>
          <w:szCs w:val="24"/>
        </w:rPr>
        <w:t>Compass Group PLC,</w:t>
      </w:r>
      <w:r>
        <w:rPr>
          <w:rFonts w:ascii="Arial" w:hAnsi="Arial" w:cs="Arial"/>
          <w:bCs/>
          <w:sz w:val="24"/>
          <w:szCs w:val="24"/>
        </w:rPr>
        <w:t xml:space="preserve"> (</w:t>
      </w:r>
      <w:r w:rsidRPr="00766821">
        <w:rPr>
          <w:rFonts w:ascii="Arial" w:hAnsi="Arial" w:cs="Arial"/>
          <w:bCs/>
          <w:sz w:val="24"/>
          <w:szCs w:val="24"/>
        </w:rPr>
        <w:t>2023</w:t>
      </w:r>
      <w:r>
        <w:rPr>
          <w:rFonts w:ascii="Arial" w:hAnsi="Arial" w:cs="Arial"/>
          <w:bCs/>
          <w:sz w:val="24"/>
          <w:szCs w:val="24"/>
        </w:rPr>
        <w:t>)</w:t>
      </w:r>
      <w:r w:rsidRPr="00766821">
        <w:rPr>
          <w:rFonts w:ascii="Arial" w:hAnsi="Arial" w:cs="Arial"/>
          <w:bCs/>
          <w:sz w:val="24"/>
          <w:szCs w:val="24"/>
        </w:rPr>
        <w:t>.</w:t>
      </w:r>
      <w:r w:rsidRPr="00766821">
        <w:rPr>
          <w:rFonts w:ascii="Arial" w:hAnsi="Arial" w:cs="Arial"/>
          <w:sz w:val="24"/>
          <w:szCs w:val="24"/>
        </w:rPr>
        <w:t xml:space="preserve"> </w:t>
      </w:r>
      <w:r w:rsidRPr="00766821">
        <w:rPr>
          <w:rFonts w:ascii="Arial" w:hAnsi="Arial" w:cs="Arial"/>
          <w:i/>
          <w:iCs/>
          <w:sz w:val="24"/>
          <w:szCs w:val="24"/>
        </w:rPr>
        <w:t>Annual Report 2023.</w:t>
      </w:r>
      <w:r w:rsidRPr="00766821">
        <w:rPr>
          <w:rFonts w:ascii="Arial" w:hAnsi="Arial" w:cs="Arial"/>
          <w:sz w:val="24"/>
          <w:szCs w:val="24"/>
        </w:rPr>
        <w:t xml:space="preserve"> Available at: </w:t>
      </w:r>
      <w:hyperlink r:id="rId17" w:tgtFrame="_new" w:history="1">
        <w:r w:rsidRPr="00766821">
          <w:rPr>
            <w:rStyle w:val="Hyperlink"/>
            <w:rFonts w:ascii="Arial" w:hAnsi="Arial" w:cs="Arial"/>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https://www.compass-group.com</w:t>
        </w:r>
      </w:hyperlink>
      <w:r w:rsidRPr="00766821">
        <w:rPr>
          <w:rFonts w:ascii="Arial" w:hAnsi="Arial" w:cs="Arial"/>
          <w:sz w:val="24"/>
          <w:szCs w:val="24"/>
        </w:rPr>
        <w:t xml:space="preserve"> [Accessed 25 October 2024].</w:t>
      </w:r>
    </w:p>
    <w:p w14:paraId="0332920F" w14:textId="77777777" w:rsidR="00766821" w:rsidRPr="00834B8A" w:rsidRDefault="00766821" w:rsidP="00834B8A">
      <w:pPr>
        <w:spacing w:line="360" w:lineRule="auto"/>
        <w:rPr>
          <w:rFonts w:ascii="Arial" w:hAnsi="Arial" w:cs="Arial"/>
          <w:sz w:val="24"/>
          <w:szCs w:val="24"/>
        </w:rPr>
      </w:pPr>
      <w:r w:rsidRPr="00834B8A">
        <w:rPr>
          <w:rFonts w:ascii="Arial" w:hAnsi="Arial" w:cs="Arial"/>
          <w:sz w:val="24"/>
          <w:szCs w:val="24"/>
        </w:rPr>
        <w:t xml:space="preserve">Core, J.E., Holthausen, R.W. and Larcker, D.F., </w:t>
      </w:r>
      <w:r>
        <w:rPr>
          <w:rFonts w:ascii="Arial" w:hAnsi="Arial" w:cs="Arial"/>
          <w:sz w:val="24"/>
          <w:szCs w:val="24"/>
        </w:rPr>
        <w:t>(</w:t>
      </w:r>
      <w:r w:rsidRPr="00834B8A">
        <w:rPr>
          <w:rFonts w:ascii="Arial" w:hAnsi="Arial" w:cs="Arial"/>
          <w:sz w:val="24"/>
          <w:szCs w:val="24"/>
        </w:rPr>
        <w:t>199</w:t>
      </w:r>
      <w:r>
        <w:rPr>
          <w:rFonts w:ascii="Arial" w:hAnsi="Arial" w:cs="Arial"/>
          <w:sz w:val="24"/>
          <w:szCs w:val="24"/>
        </w:rPr>
        <w:t>9)</w:t>
      </w:r>
      <w:r w:rsidRPr="00834B8A">
        <w:rPr>
          <w:rFonts w:ascii="Arial" w:hAnsi="Arial" w:cs="Arial"/>
          <w:sz w:val="24"/>
          <w:szCs w:val="24"/>
        </w:rPr>
        <w:t xml:space="preserve">. Corporate governance, chief executive officer compensation, and firm performance. </w:t>
      </w:r>
      <w:r w:rsidRPr="00834B8A">
        <w:rPr>
          <w:rFonts w:ascii="Arial" w:hAnsi="Arial" w:cs="Arial"/>
          <w:i/>
          <w:iCs/>
          <w:sz w:val="24"/>
          <w:szCs w:val="24"/>
        </w:rPr>
        <w:t>Journal of Financial Economics</w:t>
      </w:r>
      <w:r w:rsidRPr="00834B8A">
        <w:rPr>
          <w:rFonts w:ascii="Arial" w:hAnsi="Arial" w:cs="Arial"/>
          <w:sz w:val="24"/>
          <w:szCs w:val="24"/>
        </w:rPr>
        <w:t>, 51(3), pp.371-406.</w:t>
      </w:r>
    </w:p>
    <w:p w14:paraId="4619FA74" w14:textId="77777777" w:rsidR="00766821" w:rsidRPr="006F4D6E" w:rsidRDefault="00766821" w:rsidP="006F4D6E">
      <w:pPr>
        <w:spacing w:line="360" w:lineRule="auto"/>
        <w:rPr>
          <w:rFonts w:ascii="Arial" w:hAnsi="Arial" w:cs="Arial"/>
          <w:sz w:val="24"/>
          <w:szCs w:val="24"/>
        </w:rPr>
      </w:pPr>
      <w:r w:rsidRPr="00605708">
        <w:rPr>
          <w:rFonts w:ascii="Arial" w:hAnsi="Arial" w:cs="Arial"/>
          <w:sz w:val="24"/>
          <w:szCs w:val="24"/>
        </w:rPr>
        <w:t xml:space="preserve">Financial Reporting Council, (2018). </w:t>
      </w:r>
      <w:r w:rsidRPr="00605708">
        <w:rPr>
          <w:rFonts w:ascii="Arial" w:hAnsi="Arial" w:cs="Arial"/>
          <w:i/>
          <w:iCs/>
          <w:sz w:val="24"/>
          <w:szCs w:val="24"/>
        </w:rPr>
        <w:t>The UK Corporate Governance Code.</w:t>
      </w:r>
      <w:r w:rsidRPr="00605708">
        <w:rPr>
          <w:rFonts w:ascii="Arial" w:hAnsi="Arial" w:cs="Arial"/>
          <w:sz w:val="24"/>
          <w:szCs w:val="24"/>
        </w:rPr>
        <w:t xml:space="preserve"> Available at: https://www.frc.org.uk/getattachment/38e33bd3-aa9b-4d74-8d7b-00bd9e4e6645/2018-UK-Corporate-Governance-Code-FINAL.pdf [Accessed 25 October 2024].</w:t>
      </w:r>
    </w:p>
    <w:p w14:paraId="6DAA060A" w14:textId="77777777" w:rsidR="00766821" w:rsidRDefault="00766821" w:rsidP="00C864B9">
      <w:pPr>
        <w:spacing w:line="360" w:lineRule="auto"/>
        <w:rPr>
          <w:rFonts w:ascii="Arial" w:hAnsi="Arial" w:cs="Arial"/>
          <w:sz w:val="24"/>
          <w:szCs w:val="24"/>
        </w:rPr>
      </w:pPr>
      <w:r w:rsidRPr="00C864B9">
        <w:rPr>
          <w:rFonts w:ascii="Arial" w:hAnsi="Arial" w:cs="Arial"/>
          <w:sz w:val="24"/>
          <w:szCs w:val="24"/>
        </w:rPr>
        <w:t>FRC</w:t>
      </w:r>
      <w:r>
        <w:rPr>
          <w:rFonts w:ascii="Arial" w:hAnsi="Arial" w:cs="Arial"/>
          <w:sz w:val="24"/>
          <w:szCs w:val="24"/>
        </w:rPr>
        <w:t xml:space="preserve">, </w:t>
      </w:r>
      <w:r w:rsidRPr="00C864B9">
        <w:rPr>
          <w:rFonts w:ascii="Arial" w:hAnsi="Arial" w:cs="Arial"/>
          <w:sz w:val="24"/>
          <w:szCs w:val="24"/>
        </w:rPr>
        <w:t xml:space="preserve">(2024). </w:t>
      </w:r>
      <w:r w:rsidRPr="00C864B9">
        <w:rPr>
          <w:rFonts w:ascii="Arial" w:hAnsi="Arial" w:cs="Arial"/>
          <w:i/>
          <w:iCs/>
          <w:sz w:val="24"/>
          <w:szCs w:val="24"/>
        </w:rPr>
        <w:t>UK Corporate Governance Code</w:t>
      </w:r>
      <w:r w:rsidRPr="00C864B9">
        <w:rPr>
          <w:rFonts w:ascii="Arial" w:hAnsi="Arial" w:cs="Arial"/>
          <w:sz w:val="24"/>
          <w:szCs w:val="24"/>
        </w:rPr>
        <w:t>. [online] FRC (Financial Reporting Council). Available at: https://www.frc.org.uk/library/standards-codes-policy/corporate-governance/uk-corporate-governance-code/ [Accessed 22 Oct. 2024].</w:t>
      </w:r>
    </w:p>
    <w:p w14:paraId="2EB68C91" w14:textId="77777777" w:rsidR="00766821" w:rsidRDefault="00766821" w:rsidP="00230383">
      <w:pPr>
        <w:spacing w:line="360" w:lineRule="auto"/>
        <w:rPr>
          <w:rFonts w:ascii="Arial" w:hAnsi="Arial" w:cs="Arial"/>
          <w:sz w:val="24"/>
          <w:szCs w:val="24"/>
        </w:rPr>
      </w:pPr>
      <w:proofErr w:type="spellStart"/>
      <w:r w:rsidRPr="00200262">
        <w:rPr>
          <w:rFonts w:ascii="Arial" w:hAnsi="Arial" w:cs="Arial"/>
          <w:sz w:val="24"/>
          <w:szCs w:val="24"/>
        </w:rPr>
        <w:t>Kitema</w:t>
      </w:r>
      <w:proofErr w:type="spellEnd"/>
      <w:r w:rsidRPr="00200262">
        <w:rPr>
          <w:rFonts w:ascii="Arial" w:hAnsi="Arial" w:cs="Arial"/>
          <w:sz w:val="24"/>
          <w:szCs w:val="24"/>
        </w:rPr>
        <w:t xml:space="preserve">, C., </w:t>
      </w:r>
      <w:r>
        <w:rPr>
          <w:rFonts w:ascii="Arial" w:hAnsi="Arial" w:cs="Arial"/>
          <w:sz w:val="24"/>
          <w:szCs w:val="24"/>
        </w:rPr>
        <w:t>(</w:t>
      </w:r>
      <w:r w:rsidRPr="00200262">
        <w:rPr>
          <w:rFonts w:ascii="Arial" w:hAnsi="Arial" w:cs="Arial"/>
          <w:sz w:val="24"/>
          <w:szCs w:val="24"/>
        </w:rPr>
        <w:t>2021</w:t>
      </w:r>
      <w:r>
        <w:rPr>
          <w:rFonts w:ascii="Arial" w:hAnsi="Arial" w:cs="Arial"/>
          <w:sz w:val="24"/>
          <w:szCs w:val="24"/>
        </w:rPr>
        <w:t>)</w:t>
      </w:r>
      <w:r w:rsidRPr="00200262">
        <w:rPr>
          <w:rFonts w:ascii="Arial" w:hAnsi="Arial" w:cs="Arial"/>
          <w:sz w:val="24"/>
          <w:szCs w:val="24"/>
        </w:rPr>
        <w:t>. </w:t>
      </w:r>
      <w:r w:rsidRPr="00200262">
        <w:rPr>
          <w:rFonts w:ascii="Arial" w:hAnsi="Arial" w:cs="Arial"/>
          <w:i/>
          <w:iCs/>
          <w:sz w:val="24"/>
          <w:szCs w:val="24"/>
        </w:rPr>
        <w:t xml:space="preserve">Separation as a Corporate Strategy: </w:t>
      </w:r>
      <w:proofErr w:type="gramStart"/>
      <w:r w:rsidRPr="00200262">
        <w:rPr>
          <w:rFonts w:ascii="Arial" w:hAnsi="Arial" w:cs="Arial"/>
          <w:i/>
          <w:iCs/>
          <w:sz w:val="24"/>
          <w:szCs w:val="24"/>
        </w:rPr>
        <w:t>the</w:t>
      </w:r>
      <w:proofErr w:type="gramEnd"/>
      <w:r w:rsidRPr="00200262">
        <w:rPr>
          <w:rFonts w:ascii="Arial" w:hAnsi="Arial" w:cs="Arial"/>
          <w:i/>
          <w:iCs/>
          <w:sz w:val="24"/>
          <w:szCs w:val="24"/>
        </w:rPr>
        <w:t xml:space="preserve"> Case Study of Barclays Bank Plc and Absa Bank PLC</w:t>
      </w:r>
      <w:r w:rsidRPr="00200262">
        <w:rPr>
          <w:rFonts w:ascii="Arial" w:hAnsi="Arial" w:cs="Arial"/>
          <w:sz w:val="24"/>
          <w:szCs w:val="24"/>
        </w:rPr>
        <w:t> (Doctoral dissertation, University of Nairobi).</w:t>
      </w:r>
    </w:p>
    <w:p w14:paraId="2C3B75E9" w14:textId="77777777" w:rsidR="00766821" w:rsidRPr="006F1EB3" w:rsidRDefault="00766821" w:rsidP="006F1EB3">
      <w:pPr>
        <w:spacing w:line="360" w:lineRule="auto"/>
        <w:rPr>
          <w:rFonts w:ascii="Arial" w:hAnsi="Arial" w:cs="Arial"/>
          <w:sz w:val="24"/>
          <w:szCs w:val="24"/>
        </w:rPr>
      </w:pPr>
      <w:r w:rsidRPr="008355D2">
        <w:rPr>
          <w:rFonts w:ascii="Arial" w:hAnsi="Arial" w:cs="Arial"/>
          <w:sz w:val="24"/>
          <w:szCs w:val="24"/>
        </w:rPr>
        <w:t xml:space="preserve">Tümer, Y.I., </w:t>
      </w:r>
      <w:r>
        <w:rPr>
          <w:rFonts w:ascii="Arial" w:hAnsi="Arial" w:cs="Arial"/>
          <w:sz w:val="24"/>
          <w:szCs w:val="24"/>
        </w:rPr>
        <w:t>(</w:t>
      </w:r>
      <w:r w:rsidRPr="008355D2">
        <w:rPr>
          <w:rFonts w:ascii="Arial" w:hAnsi="Arial" w:cs="Arial"/>
          <w:sz w:val="24"/>
          <w:szCs w:val="24"/>
        </w:rPr>
        <w:t>2015</w:t>
      </w:r>
      <w:r>
        <w:rPr>
          <w:rFonts w:ascii="Arial" w:hAnsi="Arial" w:cs="Arial"/>
          <w:sz w:val="24"/>
          <w:szCs w:val="24"/>
        </w:rPr>
        <w:t>)</w:t>
      </w:r>
      <w:r w:rsidRPr="008355D2">
        <w:rPr>
          <w:rFonts w:ascii="Arial" w:hAnsi="Arial" w:cs="Arial"/>
          <w:sz w:val="24"/>
          <w:szCs w:val="24"/>
        </w:rPr>
        <w:t>. </w:t>
      </w:r>
      <w:r w:rsidRPr="008355D2">
        <w:rPr>
          <w:rFonts w:ascii="Arial" w:hAnsi="Arial" w:cs="Arial"/>
          <w:i/>
          <w:iCs/>
          <w:sz w:val="24"/>
          <w:szCs w:val="24"/>
        </w:rPr>
        <w:t>Governance Codes: A Compass for Good Behaviour?</w:t>
      </w:r>
      <w:r w:rsidRPr="008355D2">
        <w:rPr>
          <w:rFonts w:ascii="Arial" w:hAnsi="Arial" w:cs="Arial"/>
          <w:sz w:val="24"/>
          <w:szCs w:val="24"/>
        </w:rPr>
        <w:t> (Master's thesis).</w:t>
      </w:r>
    </w:p>
    <w:p w14:paraId="00274051" w14:textId="77777777" w:rsidR="00766821" w:rsidRPr="00162798" w:rsidRDefault="00766821" w:rsidP="00162798">
      <w:pPr>
        <w:spacing w:line="360" w:lineRule="auto"/>
        <w:rPr>
          <w:rFonts w:ascii="Arial" w:hAnsi="Arial" w:cs="Arial"/>
          <w:sz w:val="24"/>
          <w:szCs w:val="24"/>
        </w:rPr>
      </w:pPr>
      <w:r w:rsidRPr="00162798">
        <w:rPr>
          <w:rFonts w:ascii="Arial" w:hAnsi="Arial" w:cs="Arial"/>
          <w:sz w:val="24"/>
          <w:szCs w:val="24"/>
        </w:rPr>
        <w:lastRenderedPageBreak/>
        <w:t xml:space="preserve">www.annualreports.com. (2021). </w:t>
      </w:r>
      <w:r w:rsidRPr="00162798">
        <w:rPr>
          <w:rFonts w:ascii="Arial" w:hAnsi="Arial" w:cs="Arial"/>
          <w:i/>
          <w:iCs/>
          <w:sz w:val="24"/>
          <w:szCs w:val="24"/>
        </w:rPr>
        <w:t>Compass Group Plc - AnnualReports.com</w:t>
      </w:r>
      <w:r w:rsidRPr="00162798">
        <w:rPr>
          <w:rFonts w:ascii="Arial" w:hAnsi="Arial" w:cs="Arial"/>
          <w:sz w:val="24"/>
          <w:szCs w:val="24"/>
        </w:rPr>
        <w:t>. [online] Available at: https://www.annualreports.com/Company/compass-group-plc.</w:t>
      </w:r>
    </w:p>
    <w:p w14:paraId="7CDB20A4" w14:textId="77777777" w:rsidR="00766821" w:rsidRDefault="00766821" w:rsidP="00D82E42">
      <w:pPr>
        <w:spacing w:line="360" w:lineRule="auto"/>
        <w:rPr>
          <w:rFonts w:ascii="Arial" w:hAnsi="Arial" w:cs="Arial"/>
          <w:sz w:val="24"/>
          <w:szCs w:val="24"/>
        </w:rPr>
      </w:pPr>
      <w:r w:rsidRPr="006F1EB3">
        <w:rPr>
          <w:rFonts w:ascii="Arial" w:hAnsi="Arial" w:cs="Arial"/>
          <w:sz w:val="24"/>
          <w:szCs w:val="24"/>
        </w:rPr>
        <w:t>www.compass-group.co.uk. (202</w:t>
      </w:r>
      <w:r>
        <w:rPr>
          <w:rFonts w:ascii="Arial" w:hAnsi="Arial" w:cs="Arial"/>
          <w:sz w:val="24"/>
          <w:szCs w:val="24"/>
        </w:rPr>
        <w:t>3</w:t>
      </w:r>
      <w:r w:rsidRPr="006F1EB3">
        <w:rPr>
          <w:rFonts w:ascii="Arial" w:hAnsi="Arial" w:cs="Arial"/>
          <w:sz w:val="24"/>
          <w:szCs w:val="24"/>
        </w:rPr>
        <w:t xml:space="preserve">). </w:t>
      </w:r>
      <w:r w:rsidRPr="006F1EB3">
        <w:rPr>
          <w:rFonts w:ascii="Arial" w:hAnsi="Arial" w:cs="Arial"/>
          <w:i/>
          <w:iCs/>
          <w:sz w:val="24"/>
          <w:szCs w:val="24"/>
        </w:rPr>
        <w:t>Our Heritage</w:t>
      </w:r>
      <w:r w:rsidRPr="006F1EB3">
        <w:rPr>
          <w:rFonts w:ascii="Arial" w:hAnsi="Arial" w:cs="Arial"/>
          <w:sz w:val="24"/>
          <w:szCs w:val="24"/>
        </w:rPr>
        <w:t xml:space="preserve">. [online] Available at: </w:t>
      </w:r>
      <w:hyperlink r:id="rId18" w:history="1">
        <w:r w:rsidRPr="006F1EB3">
          <w:t>https://www.compass-group.co.uk/our-heritage/</w:t>
        </w:r>
      </w:hyperlink>
      <w:r w:rsidRPr="006F1EB3">
        <w:rPr>
          <w:rFonts w:ascii="Arial" w:hAnsi="Arial" w:cs="Arial"/>
          <w:sz w:val="24"/>
          <w:szCs w:val="24"/>
        </w:rPr>
        <w:t>.</w:t>
      </w:r>
    </w:p>
    <w:p w14:paraId="7D801CC7" w14:textId="77777777" w:rsidR="00766821" w:rsidRDefault="00766821" w:rsidP="006F1EB3">
      <w:pPr>
        <w:spacing w:line="360" w:lineRule="auto"/>
        <w:rPr>
          <w:rFonts w:ascii="Arial" w:hAnsi="Arial" w:cs="Arial"/>
          <w:sz w:val="24"/>
          <w:szCs w:val="24"/>
        </w:rPr>
      </w:pPr>
      <w:r w:rsidRPr="006F1EB3">
        <w:rPr>
          <w:rFonts w:ascii="Arial" w:hAnsi="Arial" w:cs="Arial"/>
          <w:sz w:val="24"/>
          <w:szCs w:val="24"/>
        </w:rPr>
        <w:t xml:space="preserve">www.compass-group.co.uk. (2024). </w:t>
      </w:r>
      <w:r w:rsidRPr="006F1EB3">
        <w:rPr>
          <w:rFonts w:ascii="Arial" w:hAnsi="Arial" w:cs="Arial"/>
          <w:i/>
          <w:iCs/>
          <w:sz w:val="24"/>
          <w:szCs w:val="24"/>
        </w:rPr>
        <w:t>Our Heritage</w:t>
      </w:r>
      <w:r w:rsidRPr="006F1EB3">
        <w:rPr>
          <w:rFonts w:ascii="Arial" w:hAnsi="Arial" w:cs="Arial"/>
          <w:sz w:val="24"/>
          <w:szCs w:val="24"/>
        </w:rPr>
        <w:t xml:space="preserve">. [online] Available at: </w:t>
      </w:r>
      <w:hyperlink r:id="rId19" w:history="1">
        <w:r w:rsidRPr="006F1EB3">
          <w:t>https://www.compass-group.co.uk/our-heritage/</w:t>
        </w:r>
      </w:hyperlink>
      <w:r w:rsidRPr="006F1EB3">
        <w:rPr>
          <w:rFonts w:ascii="Arial" w:hAnsi="Arial" w:cs="Arial"/>
          <w:sz w:val="24"/>
          <w:szCs w:val="24"/>
        </w:rPr>
        <w:t>.</w:t>
      </w:r>
    </w:p>
    <w:p w14:paraId="36DCE76B" w14:textId="77777777" w:rsidR="00766821" w:rsidRPr="00A61E7A" w:rsidRDefault="00766821" w:rsidP="00A61E7A">
      <w:pPr>
        <w:spacing w:line="360" w:lineRule="auto"/>
        <w:rPr>
          <w:rFonts w:ascii="Arial" w:hAnsi="Arial" w:cs="Arial"/>
          <w:sz w:val="24"/>
          <w:szCs w:val="24"/>
        </w:rPr>
      </w:pPr>
      <w:r w:rsidRPr="00A61E7A">
        <w:rPr>
          <w:rFonts w:ascii="Arial" w:hAnsi="Arial" w:cs="Arial"/>
          <w:sz w:val="24"/>
          <w:szCs w:val="24"/>
        </w:rPr>
        <w:t xml:space="preserve">www.stockchallenge.co.uk. (2024). </w:t>
      </w:r>
      <w:r w:rsidRPr="00A61E7A">
        <w:rPr>
          <w:rFonts w:ascii="Arial" w:hAnsi="Arial" w:cs="Arial"/>
          <w:i/>
          <w:iCs/>
          <w:sz w:val="24"/>
          <w:szCs w:val="24"/>
        </w:rPr>
        <w:t>FTSE All-Share Index Ranking</w:t>
      </w:r>
      <w:r w:rsidRPr="00A61E7A">
        <w:rPr>
          <w:rFonts w:ascii="Arial" w:hAnsi="Arial" w:cs="Arial"/>
          <w:sz w:val="24"/>
          <w:szCs w:val="24"/>
        </w:rPr>
        <w:t>. [online] Available at: https://www.stockchallenge.co.uk/ftse.php.</w:t>
      </w:r>
    </w:p>
    <w:sectPr w:rsidR="00766821" w:rsidRPr="00A61E7A">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3F3DC" w14:textId="77777777" w:rsidR="000652EA" w:rsidRDefault="000652EA" w:rsidP="0043142C">
      <w:pPr>
        <w:spacing w:after="0" w:line="240" w:lineRule="auto"/>
      </w:pPr>
      <w:r>
        <w:separator/>
      </w:r>
    </w:p>
  </w:endnote>
  <w:endnote w:type="continuationSeparator" w:id="0">
    <w:p w14:paraId="311ED41A" w14:textId="77777777" w:rsidR="000652EA" w:rsidRDefault="000652EA" w:rsidP="0043142C">
      <w:pPr>
        <w:spacing w:after="0" w:line="240" w:lineRule="auto"/>
      </w:pPr>
      <w:r>
        <w:continuationSeparator/>
      </w:r>
    </w:p>
  </w:endnote>
  <w:endnote w:type="continuationNotice" w:id="1">
    <w:p w14:paraId="40D8D8AC" w14:textId="77777777" w:rsidR="00274D5B" w:rsidRDefault="00274D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7057562"/>
      <w:docPartObj>
        <w:docPartGallery w:val="Page Numbers (Bottom of Page)"/>
        <w:docPartUnique/>
      </w:docPartObj>
    </w:sdtPr>
    <w:sdtEndPr>
      <w:rPr>
        <w:noProof/>
      </w:rPr>
    </w:sdtEndPr>
    <w:sdtContent>
      <w:p w14:paraId="0E809892" w14:textId="5411330A" w:rsidR="0043142C" w:rsidRDefault="0043142C">
        <w:pPr>
          <w:pStyle w:val="Footer"/>
        </w:pPr>
        <w:r>
          <w:fldChar w:fldCharType="begin"/>
        </w:r>
        <w:r>
          <w:instrText xml:space="preserve"> PAGE   \* MERGEFORMAT </w:instrText>
        </w:r>
        <w:r>
          <w:fldChar w:fldCharType="separate"/>
        </w:r>
        <w:r>
          <w:rPr>
            <w:noProof/>
          </w:rPr>
          <w:t>2</w:t>
        </w:r>
        <w:r>
          <w:rPr>
            <w:noProof/>
          </w:rPr>
          <w:fldChar w:fldCharType="end"/>
        </w:r>
      </w:p>
    </w:sdtContent>
  </w:sdt>
  <w:p w14:paraId="6CA606AE" w14:textId="77777777" w:rsidR="0043142C" w:rsidRDefault="004314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C4671E" w14:textId="77777777" w:rsidR="000652EA" w:rsidRDefault="000652EA" w:rsidP="0043142C">
      <w:pPr>
        <w:spacing w:after="0" w:line="240" w:lineRule="auto"/>
      </w:pPr>
      <w:r>
        <w:separator/>
      </w:r>
    </w:p>
  </w:footnote>
  <w:footnote w:type="continuationSeparator" w:id="0">
    <w:p w14:paraId="5BA37CE2" w14:textId="77777777" w:rsidR="000652EA" w:rsidRDefault="000652EA" w:rsidP="0043142C">
      <w:pPr>
        <w:spacing w:after="0" w:line="240" w:lineRule="auto"/>
      </w:pPr>
      <w:r>
        <w:continuationSeparator/>
      </w:r>
    </w:p>
  </w:footnote>
  <w:footnote w:type="continuationNotice" w:id="1">
    <w:p w14:paraId="754AE4C4" w14:textId="77777777" w:rsidR="00274D5B" w:rsidRDefault="00274D5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0A070C"/>
    <w:multiLevelType w:val="multilevel"/>
    <w:tmpl w:val="F0823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6F7244"/>
    <w:multiLevelType w:val="multilevel"/>
    <w:tmpl w:val="DB40B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8E18BC"/>
    <w:multiLevelType w:val="multilevel"/>
    <w:tmpl w:val="2D92B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CF1B70"/>
    <w:multiLevelType w:val="multilevel"/>
    <w:tmpl w:val="B57C0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0567379">
    <w:abstractNumId w:val="1"/>
  </w:num>
  <w:num w:numId="2" w16cid:durableId="1240139732">
    <w:abstractNumId w:val="3"/>
  </w:num>
  <w:num w:numId="3" w16cid:durableId="1161695449">
    <w:abstractNumId w:val="2"/>
  </w:num>
  <w:num w:numId="4" w16cid:durableId="1198658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63E"/>
    <w:rsid w:val="000063A2"/>
    <w:rsid w:val="000072A7"/>
    <w:rsid w:val="000248E8"/>
    <w:rsid w:val="00041876"/>
    <w:rsid w:val="00053A84"/>
    <w:rsid w:val="0005580E"/>
    <w:rsid w:val="00057210"/>
    <w:rsid w:val="000652EA"/>
    <w:rsid w:val="00093E20"/>
    <w:rsid w:val="000F5D76"/>
    <w:rsid w:val="001222C3"/>
    <w:rsid w:val="00162798"/>
    <w:rsid w:val="00167667"/>
    <w:rsid w:val="00180F20"/>
    <w:rsid w:val="00183FF9"/>
    <w:rsid w:val="001B6AB7"/>
    <w:rsid w:val="001F3765"/>
    <w:rsid w:val="00200262"/>
    <w:rsid w:val="002252A8"/>
    <w:rsid w:val="00230383"/>
    <w:rsid w:val="00274D5B"/>
    <w:rsid w:val="00290B23"/>
    <w:rsid w:val="002A3B3F"/>
    <w:rsid w:val="002C4A6B"/>
    <w:rsid w:val="002F2DE6"/>
    <w:rsid w:val="00301FD1"/>
    <w:rsid w:val="003347F6"/>
    <w:rsid w:val="00341A5E"/>
    <w:rsid w:val="00351F2F"/>
    <w:rsid w:val="00397CD2"/>
    <w:rsid w:val="003C4D1A"/>
    <w:rsid w:val="003E16D7"/>
    <w:rsid w:val="0043142C"/>
    <w:rsid w:val="0043663E"/>
    <w:rsid w:val="004C42CD"/>
    <w:rsid w:val="004F2B60"/>
    <w:rsid w:val="00521440"/>
    <w:rsid w:val="00554C7E"/>
    <w:rsid w:val="0058676F"/>
    <w:rsid w:val="005A3FBA"/>
    <w:rsid w:val="005B49BF"/>
    <w:rsid w:val="005C420E"/>
    <w:rsid w:val="005F3BEC"/>
    <w:rsid w:val="00605708"/>
    <w:rsid w:val="00642495"/>
    <w:rsid w:val="0066505B"/>
    <w:rsid w:val="00665085"/>
    <w:rsid w:val="00671CE2"/>
    <w:rsid w:val="006967AA"/>
    <w:rsid w:val="006A2EE2"/>
    <w:rsid w:val="006C38C2"/>
    <w:rsid w:val="006D7D90"/>
    <w:rsid w:val="006F0E05"/>
    <w:rsid w:val="006F1EB3"/>
    <w:rsid w:val="006F4D6E"/>
    <w:rsid w:val="00700314"/>
    <w:rsid w:val="00726DFD"/>
    <w:rsid w:val="00766821"/>
    <w:rsid w:val="00784BFA"/>
    <w:rsid w:val="007A02F6"/>
    <w:rsid w:val="007F0F09"/>
    <w:rsid w:val="007F59A6"/>
    <w:rsid w:val="007F5F37"/>
    <w:rsid w:val="00834B8A"/>
    <w:rsid w:val="008355D2"/>
    <w:rsid w:val="00837E07"/>
    <w:rsid w:val="008708BF"/>
    <w:rsid w:val="00874F56"/>
    <w:rsid w:val="00876E2B"/>
    <w:rsid w:val="008A1061"/>
    <w:rsid w:val="008E31F0"/>
    <w:rsid w:val="008F009F"/>
    <w:rsid w:val="009334B1"/>
    <w:rsid w:val="009A70F9"/>
    <w:rsid w:val="009B157A"/>
    <w:rsid w:val="009B3ED4"/>
    <w:rsid w:val="009F05A9"/>
    <w:rsid w:val="009F0BCD"/>
    <w:rsid w:val="00A04EBE"/>
    <w:rsid w:val="00A10056"/>
    <w:rsid w:val="00A259EE"/>
    <w:rsid w:val="00A61E7A"/>
    <w:rsid w:val="00AA0B32"/>
    <w:rsid w:val="00AA11B8"/>
    <w:rsid w:val="00B06B97"/>
    <w:rsid w:val="00B128EE"/>
    <w:rsid w:val="00B140BC"/>
    <w:rsid w:val="00B20799"/>
    <w:rsid w:val="00B6608C"/>
    <w:rsid w:val="00B80145"/>
    <w:rsid w:val="00BD3295"/>
    <w:rsid w:val="00C07539"/>
    <w:rsid w:val="00C27F8A"/>
    <w:rsid w:val="00C6416C"/>
    <w:rsid w:val="00C82DDF"/>
    <w:rsid w:val="00C8466E"/>
    <w:rsid w:val="00C864B9"/>
    <w:rsid w:val="00CA2115"/>
    <w:rsid w:val="00CA542D"/>
    <w:rsid w:val="00CF6516"/>
    <w:rsid w:val="00D00C32"/>
    <w:rsid w:val="00D217BF"/>
    <w:rsid w:val="00D25345"/>
    <w:rsid w:val="00D374C9"/>
    <w:rsid w:val="00D411AE"/>
    <w:rsid w:val="00D46965"/>
    <w:rsid w:val="00D602F5"/>
    <w:rsid w:val="00D82E42"/>
    <w:rsid w:val="00D8777B"/>
    <w:rsid w:val="00DA01BE"/>
    <w:rsid w:val="00DB197B"/>
    <w:rsid w:val="00E00351"/>
    <w:rsid w:val="00E04953"/>
    <w:rsid w:val="00E44220"/>
    <w:rsid w:val="00E51938"/>
    <w:rsid w:val="00EA1143"/>
    <w:rsid w:val="00EC3A09"/>
    <w:rsid w:val="00ED192C"/>
    <w:rsid w:val="00EF72B3"/>
    <w:rsid w:val="00F2680F"/>
    <w:rsid w:val="00F36B96"/>
    <w:rsid w:val="00F61839"/>
    <w:rsid w:val="00F76E12"/>
    <w:rsid w:val="00F900D2"/>
    <w:rsid w:val="00F904E0"/>
    <w:rsid w:val="00FB23EA"/>
    <w:rsid w:val="00FB39C7"/>
    <w:rsid w:val="00FC79C0"/>
    <w:rsid w:val="00FD41D6"/>
    <w:rsid w:val="00FF11E0"/>
    <w:rsid w:val="7BCDFF6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9E69A7"/>
  <w15:chartTrackingRefBased/>
  <w15:docId w15:val="{46BC03CA-B14B-4313-9260-E651CB46C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6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366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6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6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6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6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6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6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6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6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366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6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6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6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6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6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6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63E"/>
    <w:rPr>
      <w:rFonts w:eastAsiaTheme="majorEastAsia" w:cstheme="majorBidi"/>
      <w:color w:val="272727" w:themeColor="text1" w:themeTint="D8"/>
    </w:rPr>
  </w:style>
  <w:style w:type="paragraph" w:styleId="Title">
    <w:name w:val="Title"/>
    <w:basedOn w:val="Normal"/>
    <w:next w:val="Normal"/>
    <w:link w:val="TitleChar"/>
    <w:uiPriority w:val="10"/>
    <w:qFormat/>
    <w:rsid w:val="004366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6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6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6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63E"/>
    <w:pPr>
      <w:spacing w:before="160"/>
      <w:jc w:val="center"/>
    </w:pPr>
    <w:rPr>
      <w:i/>
      <w:iCs/>
      <w:color w:val="404040" w:themeColor="text1" w:themeTint="BF"/>
    </w:rPr>
  </w:style>
  <w:style w:type="character" w:customStyle="1" w:styleId="QuoteChar">
    <w:name w:val="Quote Char"/>
    <w:basedOn w:val="DefaultParagraphFont"/>
    <w:link w:val="Quote"/>
    <w:uiPriority w:val="29"/>
    <w:rsid w:val="0043663E"/>
    <w:rPr>
      <w:i/>
      <w:iCs/>
      <w:color w:val="404040" w:themeColor="text1" w:themeTint="BF"/>
    </w:rPr>
  </w:style>
  <w:style w:type="paragraph" w:styleId="ListParagraph">
    <w:name w:val="List Paragraph"/>
    <w:basedOn w:val="Normal"/>
    <w:uiPriority w:val="34"/>
    <w:qFormat/>
    <w:rsid w:val="0043663E"/>
    <w:pPr>
      <w:ind w:left="720"/>
      <w:contextualSpacing/>
    </w:pPr>
  </w:style>
  <w:style w:type="character" w:styleId="IntenseEmphasis">
    <w:name w:val="Intense Emphasis"/>
    <w:basedOn w:val="DefaultParagraphFont"/>
    <w:uiPriority w:val="21"/>
    <w:qFormat/>
    <w:rsid w:val="0043663E"/>
    <w:rPr>
      <w:i/>
      <w:iCs/>
      <w:color w:val="0F4761" w:themeColor="accent1" w:themeShade="BF"/>
    </w:rPr>
  </w:style>
  <w:style w:type="paragraph" w:styleId="IntenseQuote">
    <w:name w:val="Intense Quote"/>
    <w:basedOn w:val="Normal"/>
    <w:next w:val="Normal"/>
    <w:link w:val="IntenseQuoteChar"/>
    <w:uiPriority w:val="30"/>
    <w:qFormat/>
    <w:rsid w:val="004366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63E"/>
    <w:rPr>
      <w:i/>
      <w:iCs/>
      <w:color w:val="0F4761" w:themeColor="accent1" w:themeShade="BF"/>
    </w:rPr>
  </w:style>
  <w:style w:type="character" w:styleId="IntenseReference">
    <w:name w:val="Intense Reference"/>
    <w:basedOn w:val="DefaultParagraphFont"/>
    <w:uiPriority w:val="32"/>
    <w:qFormat/>
    <w:rsid w:val="0043663E"/>
    <w:rPr>
      <w:b/>
      <w:bCs/>
      <w:smallCaps/>
      <w:color w:val="0F4761" w:themeColor="accent1" w:themeShade="BF"/>
      <w:spacing w:val="5"/>
    </w:rPr>
  </w:style>
  <w:style w:type="paragraph" w:styleId="TOCHeading">
    <w:name w:val="TOC Heading"/>
    <w:basedOn w:val="Heading1"/>
    <w:next w:val="Normal"/>
    <w:uiPriority w:val="39"/>
    <w:unhideWhenUsed/>
    <w:qFormat/>
    <w:rsid w:val="00AA0B32"/>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431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42C"/>
  </w:style>
  <w:style w:type="paragraph" w:styleId="Footer">
    <w:name w:val="footer"/>
    <w:basedOn w:val="Normal"/>
    <w:link w:val="FooterChar"/>
    <w:uiPriority w:val="99"/>
    <w:unhideWhenUsed/>
    <w:rsid w:val="00431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42C"/>
  </w:style>
  <w:style w:type="character" w:styleId="Hyperlink">
    <w:name w:val="Hyperlink"/>
    <w:basedOn w:val="DefaultParagraphFont"/>
    <w:uiPriority w:val="99"/>
    <w:unhideWhenUsed/>
    <w:rsid w:val="008355D2"/>
    <w:rPr>
      <w:color w:val="467886" w:themeColor="hyperlink"/>
      <w:u w:val="single"/>
    </w:rPr>
  </w:style>
  <w:style w:type="character" w:styleId="UnresolvedMention">
    <w:name w:val="Unresolved Mention"/>
    <w:basedOn w:val="DefaultParagraphFont"/>
    <w:uiPriority w:val="99"/>
    <w:semiHidden/>
    <w:unhideWhenUsed/>
    <w:rsid w:val="008355D2"/>
    <w:rPr>
      <w:color w:val="605E5C"/>
      <w:shd w:val="clear" w:color="auto" w:fill="E1DFDD"/>
    </w:rPr>
  </w:style>
  <w:style w:type="paragraph" w:styleId="TOC1">
    <w:name w:val="toc 1"/>
    <w:basedOn w:val="Normal"/>
    <w:next w:val="Normal"/>
    <w:autoRedefine/>
    <w:uiPriority w:val="39"/>
    <w:unhideWhenUsed/>
    <w:rsid w:val="009334B1"/>
    <w:pPr>
      <w:spacing w:after="100"/>
    </w:pPr>
  </w:style>
  <w:style w:type="paragraph" w:styleId="TOC2">
    <w:name w:val="toc 2"/>
    <w:basedOn w:val="Normal"/>
    <w:next w:val="Normal"/>
    <w:autoRedefine/>
    <w:uiPriority w:val="39"/>
    <w:unhideWhenUsed/>
    <w:rsid w:val="009334B1"/>
    <w:pPr>
      <w:spacing w:after="100"/>
      <w:ind w:left="220"/>
    </w:pPr>
  </w:style>
  <w:style w:type="paragraph" w:styleId="NoSpacing">
    <w:name w:val="No Spacing"/>
    <w:uiPriority w:val="1"/>
    <w:qFormat/>
    <w:rsid w:val="0052144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827229">
      <w:bodyDiv w:val="1"/>
      <w:marLeft w:val="0"/>
      <w:marRight w:val="0"/>
      <w:marTop w:val="0"/>
      <w:marBottom w:val="0"/>
      <w:divBdr>
        <w:top w:val="none" w:sz="0" w:space="0" w:color="auto"/>
        <w:left w:val="none" w:sz="0" w:space="0" w:color="auto"/>
        <w:bottom w:val="none" w:sz="0" w:space="0" w:color="auto"/>
        <w:right w:val="none" w:sz="0" w:space="0" w:color="auto"/>
      </w:divBdr>
    </w:div>
    <w:div w:id="110634987">
      <w:bodyDiv w:val="1"/>
      <w:marLeft w:val="0"/>
      <w:marRight w:val="0"/>
      <w:marTop w:val="0"/>
      <w:marBottom w:val="0"/>
      <w:divBdr>
        <w:top w:val="none" w:sz="0" w:space="0" w:color="auto"/>
        <w:left w:val="none" w:sz="0" w:space="0" w:color="auto"/>
        <w:bottom w:val="none" w:sz="0" w:space="0" w:color="auto"/>
        <w:right w:val="none" w:sz="0" w:space="0" w:color="auto"/>
      </w:divBdr>
      <w:divsChild>
        <w:div w:id="1220365289">
          <w:marLeft w:val="0"/>
          <w:marRight w:val="0"/>
          <w:marTop w:val="0"/>
          <w:marBottom w:val="0"/>
          <w:divBdr>
            <w:top w:val="none" w:sz="0" w:space="0" w:color="auto"/>
            <w:left w:val="none" w:sz="0" w:space="0" w:color="auto"/>
            <w:bottom w:val="none" w:sz="0" w:space="0" w:color="auto"/>
            <w:right w:val="none" w:sz="0" w:space="0" w:color="auto"/>
          </w:divBdr>
          <w:divsChild>
            <w:div w:id="1997562278">
              <w:marLeft w:val="0"/>
              <w:marRight w:val="0"/>
              <w:marTop w:val="0"/>
              <w:marBottom w:val="0"/>
              <w:divBdr>
                <w:top w:val="none" w:sz="0" w:space="0" w:color="auto"/>
                <w:left w:val="none" w:sz="0" w:space="0" w:color="auto"/>
                <w:bottom w:val="none" w:sz="0" w:space="0" w:color="auto"/>
                <w:right w:val="none" w:sz="0" w:space="0" w:color="auto"/>
              </w:divBdr>
              <w:divsChild>
                <w:div w:id="1684472395">
                  <w:marLeft w:val="0"/>
                  <w:marRight w:val="0"/>
                  <w:marTop w:val="0"/>
                  <w:marBottom w:val="0"/>
                  <w:divBdr>
                    <w:top w:val="none" w:sz="0" w:space="0" w:color="auto"/>
                    <w:left w:val="none" w:sz="0" w:space="0" w:color="auto"/>
                    <w:bottom w:val="none" w:sz="0" w:space="0" w:color="auto"/>
                    <w:right w:val="none" w:sz="0" w:space="0" w:color="auto"/>
                  </w:divBdr>
                  <w:divsChild>
                    <w:div w:id="259531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393241">
          <w:marLeft w:val="0"/>
          <w:marRight w:val="0"/>
          <w:marTop w:val="0"/>
          <w:marBottom w:val="0"/>
          <w:divBdr>
            <w:top w:val="none" w:sz="0" w:space="0" w:color="auto"/>
            <w:left w:val="none" w:sz="0" w:space="0" w:color="auto"/>
            <w:bottom w:val="none" w:sz="0" w:space="0" w:color="auto"/>
            <w:right w:val="none" w:sz="0" w:space="0" w:color="auto"/>
          </w:divBdr>
          <w:divsChild>
            <w:div w:id="1699545094">
              <w:marLeft w:val="0"/>
              <w:marRight w:val="0"/>
              <w:marTop w:val="0"/>
              <w:marBottom w:val="0"/>
              <w:divBdr>
                <w:top w:val="none" w:sz="0" w:space="0" w:color="auto"/>
                <w:left w:val="none" w:sz="0" w:space="0" w:color="auto"/>
                <w:bottom w:val="none" w:sz="0" w:space="0" w:color="auto"/>
                <w:right w:val="none" w:sz="0" w:space="0" w:color="auto"/>
              </w:divBdr>
              <w:divsChild>
                <w:div w:id="813646935">
                  <w:marLeft w:val="0"/>
                  <w:marRight w:val="0"/>
                  <w:marTop w:val="0"/>
                  <w:marBottom w:val="0"/>
                  <w:divBdr>
                    <w:top w:val="none" w:sz="0" w:space="0" w:color="auto"/>
                    <w:left w:val="none" w:sz="0" w:space="0" w:color="auto"/>
                    <w:bottom w:val="none" w:sz="0" w:space="0" w:color="auto"/>
                    <w:right w:val="none" w:sz="0" w:space="0" w:color="auto"/>
                  </w:divBdr>
                  <w:divsChild>
                    <w:div w:id="89512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53320">
      <w:bodyDiv w:val="1"/>
      <w:marLeft w:val="0"/>
      <w:marRight w:val="0"/>
      <w:marTop w:val="0"/>
      <w:marBottom w:val="0"/>
      <w:divBdr>
        <w:top w:val="none" w:sz="0" w:space="0" w:color="auto"/>
        <w:left w:val="none" w:sz="0" w:space="0" w:color="auto"/>
        <w:bottom w:val="none" w:sz="0" w:space="0" w:color="auto"/>
        <w:right w:val="none" w:sz="0" w:space="0" w:color="auto"/>
      </w:divBdr>
      <w:divsChild>
        <w:div w:id="1480031347">
          <w:marLeft w:val="0"/>
          <w:marRight w:val="0"/>
          <w:marTop w:val="0"/>
          <w:marBottom w:val="0"/>
          <w:divBdr>
            <w:top w:val="none" w:sz="0" w:space="0" w:color="auto"/>
            <w:left w:val="none" w:sz="0" w:space="0" w:color="auto"/>
            <w:bottom w:val="none" w:sz="0" w:space="0" w:color="auto"/>
            <w:right w:val="none" w:sz="0" w:space="0" w:color="auto"/>
          </w:divBdr>
        </w:div>
      </w:divsChild>
    </w:div>
    <w:div w:id="374426745">
      <w:bodyDiv w:val="1"/>
      <w:marLeft w:val="0"/>
      <w:marRight w:val="0"/>
      <w:marTop w:val="0"/>
      <w:marBottom w:val="0"/>
      <w:divBdr>
        <w:top w:val="none" w:sz="0" w:space="0" w:color="auto"/>
        <w:left w:val="none" w:sz="0" w:space="0" w:color="auto"/>
        <w:bottom w:val="none" w:sz="0" w:space="0" w:color="auto"/>
        <w:right w:val="none" w:sz="0" w:space="0" w:color="auto"/>
      </w:divBdr>
      <w:divsChild>
        <w:div w:id="448738682">
          <w:marLeft w:val="0"/>
          <w:marRight w:val="0"/>
          <w:marTop w:val="0"/>
          <w:marBottom w:val="0"/>
          <w:divBdr>
            <w:top w:val="none" w:sz="0" w:space="0" w:color="auto"/>
            <w:left w:val="none" w:sz="0" w:space="0" w:color="auto"/>
            <w:bottom w:val="none" w:sz="0" w:space="0" w:color="auto"/>
            <w:right w:val="none" w:sz="0" w:space="0" w:color="auto"/>
          </w:divBdr>
        </w:div>
      </w:divsChild>
    </w:div>
    <w:div w:id="397747631">
      <w:bodyDiv w:val="1"/>
      <w:marLeft w:val="0"/>
      <w:marRight w:val="0"/>
      <w:marTop w:val="0"/>
      <w:marBottom w:val="0"/>
      <w:divBdr>
        <w:top w:val="none" w:sz="0" w:space="0" w:color="auto"/>
        <w:left w:val="none" w:sz="0" w:space="0" w:color="auto"/>
        <w:bottom w:val="none" w:sz="0" w:space="0" w:color="auto"/>
        <w:right w:val="none" w:sz="0" w:space="0" w:color="auto"/>
      </w:divBdr>
    </w:div>
    <w:div w:id="548608295">
      <w:bodyDiv w:val="1"/>
      <w:marLeft w:val="0"/>
      <w:marRight w:val="0"/>
      <w:marTop w:val="0"/>
      <w:marBottom w:val="0"/>
      <w:divBdr>
        <w:top w:val="none" w:sz="0" w:space="0" w:color="auto"/>
        <w:left w:val="none" w:sz="0" w:space="0" w:color="auto"/>
        <w:bottom w:val="none" w:sz="0" w:space="0" w:color="auto"/>
        <w:right w:val="none" w:sz="0" w:space="0" w:color="auto"/>
      </w:divBdr>
    </w:div>
    <w:div w:id="575820427">
      <w:bodyDiv w:val="1"/>
      <w:marLeft w:val="0"/>
      <w:marRight w:val="0"/>
      <w:marTop w:val="0"/>
      <w:marBottom w:val="0"/>
      <w:divBdr>
        <w:top w:val="none" w:sz="0" w:space="0" w:color="auto"/>
        <w:left w:val="none" w:sz="0" w:space="0" w:color="auto"/>
        <w:bottom w:val="none" w:sz="0" w:space="0" w:color="auto"/>
        <w:right w:val="none" w:sz="0" w:space="0" w:color="auto"/>
      </w:divBdr>
      <w:divsChild>
        <w:div w:id="1080754580">
          <w:marLeft w:val="0"/>
          <w:marRight w:val="0"/>
          <w:marTop w:val="0"/>
          <w:marBottom w:val="0"/>
          <w:divBdr>
            <w:top w:val="none" w:sz="0" w:space="0" w:color="auto"/>
            <w:left w:val="none" w:sz="0" w:space="0" w:color="auto"/>
            <w:bottom w:val="none" w:sz="0" w:space="0" w:color="auto"/>
            <w:right w:val="none" w:sz="0" w:space="0" w:color="auto"/>
          </w:divBdr>
        </w:div>
      </w:divsChild>
    </w:div>
    <w:div w:id="700011234">
      <w:bodyDiv w:val="1"/>
      <w:marLeft w:val="0"/>
      <w:marRight w:val="0"/>
      <w:marTop w:val="0"/>
      <w:marBottom w:val="0"/>
      <w:divBdr>
        <w:top w:val="none" w:sz="0" w:space="0" w:color="auto"/>
        <w:left w:val="none" w:sz="0" w:space="0" w:color="auto"/>
        <w:bottom w:val="none" w:sz="0" w:space="0" w:color="auto"/>
        <w:right w:val="none" w:sz="0" w:space="0" w:color="auto"/>
      </w:divBdr>
      <w:divsChild>
        <w:div w:id="1305502498">
          <w:marLeft w:val="0"/>
          <w:marRight w:val="0"/>
          <w:marTop w:val="0"/>
          <w:marBottom w:val="0"/>
          <w:divBdr>
            <w:top w:val="none" w:sz="0" w:space="0" w:color="auto"/>
            <w:left w:val="none" w:sz="0" w:space="0" w:color="auto"/>
            <w:bottom w:val="none" w:sz="0" w:space="0" w:color="auto"/>
            <w:right w:val="none" w:sz="0" w:space="0" w:color="auto"/>
          </w:divBdr>
          <w:divsChild>
            <w:div w:id="1139809214">
              <w:marLeft w:val="0"/>
              <w:marRight w:val="0"/>
              <w:marTop w:val="0"/>
              <w:marBottom w:val="0"/>
              <w:divBdr>
                <w:top w:val="none" w:sz="0" w:space="0" w:color="auto"/>
                <w:left w:val="none" w:sz="0" w:space="0" w:color="auto"/>
                <w:bottom w:val="none" w:sz="0" w:space="0" w:color="auto"/>
                <w:right w:val="none" w:sz="0" w:space="0" w:color="auto"/>
              </w:divBdr>
              <w:divsChild>
                <w:div w:id="816922907">
                  <w:marLeft w:val="0"/>
                  <w:marRight w:val="0"/>
                  <w:marTop w:val="0"/>
                  <w:marBottom w:val="0"/>
                  <w:divBdr>
                    <w:top w:val="none" w:sz="0" w:space="0" w:color="auto"/>
                    <w:left w:val="none" w:sz="0" w:space="0" w:color="auto"/>
                    <w:bottom w:val="none" w:sz="0" w:space="0" w:color="auto"/>
                    <w:right w:val="none" w:sz="0" w:space="0" w:color="auto"/>
                  </w:divBdr>
                  <w:divsChild>
                    <w:div w:id="90075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696148">
          <w:marLeft w:val="0"/>
          <w:marRight w:val="0"/>
          <w:marTop w:val="0"/>
          <w:marBottom w:val="0"/>
          <w:divBdr>
            <w:top w:val="none" w:sz="0" w:space="0" w:color="auto"/>
            <w:left w:val="none" w:sz="0" w:space="0" w:color="auto"/>
            <w:bottom w:val="none" w:sz="0" w:space="0" w:color="auto"/>
            <w:right w:val="none" w:sz="0" w:space="0" w:color="auto"/>
          </w:divBdr>
          <w:divsChild>
            <w:div w:id="1277758794">
              <w:marLeft w:val="0"/>
              <w:marRight w:val="0"/>
              <w:marTop w:val="0"/>
              <w:marBottom w:val="0"/>
              <w:divBdr>
                <w:top w:val="none" w:sz="0" w:space="0" w:color="auto"/>
                <w:left w:val="none" w:sz="0" w:space="0" w:color="auto"/>
                <w:bottom w:val="none" w:sz="0" w:space="0" w:color="auto"/>
                <w:right w:val="none" w:sz="0" w:space="0" w:color="auto"/>
              </w:divBdr>
              <w:divsChild>
                <w:div w:id="311638926">
                  <w:marLeft w:val="0"/>
                  <w:marRight w:val="0"/>
                  <w:marTop w:val="0"/>
                  <w:marBottom w:val="0"/>
                  <w:divBdr>
                    <w:top w:val="none" w:sz="0" w:space="0" w:color="auto"/>
                    <w:left w:val="none" w:sz="0" w:space="0" w:color="auto"/>
                    <w:bottom w:val="none" w:sz="0" w:space="0" w:color="auto"/>
                    <w:right w:val="none" w:sz="0" w:space="0" w:color="auto"/>
                  </w:divBdr>
                  <w:divsChild>
                    <w:div w:id="137253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012369">
      <w:bodyDiv w:val="1"/>
      <w:marLeft w:val="0"/>
      <w:marRight w:val="0"/>
      <w:marTop w:val="0"/>
      <w:marBottom w:val="0"/>
      <w:divBdr>
        <w:top w:val="none" w:sz="0" w:space="0" w:color="auto"/>
        <w:left w:val="none" w:sz="0" w:space="0" w:color="auto"/>
        <w:bottom w:val="none" w:sz="0" w:space="0" w:color="auto"/>
        <w:right w:val="none" w:sz="0" w:space="0" w:color="auto"/>
      </w:divBdr>
      <w:divsChild>
        <w:div w:id="877208783">
          <w:marLeft w:val="0"/>
          <w:marRight w:val="0"/>
          <w:marTop w:val="0"/>
          <w:marBottom w:val="0"/>
          <w:divBdr>
            <w:top w:val="none" w:sz="0" w:space="0" w:color="auto"/>
            <w:left w:val="none" w:sz="0" w:space="0" w:color="auto"/>
            <w:bottom w:val="none" w:sz="0" w:space="0" w:color="auto"/>
            <w:right w:val="none" w:sz="0" w:space="0" w:color="auto"/>
          </w:divBdr>
          <w:divsChild>
            <w:div w:id="154535417">
              <w:marLeft w:val="0"/>
              <w:marRight w:val="0"/>
              <w:marTop w:val="0"/>
              <w:marBottom w:val="0"/>
              <w:divBdr>
                <w:top w:val="none" w:sz="0" w:space="0" w:color="auto"/>
                <w:left w:val="none" w:sz="0" w:space="0" w:color="auto"/>
                <w:bottom w:val="none" w:sz="0" w:space="0" w:color="auto"/>
                <w:right w:val="none" w:sz="0" w:space="0" w:color="auto"/>
              </w:divBdr>
              <w:divsChild>
                <w:div w:id="45240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158225">
          <w:marLeft w:val="0"/>
          <w:marRight w:val="0"/>
          <w:marTop w:val="0"/>
          <w:marBottom w:val="0"/>
          <w:divBdr>
            <w:top w:val="none" w:sz="0" w:space="0" w:color="auto"/>
            <w:left w:val="none" w:sz="0" w:space="0" w:color="auto"/>
            <w:bottom w:val="none" w:sz="0" w:space="0" w:color="auto"/>
            <w:right w:val="none" w:sz="0" w:space="0" w:color="auto"/>
          </w:divBdr>
          <w:divsChild>
            <w:div w:id="785007283">
              <w:marLeft w:val="0"/>
              <w:marRight w:val="0"/>
              <w:marTop w:val="0"/>
              <w:marBottom w:val="0"/>
              <w:divBdr>
                <w:top w:val="none" w:sz="0" w:space="0" w:color="auto"/>
                <w:left w:val="none" w:sz="0" w:space="0" w:color="auto"/>
                <w:bottom w:val="none" w:sz="0" w:space="0" w:color="auto"/>
                <w:right w:val="none" w:sz="0" w:space="0" w:color="auto"/>
              </w:divBdr>
              <w:divsChild>
                <w:div w:id="1325663852">
                  <w:marLeft w:val="0"/>
                  <w:marRight w:val="0"/>
                  <w:marTop w:val="0"/>
                  <w:marBottom w:val="0"/>
                  <w:divBdr>
                    <w:top w:val="none" w:sz="0" w:space="0" w:color="auto"/>
                    <w:left w:val="none" w:sz="0" w:space="0" w:color="auto"/>
                    <w:bottom w:val="none" w:sz="0" w:space="0" w:color="auto"/>
                    <w:right w:val="none" w:sz="0" w:space="0" w:color="auto"/>
                  </w:divBdr>
                </w:div>
                <w:div w:id="2010600762">
                  <w:marLeft w:val="0"/>
                  <w:marRight w:val="0"/>
                  <w:marTop w:val="0"/>
                  <w:marBottom w:val="0"/>
                  <w:divBdr>
                    <w:top w:val="none" w:sz="0" w:space="0" w:color="auto"/>
                    <w:left w:val="none" w:sz="0" w:space="0" w:color="auto"/>
                    <w:bottom w:val="none" w:sz="0" w:space="0" w:color="auto"/>
                    <w:right w:val="none" w:sz="0" w:space="0" w:color="auto"/>
                  </w:divBdr>
                  <w:divsChild>
                    <w:div w:id="529143372">
                      <w:marLeft w:val="0"/>
                      <w:marRight w:val="0"/>
                      <w:marTop w:val="0"/>
                      <w:marBottom w:val="0"/>
                      <w:divBdr>
                        <w:top w:val="none" w:sz="0" w:space="0" w:color="auto"/>
                        <w:left w:val="none" w:sz="0" w:space="0" w:color="auto"/>
                        <w:bottom w:val="none" w:sz="0" w:space="0" w:color="auto"/>
                        <w:right w:val="none" w:sz="0" w:space="0" w:color="auto"/>
                      </w:divBdr>
                      <w:divsChild>
                        <w:div w:id="2118716404">
                          <w:marLeft w:val="0"/>
                          <w:marRight w:val="0"/>
                          <w:marTop w:val="0"/>
                          <w:marBottom w:val="0"/>
                          <w:divBdr>
                            <w:top w:val="none" w:sz="0" w:space="0" w:color="auto"/>
                            <w:left w:val="none" w:sz="0" w:space="0" w:color="auto"/>
                            <w:bottom w:val="none" w:sz="0" w:space="0" w:color="auto"/>
                            <w:right w:val="none" w:sz="0" w:space="0" w:color="auto"/>
                          </w:divBdr>
                          <w:divsChild>
                            <w:div w:id="179551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2972891">
      <w:bodyDiv w:val="1"/>
      <w:marLeft w:val="0"/>
      <w:marRight w:val="0"/>
      <w:marTop w:val="0"/>
      <w:marBottom w:val="0"/>
      <w:divBdr>
        <w:top w:val="none" w:sz="0" w:space="0" w:color="auto"/>
        <w:left w:val="none" w:sz="0" w:space="0" w:color="auto"/>
        <w:bottom w:val="none" w:sz="0" w:space="0" w:color="auto"/>
        <w:right w:val="none" w:sz="0" w:space="0" w:color="auto"/>
      </w:divBdr>
    </w:div>
    <w:div w:id="995496865">
      <w:bodyDiv w:val="1"/>
      <w:marLeft w:val="0"/>
      <w:marRight w:val="0"/>
      <w:marTop w:val="0"/>
      <w:marBottom w:val="0"/>
      <w:divBdr>
        <w:top w:val="none" w:sz="0" w:space="0" w:color="auto"/>
        <w:left w:val="none" w:sz="0" w:space="0" w:color="auto"/>
        <w:bottom w:val="none" w:sz="0" w:space="0" w:color="auto"/>
        <w:right w:val="none" w:sz="0" w:space="0" w:color="auto"/>
      </w:divBdr>
    </w:div>
    <w:div w:id="1027222093">
      <w:bodyDiv w:val="1"/>
      <w:marLeft w:val="0"/>
      <w:marRight w:val="0"/>
      <w:marTop w:val="0"/>
      <w:marBottom w:val="0"/>
      <w:divBdr>
        <w:top w:val="none" w:sz="0" w:space="0" w:color="auto"/>
        <w:left w:val="none" w:sz="0" w:space="0" w:color="auto"/>
        <w:bottom w:val="none" w:sz="0" w:space="0" w:color="auto"/>
        <w:right w:val="none" w:sz="0" w:space="0" w:color="auto"/>
      </w:divBdr>
      <w:divsChild>
        <w:div w:id="1802503529">
          <w:marLeft w:val="0"/>
          <w:marRight w:val="0"/>
          <w:marTop w:val="0"/>
          <w:marBottom w:val="0"/>
          <w:divBdr>
            <w:top w:val="none" w:sz="0" w:space="0" w:color="auto"/>
            <w:left w:val="none" w:sz="0" w:space="0" w:color="auto"/>
            <w:bottom w:val="none" w:sz="0" w:space="0" w:color="auto"/>
            <w:right w:val="none" w:sz="0" w:space="0" w:color="auto"/>
          </w:divBdr>
          <w:divsChild>
            <w:div w:id="948124832">
              <w:marLeft w:val="0"/>
              <w:marRight w:val="0"/>
              <w:marTop w:val="0"/>
              <w:marBottom w:val="0"/>
              <w:divBdr>
                <w:top w:val="none" w:sz="0" w:space="0" w:color="auto"/>
                <w:left w:val="none" w:sz="0" w:space="0" w:color="auto"/>
                <w:bottom w:val="none" w:sz="0" w:space="0" w:color="auto"/>
                <w:right w:val="none" w:sz="0" w:space="0" w:color="auto"/>
              </w:divBdr>
              <w:divsChild>
                <w:div w:id="1395351964">
                  <w:marLeft w:val="0"/>
                  <w:marRight w:val="0"/>
                  <w:marTop w:val="0"/>
                  <w:marBottom w:val="0"/>
                  <w:divBdr>
                    <w:top w:val="none" w:sz="0" w:space="0" w:color="auto"/>
                    <w:left w:val="none" w:sz="0" w:space="0" w:color="auto"/>
                    <w:bottom w:val="none" w:sz="0" w:space="0" w:color="auto"/>
                    <w:right w:val="none" w:sz="0" w:space="0" w:color="auto"/>
                  </w:divBdr>
                  <w:divsChild>
                    <w:div w:id="2016297307">
                      <w:marLeft w:val="0"/>
                      <w:marRight w:val="0"/>
                      <w:marTop w:val="0"/>
                      <w:marBottom w:val="0"/>
                      <w:divBdr>
                        <w:top w:val="none" w:sz="0" w:space="0" w:color="auto"/>
                        <w:left w:val="none" w:sz="0" w:space="0" w:color="auto"/>
                        <w:bottom w:val="none" w:sz="0" w:space="0" w:color="auto"/>
                        <w:right w:val="none" w:sz="0" w:space="0" w:color="auto"/>
                      </w:divBdr>
                      <w:divsChild>
                        <w:div w:id="259409114">
                          <w:marLeft w:val="0"/>
                          <w:marRight w:val="0"/>
                          <w:marTop w:val="0"/>
                          <w:marBottom w:val="0"/>
                          <w:divBdr>
                            <w:top w:val="none" w:sz="0" w:space="0" w:color="auto"/>
                            <w:left w:val="none" w:sz="0" w:space="0" w:color="auto"/>
                            <w:bottom w:val="none" w:sz="0" w:space="0" w:color="auto"/>
                            <w:right w:val="none" w:sz="0" w:space="0" w:color="auto"/>
                          </w:divBdr>
                          <w:divsChild>
                            <w:div w:id="160977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32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761226">
          <w:marLeft w:val="0"/>
          <w:marRight w:val="0"/>
          <w:marTop w:val="0"/>
          <w:marBottom w:val="0"/>
          <w:divBdr>
            <w:top w:val="none" w:sz="0" w:space="0" w:color="auto"/>
            <w:left w:val="none" w:sz="0" w:space="0" w:color="auto"/>
            <w:bottom w:val="none" w:sz="0" w:space="0" w:color="auto"/>
            <w:right w:val="none" w:sz="0" w:space="0" w:color="auto"/>
          </w:divBdr>
          <w:divsChild>
            <w:div w:id="853376906">
              <w:marLeft w:val="0"/>
              <w:marRight w:val="0"/>
              <w:marTop w:val="0"/>
              <w:marBottom w:val="0"/>
              <w:divBdr>
                <w:top w:val="none" w:sz="0" w:space="0" w:color="auto"/>
                <w:left w:val="none" w:sz="0" w:space="0" w:color="auto"/>
                <w:bottom w:val="none" w:sz="0" w:space="0" w:color="auto"/>
                <w:right w:val="none" w:sz="0" w:space="0" w:color="auto"/>
              </w:divBdr>
              <w:divsChild>
                <w:div w:id="30339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972640">
      <w:bodyDiv w:val="1"/>
      <w:marLeft w:val="0"/>
      <w:marRight w:val="0"/>
      <w:marTop w:val="0"/>
      <w:marBottom w:val="0"/>
      <w:divBdr>
        <w:top w:val="none" w:sz="0" w:space="0" w:color="auto"/>
        <w:left w:val="none" w:sz="0" w:space="0" w:color="auto"/>
        <w:bottom w:val="none" w:sz="0" w:space="0" w:color="auto"/>
        <w:right w:val="none" w:sz="0" w:space="0" w:color="auto"/>
      </w:divBdr>
    </w:div>
    <w:div w:id="1113591709">
      <w:bodyDiv w:val="1"/>
      <w:marLeft w:val="0"/>
      <w:marRight w:val="0"/>
      <w:marTop w:val="0"/>
      <w:marBottom w:val="0"/>
      <w:divBdr>
        <w:top w:val="none" w:sz="0" w:space="0" w:color="auto"/>
        <w:left w:val="none" w:sz="0" w:space="0" w:color="auto"/>
        <w:bottom w:val="none" w:sz="0" w:space="0" w:color="auto"/>
        <w:right w:val="none" w:sz="0" w:space="0" w:color="auto"/>
      </w:divBdr>
    </w:div>
    <w:div w:id="1207184057">
      <w:bodyDiv w:val="1"/>
      <w:marLeft w:val="0"/>
      <w:marRight w:val="0"/>
      <w:marTop w:val="0"/>
      <w:marBottom w:val="0"/>
      <w:divBdr>
        <w:top w:val="none" w:sz="0" w:space="0" w:color="auto"/>
        <w:left w:val="none" w:sz="0" w:space="0" w:color="auto"/>
        <w:bottom w:val="none" w:sz="0" w:space="0" w:color="auto"/>
        <w:right w:val="none" w:sz="0" w:space="0" w:color="auto"/>
      </w:divBdr>
      <w:divsChild>
        <w:div w:id="1668286910">
          <w:marLeft w:val="0"/>
          <w:marRight w:val="0"/>
          <w:marTop w:val="0"/>
          <w:marBottom w:val="0"/>
          <w:divBdr>
            <w:top w:val="none" w:sz="0" w:space="0" w:color="auto"/>
            <w:left w:val="none" w:sz="0" w:space="0" w:color="auto"/>
            <w:bottom w:val="none" w:sz="0" w:space="0" w:color="auto"/>
            <w:right w:val="none" w:sz="0" w:space="0" w:color="auto"/>
          </w:divBdr>
        </w:div>
      </w:divsChild>
    </w:div>
    <w:div w:id="1286152612">
      <w:bodyDiv w:val="1"/>
      <w:marLeft w:val="0"/>
      <w:marRight w:val="0"/>
      <w:marTop w:val="0"/>
      <w:marBottom w:val="0"/>
      <w:divBdr>
        <w:top w:val="none" w:sz="0" w:space="0" w:color="auto"/>
        <w:left w:val="none" w:sz="0" w:space="0" w:color="auto"/>
        <w:bottom w:val="none" w:sz="0" w:space="0" w:color="auto"/>
        <w:right w:val="none" w:sz="0" w:space="0" w:color="auto"/>
      </w:divBdr>
      <w:divsChild>
        <w:div w:id="243496984">
          <w:marLeft w:val="0"/>
          <w:marRight w:val="0"/>
          <w:marTop w:val="0"/>
          <w:marBottom w:val="0"/>
          <w:divBdr>
            <w:top w:val="none" w:sz="0" w:space="0" w:color="auto"/>
            <w:left w:val="none" w:sz="0" w:space="0" w:color="auto"/>
            <w:bottom w:val="none" w:sz="0" w:space="0" w:color="auto"/>
            <w:right w:val="none" w:sz="0" w:space="0" w:color="auto"/>
          </w:divBdr>
        </w:div>
      </w:divsChild>
    </w:div>
    <w:div w:id="1362170707">
      <w:bodyDiv w:val="1"/>
      <w:marLeft w:val="0"/>
      <w:marRight w:val="0"/>
      <w:marTop w:val="0"/>
      <w:marBottom w:val="0"/>
      <w:divBdr>
        <w:top w:val="none" w:sz="0" w:space="0" w:color="auto"/>
        <w:left w:val="none" w:sz="0" w:space="0" w:color="auto"/>
        <w:bottom w:val="none" w:sz="0" w:space="0" w:color="auto"/>
        <w:right w:val="none" w:sz="0" w:space="0" w:color="auto"/>
      </w:divBdr>
    </w:div>
    <w:div w:id="1374426777">
      <w:bodyDiv w:val="1"/>
      <w:marLeft w:val="0"/>
      <w:marRight w:val="0"/>
      <w:marTop w:val="0"/>
      <w:marBottom w:val="0"/>
      <w:divBdr>
        <w:top w:val="none" w:sz="0" w:space="0" w:color="auto"/>
        <w:left w:val="none" w:sz="0" w:space="0" w:color="auto"/>
        <w:bottom w:val="none" w:sz="0" w:space="0" w:color="auto"/>
        <w:right w:val="none" w:sz="0" w:space="0" w:color="auto"/>
      </w:divBdr>
      <w:divsChild>
        <w:div w:id="2442020">
          <w:marLeft w:val="0"/>
          <w:marRight w:val="0"/>
          <w:marTop w:val="0"/>
          <w:marBottom w:val="0"/>
          <w:divBdr>
            <w:top w:val="none" w:sz="0" w:space="0" w:color="auto"/>
            <w:left w:val="none" w:sz="0" w:space="0" w:color="auto"/>
            <w:bottom w:val="none" w:sz="0" w:space="0" w:color="auto"/>
            <w:right w:val="none" w:sz="0" w:space="0" w:color="auto"/>
          </w:divBdr>
          <w:divsChild>
            <w:div w:id="313416674">
              <w:marLeft w:val="0"/>
              <w:marRight w:val="0"/>
              <w:marTop w:val="0"/>
              <w:marBottom w:val="0"/>
              <w:divBdr>
                <w:top w:val="none" w:sz="0" w:space="0" w:color="auto"/>
                <w:left w:val="none" w:sz="0" w:space="0" w:color="auto"/>
                <w:bottom w:val="none" w:sz="0" w:space="0" w:color="auto"/>
                <w:right w:val="none" w:sz="0" w:space="0" w:color="auto"/>
              </w:divBdr>
              <w:divsChild>
                <w:div w:id="1834635724">
                  <w:marLeft w:val="0"/>
                  <w:marRight w:val="0"/>
                  <w:marTop w:val="0"/>
                  <w:marBottom w:val="0"/>
                  <w:divBdr>
                    <w:top w:val="none" w:sz="0" w:space="0" w:color="auto"/>
                    <w:left w:val="none" w:sz="0" w:space="0" w:color="auto"/>
                    <w:bottom w:val="none" w:sz="0" w:space="0" w:color="auto"/>
                    <w:right w:val="none" w:sz="0" w:space="0" w:color="auto"/>
                  </w:divBdr>
                  <w:divsChild>
                    <w:div w:id="222837827">
                      <w:marLeft w:val="0"/>
                      <w:marRight w:val="0"/>
                      <w:marTop w:val="0"/>
                      <w:marBottom w:val="0"/>
                      <w:divBdr>
                        <w:top w:val="none" w:sz="0" w:space="0" w:color="auto"/>
                        <w:left w:val="none" w:sz="0" w:space="0" w:color="auto"/>
                        <w:bottom w:val="none" w:sz="0" w:space="0" w:color="auto"/>
                        <w:right w:val="none" w:sz="0" w:space="0" w:color="auto"/>
                      </w:divBdr>
                      <w:divsChild>
                        <w:div w:id="2000379030">
                          <w:marLeft w:val="0"/>
                          <w:marRight w:val="0"/>
                          <w:marTop w:val="0"/>
                          <w:marBottom w:val="0"/>
                          <w:divBdr>
                            <w:top w:val="none" w:sz="0" w:space="0" w:color="auto"/>
                            <w:left w:val="none" w:sz="0" w:space="0" w:color="auto"/>
                            <w:bottom w:val="none" w:sz="0" w:space="0" w:color="auto"/>
                            <w:right w:val="none" w:sz="0" w:space="0" w:color="auto"/>
                          </w:divBdr>
                          <w:divsChild>
                            <w:div w:id="90082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8239912">
          <w:marLeft w:val="0"/>
          <w:marRight w:val="0"/>
          <w:marTop w:val="0"/>
          <w:marBottom w:val="0"/>
          <w:divBdr>
            <w:top w:val="none" w:sz="0" w:space="0" w:color="auto"/>
            <w:left w:val="none" w:sz="0" w:space="0" w:color="auto"/>
            <w:bottom w:val="none" w:sz="0" w:space="0" w:color="auto"/>
            <w:right w:val="none" w:sz="0" w:space="0" w:color="auto"/>
          </w:divBdr>
          <w:divsChild>
            <w:div w:id="111262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274956">
      <w:bodyDiv w:val="1"/>
      <w:marLeft w:val="0"/>
      <w:marRight w:val="0"/>
      <w:marTop w:val="0"/>
      <w:marBottom w:val="0"/>
      <w:divBdr>
        <w:top w:val="none" w:sz="0" w:space="0" w:color="auto"/>
        <w:left w:val="none" w:sz="0" w:space="0" w:color="auto"/>
        <w:bottom w:val="none" w:sz="0" w:space="0" w:color="auto"/>
        <w:right w:val="none" w:sz="0" w:space="0" w:color="auto"/>
      </w:divBdr>
    </w:div>
    <w:div w:id="1466391065">
      <w:bodyDiv w:val="1"/>
      <w:marLeft w:val="0"/>
      <w:marRight w:val="0"/>
      <w:marTop w:val="0"/>
      <w:marBottom w:val="0"/>
      <w:divBdr>
        <w:top w:val="none" w:sz="0" w:space="0" w:color="auto"/>
        <w:left w:val="none" w:sz="0" w:space="0" w:color="auto"/>
        <w:bottom w:val="none" w:sz="0" w:space="0" w:color="auto"/>
        <w:right w:val="none" w:sz="0" w:space="0" w:color="auto"/>
      </w:divBdr>
      <w:divsChild>
        <w:div w:id="100759219">
          <w:marLeft w:val="0"/>
          <w:marRight w:val="0"/>
          <w:marTop w:val="0"/>
          <w:marBottom w:val="0"/>
          <w:divBdr>
            <w:top w:val="none" w:sz="0" w:space="0" w:color="auto"/>
            <w:left w:val="none" w:sz="0" w:space="0" w:color="auto"/>
            <w:bottom w:val="none" w:sz="0" w:space="0" w:color="auto"/>
            <w:right w:val="none" w:sz="0" w:space="0" w:color="auto"/>
          </w:divBdr>
          <w:divsChild>
            <w:div w:id="1233008637">
              <w:marLeft w:val="0"/>
              <w:marRight w:val="0"/>
              <w:marTop w:val="0"/>
              <w:marBottom w:val="0"/>
              <w:divBdr>
                <w:top w:val="none" w:sz="0" w:space="0" w:color="auto"/>
                <w:left w:val="none" w:sz="0" w:space="0" w:color="auto"/>
                <w:bottom w:val="none" w:sz="0" w:space="0" w:color="auto"/>
                <w:right w:val="none" w:sz="0" w:space="0" w:color="auto"/>
              </w:divBdr>
              <w:divsChild>
                <w:div w:id="1208448881">
                  <w:marLeft w:val="0"/>
                  <w:marRight w:val="0"/>
                  <w:marTop w:val="0"/>
                  <w:marBottom w:val="0"/>
                  <w:divBdr>
                    <w:top w:val="none" w:sz="0" w:space="0" w:color="auto"/>
                    <w:left w:val="none" w:sz="0" w:space="0" w:color="auto"/>
                    <w:bottom w:val="none" w:sz="0" w:space="0" w:color="auto"/>
                    <w:right w:val="none" w:sz="0" w:space="0" w:color="auto"/>
                  </w:divBdr>
                  <w:divsChild>
                    <w:div w:id="65171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071963">
          <w:marLeft w:val="0"/>
          <w:marRight w:val="0"/>
          <w:marTop w:val="0"/>
          <w:marBottom w:val="0"/>
          <w:divBdr>
            <w:top w:val="none" w:sz="0" w:space="0" w:color="auto"/>
            <w:left w:val="none" w:sz="0" w:space="0" w:color="auto"/>
            <w:bottom w:val="none" w:sz="0" w:space="0" w:color="auto"/>
            <w:right w:val="none" w:sz="0" w:space="0" w:color="auto"/>
          </w:divBdr>
          <w:divsChild>
            <w:div w:id="1214734657">
              <w:marLeft w:val="0"/>
              <w:marRight w:val="0"/>
              <w:marTop w:val="0"/>
              <w:marBottom w:val="0"/>
              <w:divBdr>
                <w:top w:val="none" w:sz="0" w:space="0" w:color="auto"/>
                <w:left w:val="none" w:sz="0" w:space="0" w:color="auto"/>
                <w:bottom w:val="none" w:sz="0" w:space="0" w:color="auto"/>
                <w:right w:val="none" w:sz="0" w:space="0" w:color="auto"/>
              </w:divBdr>
              <w:divsChild>
                <w:div w:id="1869487018">
                  <w:marLeft w:val="0"/>
                  <w:marRight w:val="0"/>
                  <w:marTop w:val="0"/>
                  <w:marBottom w:val="0"/>
                  <w:divBdr>
                    <w:top w:val="none" w:sz="0" w:space="0" w:color="auto"/>
                    <w:left w:val="none" w:sz="0" w:space="0" w:color="auto"/>
                    <w:bottom w:val="none" w:sz="0" w:space="0" w:color="auto"/>
                    <w:right w:val="none" w:sz="0" w:space="0" w:color="auto"/>
                  </w:divBdr>
                  <w:divsChild>
                    <w:div w:id="39158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914821">
      <w:bodyDiv w:val="1"/>
      <w:marLeft w:val="0"/>
      <w:marRight w:val="0"/>
      <w:marTop w:val="0"/>
      <w:marBottom w:val="0"/>
      <w:divBdr>
        <w:top w:val="none" w:sz="0" w:space="0" w:color="auto"/>
        <w:left w:val="none" w:sz="0" w:space="0" w:color="auto"/>
        <w:bottom w:val="none" w:sz="0" w:space="0" w:color="auto"/>
        <w:right w:val="none" w:sz="0" w:space="0" w:color="auto"/>
      </w:divBdr>
      <w:divsChild>
        <w:div w:id="690305787">
          <w:marLeft w:val="0"/>
          <w:marRight w:val="0"/>
          <w:marTop w:val="0"/>
          <w:marBottom w:val="0"/>
          <w:divBdr>
            <w:top w:val="none" w:sz="0" w:space="0" w:color="auto"/>
            <w:left w:val="none" w:sz="0" w:space="0" w:color="auto"/>
            <w:bottom w:val="none" w:sz="0" w:space="0" w:color="auto"/>
            <w:right w:val="none" w:sz="0" w:space="0" w:color="auto"/>
          </w:divBdr>
          <w:divsChild>
            <w:div w:id="328754801">
              <w:marLeft w:val="0"/>
              <w:marRight w:val="0"/>
              <w:marTop w:val="0"/>
              <w:marBottom w:val="0"/>
              <w:divBdr>
                <w:top w:val="none" w:sz="0" w:space="0" w:color="auto"/>
                <w:left w:val="none" w:sz="0" w:space="0" w:color="auto"/>
                <w:bottom w:val="none" w:sz="0" w:space="0" w:color="auto"/>
                <w:right w:val="none" w:sz="0" w:space="0" w:color="auto"/>
              </w:divBdr>
              <w:divsChild>
                <w:div w:id="1828396328">
                  <w:marLeft w:val="0"/>
                  <w:marRight w:val="0"/>
                  <w:marTop w:val="0"/>
                  <w:marBottom w:val="0"/>
                  <w:divBdr>
                    <w:top w:val="none" w:sz="0" w:space="0" w:color="auto"/>
                    <w:left w:val="none" w:sz="0" w:space="0" w:color="auto"/>
                    <w:bottom w:val="none" w:sz="0" w:space="0" w:color="auto"/>
                    <w:right w:val="none" w:sz="0" w:space="0" w:color="auto"/>
                  </w:divBdr>
                  <w:divsChild>
                    <w:div w:id="170586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195301">
          <w:marLeft w:val="0"/>
          <w:marRight w:val="0"/>
          <w:marTop w:val="0"/>
          <w:marBottom w:val="0"/>
          <w:divBdr>
            <w:top w:val="none" w:sz="0" w:space="0" w:color="auto"/>
            <w:left w:val="none" w:sz="0" w:space="0" w:color="auto"/>
            <w:bottom w:val="none" w:sz="0" w:space="0" w:color="auto"/>
            <w:right w:val="none" w:sz="0" w:space="0" w:color="auto"/>
          </w:divBdr>
          <w:divsChild>
            <w:div w:id="1229655225">
              <w:marLeft w:val="0"/>
              <w:marRight w:val="0"/>
              <w:marTop w:val="0"/>
              <w:marBottom w:val="0"/>
              <w:divBdr>
                <w:top w:val="none" w:sz="0" w:space="0" w:color="auto"/>
                <w:left w:val="none" w:sz="0" w:space="0" w:color="auto"/>
                <w:bottom w:val="none" w:sz="0" w:space="0" w:color="auto"/>
                <w:right w:val="none" w:sz="0" w:space="0" w:color="auto"/>
              </w:divBdr>
              <w:divsChild>
                <w:div w:id="1157265145">
                  <w:marLeft w:val="0"/>
                  <w:marRight w:val="0"/>
                  <w:marTop w:val="0"/>
                  <w:marBottom w:val="0"/>
                  <w:divBdr>
                    <w:top w:val="none" w:sz="0" w:space="0" w:color="auto"/>
                    <w:left w:val="none" w:sz="0" w:space="0" w:color="auto"/>
                    <w:bottom w:val="none" w:sz="0" w:space="0" w:color="auto"/>
                    <w:right w:val="none" w:sz="0" w:space="0" w:color="auto"/>
                  </w:divBdr>
                  <w:divsChild>
                    <w:div w:id="1379743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808039">
      <w:bodyDiv w:val="1"/>
      <w:marLeft w:val="0"/>
      <w:marRight w:val="0"/>
      <w:marTop w:val="0"/>
      <w:marBottom w:val="0"/>
      <w:divBdr>
        <w:top w:val="none" w:sz="0" w:space="0" w:color="auto"/>
        <w:left w:val="none" w:sz="0" w:space="0" w:color="auto"/>
        <w:bottom w:val="none" w:sz="0" w:space="0" w:color="auto"/>
        <w:right w:val="none" w:sz="0" w:space="0" w:color="auto"/>
      </w:divBdr>
      <w:divsChild>
        <w:div w:id="192304236">
          <w:marLeft w:val="0"/>
          <w:marRight w:val="0"/>
          <w:marTop w:val="0"/>
          <w:marBottom w:val="0"/>
          <w:divBdr>
            <w:top w:val="none" w:sz="0" w:space="0" w:color="auto"/>
            <w:left w:val="none" w:sz="0" w:space="0" w:color="auto"/>
            <w:bottom w:val="none" w:sz="0" w:space="0" w:color="auto"/>
            <w:right w:val="none" w:sz="0" w:space="0" w:color="auto"/>
          </w:divBdr>
        </w:div>
      </w:divsChild>
    </w:div>
    <w:div w:id="1519615370">
      <w:bodyDiv w:val="1"/>
      <w:marLeft w:val="0"/>
      <w:marRight w:val="0"/>
      <w:marTop w:val="0"/>
      <w:marBottom w:val="0"/>
      <w:divBdr>
        <w:top w:val="none" w:sz="0" w:space="0" w:color="auto"/>
        <w:left w:val="none" w:sz="0" w:space="0" w:color="auto"/>
        <w:bottom w:val="none" w:sz="0" w:space="0" w:color="auto"/>
        <w:right w:val="none" w:sz="0" w:space="0" w:color="auto"/>
      </w:divBdr>
    </w:div>
    <w:div w:id="1584997310">
      <w:bodyDiv w:val="1"/>
      <w:marLeft w:val="0"/>
      <w:marRight w:val="0"/>
      <w:marTop w:val="0"/>
      <w:marBottom w:val="0"/>
      <w:divBdr>
        <w:top w:val="none" w:sz="0" w:space="0" w:color="auto"/>
        <w:left w:val="none" w:sz="0" w:space="0" w:color="auto"/>
        <w:bottom w:val="none" w:sz="0" w:space="0" w:color="auto"/>
        <w:right w:val="none" w:sz="0" w:space="0" w:color="auto"/>
      </w:divBdr>
    </w:div>
    <w:div w:id="1617983873">
      <w:bodyDiv w:val="1"/>
      <w:marLeft w:val="0"/>
      <w:marRight w:val="0"/>
      <w:marTop w:val="0"/>
      <w:marBottom w:val="0"/>
      <w:divBdr>
        <w:top w:val="none" w:sz="0" w:space="0" w:color="auto"/>
        <w:left w:val="none" w:sz="0" w:space="0" w:color="auto"/>
        <w:bottom w:val="none" w:sz="0" w:space="0" w:color="auto"/>
        <w:right w:val="none" w:sz="0" w:space="0" w:color="auto"/>
      </w:divBdr>
      <w:divsChild>
        <w:div w:id="1179346827">
          <w:marLeft w:val="0"/>
          <w:marRight w:val="0"/>
          <w:marTop w:val="0"/>
          <w:marBottom w:val="0"/>
          <w:divBdr>
            <w:top w:val="none" w:sz="0" w:space="0" w:color="auto"/>
            <w:left w:val="none" w:sz="0" w:space="0" w:color="auto"/>
            <w:bottom w:val="none" w:sz="0" w:space="0" w:color="auto"/>
            <w:right w:val="none" w:sz="0" w:space="0" w:color="auto"/>
          </w:divBdr>
          <w:divsChild>
            <w:div w:id="171998605">
              <w:marLeft w:val="0"/>
              <w:marRight w:val="0"/>
              <w:marTop w:val="0"/>
              <w:marBottom w:val="0"/>
              <w:divBdr>
                <w:top w:val="none" w:sz="0" w:space="0" w:color="auto"/>
                <w:left w:val="none" w:sz="0" w:space="0" w:color="auto"/>
                <w:bottom w:val="none" w:sz="0" w:space="0" w:color="auto"/>
                <w:right w:val="none" w:sz="0" w:space="0" w:color="auto"/>
              </w:divBdr>
              <w:divsChild>
                <w:div w:id="207373994">
                  <w:marLeft w:val="0"/>
                  <w:marRight w:val="0"/>
                  <w:marTop w:val="0"/>
                  <w:marBottom w:val="0"/>
                  <w:divBdr>
                    <w:top w:val="none" w:sz="0" w:space="0" w:color="auto"/>
                    <w:left w:val="none" w:sz="0" w:space="0" w:color="auto"/>
                    <w:bottom w:val="none" w:sz="0" w:space="0" w:color="auto"/>
                    <w:right w:val="none" w:sz="0" w:space="0" w:color="auto"/>
                  </w:divBdr>
                  <w:divsChild>
                    <w:div w:id="1162240834">
                      <w:marLeft w:val="0"/>
                      <w:marRight w:val="0"/>
                      <w:marTop w:val="0"/>
                      <w:marBottom w:val="0"/>
                      <w:divBdr>
                        <w:top w:val="none" w:sz="0" w:space="0" w:color="auto"/>
                        <w:left w:val="none" w:sz="0" w:space="0" w:color="auto"/>
                        <w:bottom w:val="none" w:sz="0" w:space="0" w:color="auto"/>
                        <w:right w:val="none" w:sz="0" w:space="0" w:color="auto"/>
                      </w:divBdr>
                      <w:divsChild>
                        <w:div w:id="75323884">
                          <w:marLeft w:val="0"/>
                          <w:marRight w:val="0"/>
                          <w:marTop w:val="0"/>
                          <w:marBottom w:val="0"/>
                          <w:divBdr>
                            <w:top w:val="none" w:sz="0" w:space="0" w:color="auto"/>
                            <w:left w:val="none" w:sz="0" w:space="0" w:color="auto"/>
                            <w:bottom w:val="none" w:sz="0" w:space="0" w:color="auto"/>
                            <w:right w:val="none" w:sz="0" w:space="0" w:color="auto"/>
                          </w:divBdr>
                          <w:divsChild>
                            <w:div w:id="644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028227">
          <w:marLeft w:val="0"/>
          <w:marRight w:val="0"/>
          <w:marTop w:val="0"/>
          <w:marBottom w:val="0"/>
          <w:divBdr>
            <w:top w:val="none" w:sz="0" w:space="0" w:color="auto"/>
            <w:left w:val="none" w:sz="0" w:space="0" w:color="auto"/>
            <w:bottom w:val="none" w:sz="0" w:space="0" w:color="auto"/>
            <w:right w:val="none" w:sz="0" w:space="0" w:color="auto"/>
          </w:divBdr>
          <w:divsChild>
            <w:div w:id="23563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360498">
      <w:bodyDiv w:val="1"/>
      <w:marLeft w:val="0"/>
      <w:marRight w:val="0"/>
      <w:marTop w:val="0"/>
      <w:marBottom w:val="0"/>
      <w:divBdr>
        <w:top w:val="none" w:sz="0" w:space="0" w:color="auto"/>
        <w:left w:val="none" w:sz="0" w:space="0" w:color="auto"/>
        <w:bottom w:val="none" w:sz="0" w:space="0" w:color="auto"/>
        <w:right w:val="none" w:sz="0" w:space="0" w:color="auto"/>
      </w:divBdr>
    </w:div>
    <w:div w:id="1655914765">
      <w:bodyDiv w:val="1"/>
      <w:marLeft w:val="0"/>
      <w:marRight w:val="0"/>
      <w:marTop w:val="0"/>
      <w:marBottom w:val="0"/>
      <w:divBdr>
        <w:top w:val="none" w:sz="0" w:space="0" w:color="auto"/>
        <w:left w:val="none" w:sz="0" w:space="0" w:color="auto"/>
        <w:bottom w:val="none" w:sz="0" w:space="0" w:color="auto"/>
        <w:right w:val="none" w:sz="0" w:space="0" w:color="auto"/>
      </w:divBdr>
    </w:div>
    <w:div w:id="1717197211">
      <w:bodyDiv w:val="1"/>
      <w:marLeft w:val="0"/>
      <w:marRight w:val="0"/>
      <w:marTop w:val="0"/>
      <w:marBottom w:val="0"/>
      <w:divBdr>
        <w:top w:val="none" w:sz="0" w:space="0" w:color="auto"/>
        <w:left w:val="none" w:sz="0" w:space="0" w:color="auto"/>
        <w:bottom w:val="none" w:sz="0" w:space="0" w:color="auto"/>
        <w:right w:val="none" w:sz="0" w:space="0" w:color="auto"/>
      </w:divBdr>
    </w:div>
    <w:div w:id="1730491432">
      <w:bodyDiv w:val="1"/>
      <w:marLeft w:val="0"/>
      <w:marRight w:val="0"/>
      <w:marTop w:val="0"/>
      <w:marBottom w:val="0"/>
      <w:divBdr>
        <w:top w:val="none" w:sz="0" w:space="0" w:color="auto"/>
        <w:left w:val="none" w:sz="0" w:space="0" w:color="auto"/>
        <w:bottom w:val="none" w:sz="0" w:space="0" w:color="auto"/>
        <w:right w:val="none" w:sz="0" w:space="0" w:color="auto"/>
      </w:divBdr>
      <w:divsChild>
        <w:div w:id="2050952566">
          <w:marLeft w:val="0"/>
          <w:marRight w:val="0"/>
          <w:marTop w:val="0"/>
          <w:marBottom w:val="0"/>
          <w:divBdr>
            <w:top w:val="none" w:sz="0" w:space="0" w:color="auto"/>
            <w:left w:val="none" w:sz="0" w:space="0" w:color="auto"/>
            <w:bottom w:val="none" w:sz="0" w:space="0" w:color="auto"/>
            <w:right w:val="none" w:sz="0" w:space="0" w:color="auto"/>
          </w:divBdr>
        </w:div>
      </w:divsChild>
    </w:div>
    <w:div w:id="1763987993">
      <w:bodyDiv w:val="1"/>
      <w:marLeft w:val="0"/>
      <w:marRight w:val="0"/>
      <w:marTop w:val="0"/>
      <w:marBottom w:val="0"/>
      <w:divBdr>
        <w:top w:val="none" w:sz="0" w:space="0" w:color="auto"/>
        <w:left w:val="none" w:sz="0" w:space="0" w:color="auto"/>
        <w:bottom w:val="none" w:sz="0" w:space="0" w:color="auto"/>
        <w:right w:val="none" w:sz="0" w:space="0" w:color="auto"/>
      </w:divBdr>
      <w:divsChild>
        <w:div w:id="874387517">
          <w:marLeft w:val="0"/>
          <w:marRight w:val="0"/>
          <w:marTop w:val="0"/>
          <w:marBottom w:val="0"/>
          <w:divBdr>
            <w:top w:val="none" w:sz="0" w:space="0" w:color="auto"/>
            <w:left w:val="none" w:sz="0" w:space="0" w:color="auto"/>
            <w:bottom w:val="none" w:sz="0" w:space="0" w:color="auto"/>
            <w:right w:val="none" w:sz="0" w:space="0" w:color="auto"/>
          </w:divBdr>
        </w:div>
      </w:divsChild>
    </w:div>
    <w:div w:id="1842550154">
      <w:bodyDiv w:val="1"/>
      <w:marLeft w:val="0"/>
      <w:marRight w:val="0"/>
      <w:marTop w:val="0"/>
      <w:marBottom w:val="0"/>
      <w:divBdr>
        <w:top w:val="none" w:sz="0" w:space="0" w:color="auto"/>
        <w:left w:val="none" w:sz="0" w:space="0" w:color="auto"/>
        <w:bottom w:val="none" w:sz="0" w:space="0" w:color="auto"/>
        <w:right w:val="none" w:sz="0" w:space="0" w:color="auto"/>
      </w:divBdr>
    </w:div>
    <w:div w:id="1934894159">
      <w:bodyDiv w:val="1"/>
      <w:marLeft w:val="0"/>
      <w:marRight w:val="0"/>
      <w:marTop w:val="0"/>
      <w:marBottom w:val="0"/>
      <w:divBdr>
        <w:top w:val="none" w:sz="0" w:space="0" w:color="auto"/>
        <w:left w:val="none" w:sz="0" w:space="0" w:color="auto"/>
        <w:bottom w:val="none" w:sz="0" w:space="0" w:color="auto"/>
        <w:right w:val="none" w:sz="0" w:space="0" w:color="auto"/>
      </w:divBdr>
    </w:div>
    <w:div w:id="2038315855">
      <w:bodyDiv w:val="1"/>
      <w:marLeft w:val="0"/>
      <w:marRight w:val="0"/>
      <w:marTop w:val="0"/>
      <w:marBottom w:val="0"/>
      <w:divBdr>
        <w:top w:val="none" w:sz="0" w:space="0" w:color="auto"/>
        <w:left w:val="none" w:sz="0" w:space="0" w:color="auto"/>
        <w:bottom w:val="none" w:sz="0" w:space="0" w:color="auto"/>
        <w:right w:val="none" w:sz="0" w:space="0" w:color="auto"/>
      </w:divBdr>
    </w:div>
    <w:div w:id="2052418998">
      <w:bodyDiv w:val="1"/>
      <w:marLeft w:val="0"/>
      <w:marRight w:val="0"/>
      <w:marTop w:val="0"/>
      <w:marBottom w:val="0"/>
      <w:divBdr>
        <w:top w:val="none" w:sz="0" w:space="0" w:color="auto"/>
        <w:left w:val="none" w:sz="0" w:space="0" w:color="auto"/>
        <w:bottom w:val="none" w:sz="0" w:space="0" w:color="auto"/>
        <w:right w:val="none" w:sz="0" w:space="0" w:color="auto"/>
      </w:divBdr>
    </w:div>
    <w:div w:id="2078437074">
      <w:bodyDiv w:val="1"/>
      <w:marLeft w:val="0"/>
      <w:marRight w:val="0"/>
      <w:marTop w:val="0"/>
      <w:marBottom w:val="0"/>
      <w:divBdr>
        <w:top w:val="none" w:sz="0" w:space="0" w:color="auto"/>
        <w:left w:val="none" w:sz="0" w:space="0" w:color="auto"/>
        <w:bottom w:val="none" w:sz="0" w:space="0" w:color="auto"/>
        <w:right w:val="none" w:sz="0" w:space="0" w:color="auto"/>
      </w:divBdr>
    </w:div>
    <w:div w:id="2091072861">
      <w:bodyDiv w:val="1"/>
      <w:marLeft w:val="0"/>
      <w:marRight w:val="0"/>
      <w:marTop w:val="0"/>
      <w:marBottom w:val="0"/>
      <w:divBdr>
        <w:top w:val="none" w:sz="0" w:space="0" w:color="auto"/>
        <w:left w:val="none" w:sz="0" w:space="0" w:color="auto"/>
        <w:bottom w:val="none" w:sz="0" w:space="0" w:color="auto"/>
        <w:right w:val="none" w:sz="0" w:space="0" w:color="auto"/>
      </w:divBdr>
    </w:div>
    <w:div w:id="210059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www.compass-group.co.uk/our-heritage/"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www.compass-group.com" TargetMode="External"/><Relationship Id="rId2" Type="http://schemas.openxmlformats.org/officeDocument/2006/relationships/customXml" Target="../customXml/item2.xml"/><Relationship Id="rId16" Type="http://schemas.openxmlformats.org/officeDocument/2006/relationships/hyperlink" Target="https://www.compass-group.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compass-group.com" TargetMode="External"/><Relationship Id="rId10" Type="http://schemas.openxmlformats.org/officeDocument/2006/relationships/endnotes" Target="endnotes.xml"/><Relationship Id="rId19" Type="http://schemas.openxmlformats.org/officeDocument/2006/relationships/hyperlink" Target="https://www.compass-group.co.uk/our-heritag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mpass-group.com" TargetMode="Externa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Compass  Group Key Performance Metrics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Sheet1!$B$2:$B$6</c:f>
              <c:strCache>
                <c:ptCount val="4"/>
                <c:pt idx="0">
                  <c:v>ROCE(%)</c:v>
                </c:pt>
                <c:pt idx="1">
                  <c:v>Free Cash Flow Conversion Rate (50%)</c:v>
                </c:pt>
                <c:pt idx="2">
                  <c:v>Free Cash Flow (m£)</c:v>
                </c:pt>
                <c:pt idx="3">
                  <c:v>Operating Margin (%)</c:v>
                </c:pt>
              </c:strCache>
            </c:strRef>
          </c:cat>
          <c:val>
            <c:numRef>
              <c:f>Sheet1!$C$2:$C$6</c:f>
              <c:numCache>
                <c:formatCode>General</c:formatCode>
                <c:ptCount val="5"/>
                <c:pt idx="0">
                  <c:v>19.5</c:v>
                </c:pt>
                <c:pt idx="1">
                  <c:v>58.5</c:v>
                </c:pt>
                <c:pt idx="2" formatCode="#,##0">
                  <c:v>1241</c:v>
                </c:pt>
                <c:pt idx="3">
                  <c:v>6.8</c:v>
                </c:pt>
              </c:numCache>
            </c:numRef>
          </c:val>
          <c:extLst>
            <c:ext xmlns:c16="http://schemas.microsoft.com/office/drawing/2014/chart" uri="{C3380CC4-5D6E-409C-BE32-E72D297353CC}">
              <c16:uniqueId val="{00000000-EB25-4B68-8015-5D146DF50414}"/>
            </c:ext>
          </c:extLst>
        </c:ser>
        <c:dLbls>
          <c:showLegendKey val="0"/>
          <c:showVal val="0"/>
          <c:showCatName val="0"/>
          <c:showSerName val="0"/>
          <c:showPercent val="0"/>
          <c:showBubbleSize val="0"/>
        </c:dLbls>
        <c:gapWidth val="182"/>
        <c:axId val="844819888"/>
        <c:axId val="844821328"/>
      </c:barChart>
      <c:catAx>
        <c:axId val="84481988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4821328"/>
        <c:crosses val="autoZero"/>
        <c:auto val="1"/>
        <c:lblAlgn val="ctr"/>
        <c:lblOffset val="100"/>
        <c:noMultiLvlLbl val="0"/>
      </c:catAx>
      <c:valAx>
        <c:axId val="8448213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48198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152537182852143"/>
          <c:y val="0.19486111111111112"/>
          <c:w val="0.85847462817147857"/>
          <c:h val="0.72125801983085447"/>
        </c:manualLayout>
      </c:layout>
      <c:lineChart>
        <c:grouping val="standard"/>
        <c:varyColors val="0"/>
        <c:ser>
          <c:idx val="0"/>
          <c:order val="0"/>
          <c:tx>
            <c:strRef>
              <c:f>Sheet1!$B$1</c:f>
              <c:strCache>
                <c:ptCount val="1"/>
                <c:pt idx="0">
                  <c:v>Net Profit (milions)</c:v>
                </c:pt>
              </c:strCache>
            </c:strRef>
          </c:tx>
          <c:spPr>
            <a:ln w="28575" cap="rnd">
              <a:solidFill>
                <a:schemeClr val="accent1"/>
              </a:solidFill>
              <a:round/>
            </a:ln>
            <a:effectLst/>
          </c:spPr>
          <c:marker>
            <c:symbol val="none"/>
          </c:marker>
          <c:cat>
            <c:numRef>
              <c:f>Sheet1!$A$2:$A$5</c:f>
              <c:numCache>
                <c:formatCode>General</c:formatCode>
                <c:ptCount val="4"/>
                <c:pt idx="0">
                  <c:v>2020</c:v>
                </c:pt>
                <c:pt idx="1">
                  <c:v>2021</c:v>
                </c:pt>
                <c:pt idx="2">
                  <c:v>2022</c:v>
                </c:pt>
                <c:pt idx="3">
                  <c:v>2023</c:v>
                </c:pt>
              </c:numCache>
            </c:numRef>
          </c:cat>
          <c:val>
            <c:numRef>
              <c:f>Sheet1!$B$2:$B$5</c:f>
              <c:numCache>
                <c:formatCode>"£"#,##0_);[Red]\("£"#,##0\)</c:formatCode>
                <c:ptCount val="4"/>
                <c:pt idx="0">
                  <c:v>135</c:v>
                </c:pt>
                <c:pt idx="1">
                  <c:v>357</c:v>
                </c:pt>
                <c:pt idx="2">
                  <c:v>1117</c:v>
                </c:pt>
                <c:pt idx="3" formatCode="&quot;£&quot;#,##0.00_);[Red]\(&quot;£&quot;#,##0.00\)">
                  <c:v>1478</c:v>
                </c:pt>
              </c:numCache>
            </c:numRef>
          </c:val>
          <c:smooth val="0"/>
          <c:extLst>
            <c:ext xmlns:c16="http://schemas.microsoft.com/office/drawing/2014/chart" uri="{C3380CC4-5D6E-409C-BE32-E72D297353CC}">
              <c16:uniqueId val="{00000000-0F98-4B1D-855B-72ED8BE64EE3}"/>
            </c:ext>
          </c:extLst>
        </c:ser>
        <c:dLbls>
          <c:showLegendKey val="0"/>
          <c:showVal val="0"/>
          <c:showCatName val="0"/>
          <c:showSerName val="0"/>
          <c:showPercent val="0"/>
          <c:showBubbleSize val="0"/>
        </c:dLbls>
        <c:smooth val="0"/>
        <c:axId val="1277835200"/>
        <c:axId val="1277841920"/>
      </c:lineChart>
      <c:catAx>
        <c:axId val="12778352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7841920"/>
        <c:crosses val="autoZero"/>
        <c:auto val="1"/>
        <c:lblAlgn val="ctr"/>
        <c:lblOffset val="100"/>
        <c:noMultiLvlLbl val="0"/>
      </c:catAx>
      <c:valAx>
        <c:axId val="1277841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Net</a:t>
                </a:r>
                <a:r>
                  <a:rPr lang="en-GB" baseline="0"/>
                  <a:t> Profit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7835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abcd16ad640e6863c7018229c34af9f">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e24a98ba5150ee97758a3e5332d8c2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E56A1C-BF95-4C0A-8EC5-718B9E5CDC28}">
  <ds:schemaRefs>
    <ds:schemaRef ds:uri="http://schemas.microsoft.com/office/infopath/2007/PartnerControls"/>
    <ds:schemaRef ds:uri="http://www.w3.org/XML/1998/namespace"/>
    <ds:schemaRef ds:uri="4055ddc6-ee7b-4b5b-b8fb-52871646f80e"/>
    <ds:schemaRef ds:uri="http://purl.org/dc/elements/1.1/"/>
    <ds:schemaRef ds:uri="http://schemas.microsoft.com/office/2006/documentManagement/types"/>
    <ds:schemaRef ds:uri="0338428b-3fc8-4989-9d03-78e16c931d9f"/>
    <ds:schemaRef ds:uri="http://purl.org/dc/dcmitype/"/>
    <ds:schemaRef ds:uri="http://schemas.microsoft.com/office/2006/metadata/properties"/>
    <ds:schemaRef ds:uri="http://schemas.openxmlformats.org/package/2006/metadata/core-properties"/>
    <ds:schemaRef ds:uri="http://purl.org/dc/terms/"/>
  </ds:schemaRefs>
</ds:datastoreItem>
</file>

<file path=customXml/itemProps2.xml><?xml version="1.0" encoding="utf-8"?>
<ds:datastoreItem xmlns:ds="http://schemas.openxmlformats.org/officeDocument/2006/customXml" ds:itemID="{3F4C2E20-DCFF-40AA-8D7D-9CDF92076E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D31799-336D-49C9-830A-6EB9F3223F57}">
  <ds:schemaRefs>
    <ds:schemaRef ds:uri="http://schemas.openxmlformats.org/officeDocument/2006/bibliography"/>
  </ds:schemaRefs>
</ds:datastoreItem>
</file>

<file path=customXml/itemProps4.xml><?xml version="1.0" encoding="utf-8"?>
<ds:datastoreItem xmlns:ds="http://schemas.openxmlformats.org/officeDocument/2006/customXml" ds:itemID="{0D9DD19A-A6E6-4AA8-B51A-E4F6FDC0AB3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1871</Words>
  <Characters>12462</Characters>
  <Application>Microsoft Office Word</Application>
  <DocSecurity>0</DocSecurity>
  <Lines>289</Lines>
  <Paragraphs>89</Paragraphs>
  <ScaleCrop>false</ScaleCrop>
  <Company/>
  <LinksUpToDate>false</LinksUpToDate>
  <CharactersWithSpaces>14244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2</cp:revision>
  <dcterms:created xsi:type="dcterms:W3CDTF">2024-10-25T18:46:00Z</dcterms:created>
  <dcterms:modified xsi:type="dcterms:W3CDTF">2024-10-25T18:46:00Z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673709c5-bebd-43d8-b306-e3239edf09ca</vt:lpwstr>
  </property>
  <property fmtid="{D5CDD505-2E9C-101B-9397-08002B2CF9AE}" pid="3" name="ContentTypeId">
    <vt:lpwstr>0x010100BD024FF986E86248B25DDBA3DBF998D1</vt:lpwstr>
  </property>
</Properties>
</file>