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FE6BC" w14:textId="4210C481" w:rsidR="00F6079C" w:rsidRPr="00D731A1" w:rsidRDefault="00F6079C" w:rsidP="00D731A1">
      <w:pPr>
        <w:pStyle w:val="NoSpacing"/>
      </w:pPr>
    </w:p>
    <w:p w14:paraId="3CC99A4D" w14:textId="36B14876" w:rsidR="32ADAAF6" w:rsidRPr="00D731A1" w:rsidRDefault="32ADAAF6" w:rsidP="00D731A1">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3E4FAE7" w14:textId="1109CF27" w:rsidR="00DB62B9" w:rsidRPr="003B7E20" w:rsidRDefault="0037100A" w:rsidP="0037100A">
      <w:pPr>
        <w:rPr>
          <w:rFonts w:ascii="Arial Nova" w:eastAsia="Arial Nova" w:hAnsi="Arial Nova" w:cs="Arial Nova"/>
          <w:b/>
          <w:bCs/>
          <w:sz w:val="32"/>
          <w:szCs w:val="32"/>
        </w:rPr>
      </w:pPr>
      <w:r w:rsidRPr="003B7E20">
        <w:rPr>
          <w:rFonts w:ascii="Arial Nova" w:eastAsia="Arial Nova" w:hAnsi="Arial Nova" w:cs="Arial Nova"/>
          <w:b/>
          <w:bCs/>
          <w:sz w:val="32"/>
          <w:szCs w:val="32"/>
        </w:rPr>
        <w:t>Name: Rana Fatima</w:t>
      </w:r>
    </w:p>
    <w:p w14:paraId="44CAA66B" w14:textId="6F59FF78" w:rsidR="0037100A" w:rsidRPr="003B7E20" w:rsidRDefault="0010113B" w:rsidP="0037100A">
      <w:pPr>
        <w:rPr>
          <w:rFonts w:ascii="Arial Nova" w:eastAsia="Arial Nova" w:hAnsi="Arial Nova" w:cs="Arial Nova"/>
          <w:b/>
          <w:bCs/>
          <w:sz w:val="32"/>
          <w:szCs w:val="32"/>
        </w:rPr>
      </w:pPr>
      <w:r w:rsidRPr="003B7E20">
        <w:rPr>
          <w:rFonts w:ascii="Arial Nova" w:eastAsia="Arial Nova" w:hAnsi="Arial Nova" w:cs="Arial Nova"/>
          <w:b/>
          <w:bCs/>
          <w:sz w:val="32"/>
          <w:szCs w:val="32"/>
        </w:rPr>
        <w:t>Student ID: 2</w:t>
      </w:r>
      <w:r w:rsidR="003B7E20">
        <w:rPr>
          <w:rFonts w:ascii="Arial Nova" w:eastAsia="Arial Nova" w:hAnsi="Arial Nova" w:cs="Arial Nova"/>
          <w:b/>
          <w:bCs/>
          <w:sz w:val="32"/>
          <w:szCs w:val="32"/>
        </w:rPr>
        <w:t>407474</w:t>
      </w:r>
    </w:p>
    <w:p w14:paraId="0511FD25" w14:textId="14EA75B7" w:rsidR="00492870" w:rsidRDefault="00492870" w:rsidP="0037100A">
      <w:pPr>
        <w:rPr>
          <w:rFonts w:ascii="Arial Nova" w:eastAsia="Arial Nova" w:hAnsi="Arial Nova" w:cs="Arial Nova"/>
          <w:b/>
          <w:bCs/>
          <w:sz w:val="32"/>
          <w:szCs w:val="32"/>
        </w:rPr>
      </w:pPr>
      <w:r>
        <w:rPr>
          <w:rFonts w:ascii="Arial Nova" w:eastAsia="Arial Nova" w:hAnsi="Arial Nova" w:cs="Arial Nova"/>
          <w:b/>
          <w:bCs/>
          <w:sz w:val="32"/>
          <w:szCs w:val="32"/>
        </w:rPr>
        <w:t xml:space="preserve"> Module code: </w:t>
      </w:r>
      <w:r w:rsidR="0010113B" w:rsidRPr="003B7E20">
        <w:rPr>
          <w:rFonts w:ascii="Arial Nova" w:eastAsia="Arial Nova" w:hAnsi="Arial Nova" w:cs="Arial Nova"/>
          <w:b/>
          <w:bCs/>
          <w:sz w:val="32"/>
          <w:szCs w:val="32"/>
        </w:rPr>
        <w:t>BMH</w:t>
      </w:r>
      <w:r w:rsidR="00634A6A" w:rsidRPr="003B7E20">
        <w:rPr>
          <w:rFonts w:ascii="Arial Nova" w:eastAsia="Arial Nova" w:hAnsi="Arial Nova" w:cs="Arial Nova"/>
          <w:b/>
          <w:bCs/>
          <w:sz w:val="32"/>
          <w:szCs w:val="32"/>
        </w:rPr>
        <w:t xml:space="preserve">P5014 </w:t>
      </w:r>
    </w:p>
    <w:p w14:paraId="4C80AA56" w14:textId="3A6FDE6A" w:rsidR="0010113B" w:rsidRDefault="00CD6BD3" w:rsidP="0037100A">
      <w:pPr>
        <w:rPr>
          <w:rFonts w:ascii="Arial Nova" w:eastAsia="Arial Nova" w:hAnsi="Arial Nova" w:cs="Arial Nova"/>
          <w:b/>
          <w:bCs/>
          <w:sz w:val="32"/>
          <w:szCs w:val="32"/>
        </w:rPr>
      </w:pPr>
      <w:r>
        <w:rPr>
          <w:rFonts w:ascii="Arial Nova" w:eastAsia="Arial Nova" w:hAnsi="Arial Nova" w:cs="Arial Nova"/>
          <w:b/>
          <w:bCs/>
          <w:sz w:val="32"/>
          <w:szCs w:val="32"/>
        </w:rPr>
        <w:t xml:space="preserve">Assignment Title: </w:t>
      </w:r>
      <w:r w:rsidR="00634A6A" w:rsidRPr="003B7E20">
        <w:rPr>
          <w:rFonts w:ascii="Arial Nova" w:eastAsia="Arial Nova" w:hAnsi="Arial Nova" w:cs="Arial Nova"/>
          <w:b/>
          <w:bCs/>
          <w:sz w:val="32"/>
          <w:szCs w:val="32"/>
        </w:rPr>
        <w:t xml:space="preserve">Component </w:t>
      </w:r>
      <w:proofErr w:type="gramStart"/>
      <w:r w:rsidR="00634A6A" w:rsidRPr="003B7E20">
        <w:rPr>
          <w:rFonts w:ascii="Arial Nova" w:eastAsia="Arial Nova" w:hAnsi="Arial Nova" w:cs="Arial Nova"/>
          <w:b/>
          <w:bCs/>
          <w:sz w:val="32"/>
          <w:szCs w:val="32"/>
        </w:rPr>
        <w:t xml:space="preserve">1 </w:t>
      </w:r>
      <w:r w:rsidR="00A37184">
        <w:rPr>
          <w:rFonts w:ascii="Arial Nova" w:eastAsia="Arial Nova" w:hAnsi="Arial Nova" w:cs="Arial Nova"/>
          <w:b/>
          <w:bCs/>
          <w:sz w:val="32"/>
          <w:szCs w:val="32"/>
        </w:rPr>
        <w:t>:</w:t>
      </w:r>
      <w:proofErr w:type="gramEnd"/>
      <w:r w:rsidR="00A37184">
        <w:rPr>
          <w:rFonts w:ascii="Arial Nova" w:eastAsia="Arial Nova" w:hAnsi="Arial Nova" w:cs="Arial Nova"/>
          <w:b/>
          <w:bCs/>
          <w:sz w:val="32"/>
          <w:szCs w:val="32"/>
        </w:rPr>
        <w:t xml:space="preserve">  Online </w:t>
      </w:r>
      <w:r w:rsidR="003B7E20" w:rsidRPr="003B7E20">
        <w:rPr>
          <w:rFonts w:ascii="Arial Nova" w:eastAsia="Arial Nova" w:hAnsi="Arial Nova" w:cs="Arial Nova"/>
          <w:b/>
          <w:bCs/>
          <w:sz w:val="32"/>
          <w:szCs w:val="32"/>
        </w:rPr>
        <w:t xml:space="preserve">Portfolio </w:t>
      </w:r>
      <w:r w:rsidR="00FD20DC">
        <w:rPr>
          <w:rFonts w:ascii="Arial Nova" w:eastAsia="Arial Nova" w:hAnsi="Arial Nova" w:cs="Arial Nova"/>
          <w:b/>
          <w:bCs/>
          <w:sz w:val="32"/>
          <w:szCs w:val="32"/>
        </w:rPr>
        <w:t>of Set Exercises</w:t>
      </w:r>
    </w:p>
    <w:p w14:paraId="4B4E42CD" w14:textId="0BAC4FDF" w:rsidR="00C547EA" w:rsidRPr="003B7E20" w:rsidRDefault="00C547EA" w:rsidP="0037100A">
      <w:pPr>
        <w:rPr>
          <w:rFonts w:ascii="Arial Nova" w:eastAsia="Arial Nova" w:hAnsi="Arial Nova" w:cs="Arial Nova"/>
          <w:b/>
          <w:bCs/>
          <w:sz w:val="32"/>
          <w:szCs w:val="32"/>
        </w:rPr>
      </w:pPr>
      <w:r>
        <w:rPr>
          <w:rFonts w:ascii="Arial Nova" w:eastAsia="Arial Nova" w:hAnsi="Arial Nova" w:cs="Arial Nova"/>
          <w:b/>
          <w:bCs/>
          <w:sz w:val="32"/>
          <w:szCs w:val="32"/>
        </w:rPr>
        <w:t>Date: 25.03.2026</w:t>
      </w:r>
    </w:p>
    <w:p w14:paraId="6400EEBF" w14:textId="37362017" w:rsidR="006241CC" w:rsidRDefault="006241CC">
      <w:pPr>
        <w:rPr>
          <w:rFonts w:ascii="Arial Nova" w:eastAsia="Arial Nova" w:hAnsi="Arial Nova" w:cs="Arial Nova"/>
          <w:sz w:val="72"/>
          <w:szCs w:val="72"/>
        </w:rPr>
      </w:pPr>
      <w:r>
        <w:rPr>
          <w:rFonts w:ascii="Arial Nova" w:eastAsia="Arial Nova" w:hAnsi="Arial Nova" w:cs="Arial Nova"/>
          <w:sz w:val="72"/>
          <w:szCs w:val="72"/>
        </w:rPr>
        <w:br w:type="page"/>
      </w:r>
    </w:p>
    <w:p w14:paraId="3279D68B" w14:textId="77777777" w:rsidR="00F6079C" w:rsidRDefault="00F6079C">
      <w:pPr>
        <w:rPr>
          <w:rFonts w:ascii="Arial Nova" w:eastAsia="Arial Nova" w:hAnsi="Arial Nova" w:cs="Arial Nova"/>
          <w:sz w:val="72"/>
          <w:szCs w:val="72"/>
        </w:rPr>
      </w:pPr>
    </w:p>
    <w:p w14:paraId="2CD1857B" w14:textId="77777777" w:rsidR="00D731A1" w:rsidRDefault="00D731A1">
      <w:pPr>
        <w:rPr>
          <w:rFonts w:ascii="Arial Nova" w:eastAsia="Arial Nova" w:hAnsi="Arial Nova" w:cs="Arial Nova"/>
          <w:sz w:val="72"/>
          <w:szCs w:val="72"/>
        </w:rPr>
      </w:pPr>
    </w:p>
    <w:p w14:paraId="786AD3E7" w14:textId="20A1387E" w:rsidR="007516F6" w:rsidRPr="007516F6" w:rsidRDefault="004E5D5E">
      <w:pPr>
        <w:rPr>
          <w:rFonts w:ascii="Arial Nova" w:eastAsia="Arial Nova" w:hAnsi="Arial Nova" w:cs="Arial Nova"/>
          <w:sz w:val="32"/>
          <w:szCs w:val="32"/>
        </w:rPr>
      </w:pPr>
      <w:r w:rsidRPr="007516F6">
        <w:rPr>
          <w:rFonts w:ascii="Arial Nova" w:eastAsia="Arial Nova" w:hAnsi="Arial Nova" w:cs="Arial Nova"/>
          <w:b/>
          <w:bCs/>
          <w:sz w:val="32"/>
          <w:szCs w:val="32"/>
        </w:rPr>
        <w:t>Task 1 – Concept Map</w:t>
      </w:r>
      <w:r w:rsidRPr="007516F6">
        <w:rPr>
          <w:rFonts w:ascii="Arial Nova" w:eastAsia="Arial Nova" w:hAnsi="Arial Nova" w:cs="Arial Nova"/>
          <w:sz w:val="32"/>
          <w:szCs w:val="32"/>
        </w:rPr>
        <w:t>:</w:t>
      </w:r>
    </w:p>
    <w:p w14:paraId="78D33CE6" w14:textId="58C0D2FB" w:rsidR="0008214E" w:rsidRPr="007516F6" w:rsidRDefault="004E5D5E">
      <w:pPr>
        <w:rPr>
          <w:rFonts w:ascii="Arial Nova" w:eastAsia="Arial Nova" w:hAnsi="Arial Nova" w:cs="Arial Nova"/>
          <w:sz w:val="72"/>
          <w:szCs w:val="72"/>
        </w:rPr>
      </w:pPr>
      <w:r>
        <w:rPr>
          <w:noProof/>
        </w:rPr>
        <w:drawing>
          <wp:anchor distT="0" distB="0" distL="114300" distR="114300" simplePos="0" relativeHeight="251660289" behindDoc="0" locked="0" layoutInCell="1" allowOverlap="1" wp14:anchorId="10D82E82" wp14:editId="507CFBA1">
            <wp:simplePos x="0" y="0"/>
            <wp:positionH relativeFrom="column">
              <wp:posOffset>7263</wp:posOffset>
            </wp:positionH>
            <wp:positionV relativeFrom="paragraph">
              <wp:posOffset>-9623026</wp:posOffset>
            </wp:positionV>
            <wp:extent cx="5943600" cy="4181554"/>
            <wp:effectExtent l="0" t="0" r="0" b="9525"/>
            <wp:wrapTopAndBottom/>
            <wp:docPr id="1182043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043652" name=""/>
                    <pic:cNvPicPr/>
                  </pic:nvPicPr>
                  <pic:blipFill>
                    <a:blip r:embed="rId12"/>
                    <a:stretch>
                      <a:fillRect/>
                    </a:stretch>
                  </pic:blipFill>
                  <pic:spPr>
                    <a:xfrm>
                      <a:off x="0" y="0"/>
                      <a:ext cx="5944893" cy="4182464"/>
                    </a:xfrm>
                    <a:prstGeom prst="rect">
                      <a:avLst/>
                    </a:prstGeom>
                  </pic:spPr>
                </pic:pic>
              </a:graphicData>
            </a:graphic>
            <wp14:sizeRelH relativeFrom="margin">
              <wp14:pctWidth>0</wp14:pctWidth>
            </wp14:sizeRelH>
            <wp14:sizeRelV relativeFrom="margin">
              <wp14:pctHeight>0</wp14:pctHeight>
            </wp14:sizeRelV>
          </wp:anchor>
        </w:drawing>
      </w:r>
      <w:r w:rsidR="008A328E" w:rsidRPr="00681B4D">
        <w:rPr>
          <w:rFonts w:ascii="Arial Nova" w:eastAsia="Arial Nova" w:hAnsi="Arial Nova" w:cs="Arial Nova"/>
          <w:color w:val="000000" w:themeColor="text1"/>
          <w:sz w:val="52"/>
          <w:szCs w:val="52"/>
        </w:rPr>
        <w:t>This concept map illustrates the relationship between</w:t>
      </w:r>
    </w:p>
    <w:p w14:paraId="1E973ACE" w14:textId="77777777" w:rsidR="00CE5148" w:rsidRDefault="008A328E">
      <w:pPr>
        <w:rPr>
          <w:rFonts w:ascii="Arial Nova" w:eastAsia="Arial Nova" w:hAnsi="Arial Nova" w:cs="Arial Nova"/>
          <w:b/>
          <w:bCs/>
          <w:color w:val="000000" w:themeColor="text1"/>
          <w:sz w:val="36"/>
          <w:szCs w:val="36"/>
        </w:rPr>
      </w:pPr>
      <w:r w:rsidRPr="007516F6">
        <w:rPr>
          <w:rFonts w:ascii="Arial Nova" w:eastAsia="Arial Nova" w:hAnsi="Arial Nova" w:cs="Arial Nova"/>
          <w:b/>
          <w:bCs/>
          <w:color w:val="000000" w:themeColor="text1"/>
          <w:sz w:val="36"/>
          <w:szCs w:val="36"/>
        </w:rPr>
        <w:t xml:space="preserve"> </w:t>
      </w:r>
      <w:r w:rsidR="00CE5148">
        <w:rPr>
          <w:rFonts w:ascii="Arial Nova" w:eastAsia="Arial Nova" w:hAnsi="Arial Nova" w:cs="Arial Nova"/>
          <w:b/>
          <w:bCs/>
          <w:color w:val="000000" w:themeColor="text1"/>
          <w:sz w:val="36"/>
          <w:szCs w:val="36"/>
        </w:rPr>
        <w:t>1:</w:t>
      </w:r>
      <w:r w:rsidR="00CE5148" w:rsidRPr="007516F6">
        <w:rPr>
          <w:rFonts w:ascii="Arial Nova" w:eastAsia="Arial Nova" w:hAnsi="Arial Nova" w:cs="Arial Nova"/>
          <w:b/>
          <w:bCs/>
          <w:color w:val="000000" w:themeColor="text1"/>
          <w:sz w:val="36"/>
          <w:szCs w:val="36"/>
        </w:rPr>
        <w:t xml:space="preserve"> Creativity</w:t>
      </w:r>
    </w:p>
    <w:p w14:paraId="2EAAC866" w14:textId="436F442D" w:rsidR="00CE5148" w:rsidRDefault="00381210">
      <w:pPr>
        <w:rPr>
          <w:rFonts w:ascii="Arial Nova" w:eastAsia="Arial Nova" w:hAnsi="Arial Nova" w:cs="Arial Nova"/>
          <w:b/>
          <w:bCs/>
          <w:color w:val="000000" w:themeColor="text1"/>
          <w:sz w:val="36"/>
          <w:szCs w:val="36"/>
        </w:rPr>
      </w:pPr>
      <w:r w:rsidRPr="007516F6">
        <w:rPr>
          <w:rFonts w:ascii="Arial Nova" w:eastAsia="Arial Nova" w:hAnsi="Arial Nova" w:cs="Arial Nova"/>
          <w:b/>
          <w:bCs/>
          <w:color w:val="000000" w:themeColor="text1"/>
          <w:sz w:val="36"/>
          <w:szCs w:val="36"/>
        </w:rPr>
        <w:t>2: Value</w:t>
      </w:r>
      <w:r w:rsidR="008A328E" w:rsidRPr="007516F6">
        <w:rPr>
          <w:rFonts w:ascii="Arial Nova" w:eastAsia="Arial Nova" w:hAnsi="Arial Nova" w:cs="Arial Nova"/>
          <w:b/>
          <w:bCs/>
          <w:color w:val="000000" w:themeColor="text1"/>
          <w:sz w:val="36"/>
          <w:szCs w:val="36"/>
        </w:rPr>
        <w:t xml:space="preserve"> </w:t>
      </w:r>
      <w:r w:rsidR="00F7378F" w:rsidRPr="007516F6">
        <w:rPr>
          <w:rFonts w:ascii="Arial Nova" w:eastAsia="Arial Nova" w:hAnsi="Arial Nova" w:cs="Arial Nova"/>
          <w:b/>
          <w:bCs/>
          <w:color w:val="000000" w:themeColor="text1"/>
          <w:sz w:val="36"/>
          <w:szCs w:val="36"/>
        </w:rPr>
        <w:t>creation</w:t>
      </w:r>
    </w:p>
    <w:p w14:paraId="5C7DA93B" w14:textId="39967533" w:rsidR="003C23EB" w:rsidRPr="00CE5148" w:rsidRDefault="00F7378F">
      <w:pPr>
        <w:rPr>
          <w:rFonts w:ascii="Arial Nova" w:eastAsia="Arial Nova" w:hAnsi="Arial Nova" w:cs="Arial Nova"/>
          <w:b/>
          <w:bCs/>
          <w:color w:val="000000" w:themeColor="text1"/>
          <w:sz w:val="36"/>
          <w:szCs w:val="36"/>
        </w:rPr>
      </w:pPr>
      <w:r w:rsidRPr="007516F6">
        <w:rPr>
          <w:rFonts w:ascii="Arial Nova" w:eastAsia="Arial Nova" w:hAnsi="Arial Nova" w:cs="Arial Nova"/>
          <w:b/>
          <w:bCs/>
          <w:color w:val="000000" w:themeColor="text1"/>
          <w:sz w:val="36"/>
          <w:szCs w:val="36"/>
        </w:rPr>
        <w:t>3: H</w:t>
      </w:r>
      <w:r w:rsidR="008A328E" w:rsidRPr="007516F6">
        <w:rPr>
          <w:rFonts w:ascii="Arial Nova" w:eastAsia="Arial Nova" w:hAnsi="Arial Nova" w:cs="Arial Nova"/>
          <w:b/>
          <w:bCs/>
          <w:color w:val="000000" w:themeColor="text1"/>
          <w:sz w:val="36"/>
          <w:szCs w:val="36"/>
        </w:rPr>
        <w:t>ealth and social care improvement</w:t>
      </w:r>
    </w:p>
    <w:p w14:paraId="13F01F53" w14:textId="77777777" w:rsidR="00665B40" w:rsidRPr="007516F6" w:rsidRDefault="00665B40" w:rsidP="00665B40">
      <w:pPr>
        <w:rPr>
          <w:rFonts w:ascii="Arial" w:eastAsia="Arial Nova" w:hAnsi="Arial" w:cs="Arial"/>
          <w:color w:val="000000" w:themeColor="text1"/>
          <w:sz w:val="22"/>
          <w:szCs w:val="22"/>
        </w:rPr>
      </w:pPr>
      <w:r w:rsidRPr="00EC6078">
        <w:rPr>
          <w:rFonts w:ascii="Arial" w:eastAsia="Arial Nova" w:hAnsi="Arial" w:cs="Arial"/>
          <w:b/>
          <w:bCs/>
          <w:color w:val="000000" w:themeColor="text1"/>
          <w:sz w:val="28"/>
          <w:szCs w:val="28"/>
        </w:rPr>
        <w:t>Creativity:</w:t>
      </w:r>
      <w:r w:rsidRPr="007516F6">
        <w:rPr>
          <w:rFonts w:ascii="Arial" w:eastAsia="Arial Nova" w:hAnsi="Arial" w:cs="Arial"/>
          <w:color w:val="000000" w:themeColor="text1"/>
          <w:sz w:val="22"/>
          <w:szCs w:val="22"/>
        </w:rPr>
        <w:t xml:space="preserve"> Such as the ability to generate new ideas and solve problems, drives innovation in health care by designing new services and improving processes. These creative ideas are translated.</w:t>
      </w:r>
    </w:p>
    <w:p w14:paraId="7DEE723D" w14:textId="06A90923" w:rsidR="00665B40" w:rsidRPr="007516F6" w:rsidRDefault="00665B40" w:rsidP="00665B40">
      <w:pPr>
        <w:rPr>
          <w:rFonts w:ascii="Arial" w:eastAsia="Arial Nova" w:hAnsi="Arial" w:cs="Arial"/>
          <w:color w:val="000000" w:themeColor="text1"/>
          <w:sz w:val="22"/>
          <w:szCs w:val="22"/>
        </w:rPr>
      </w:pPr>
      <w:r w:rsidRPr="00E428F3">
        <w:rPr>
          <w:rFonts w:ascii="Arial" w:eastAsia="Arial Nova" w:hAnsi="Arial" w:cs="Arial"/>
          <w:b/>
          <w:bCs/>
          <w:color w:val="000000" w:themeColor="text1"/>
          <w:sz w:val="28"/>
          <w:szCs w:val="28"/>
        </w:rPr>
        <w:t>value creation:</w:t>
      </w:r>
      <w:r w:rsidRPr="007516F6">
        <w:rPr>
          <w:rFonts w:ascii="Arial" w:eastAsia="Arial Nova" w:hAnsi="Arial" w:cs="Arial"/>
          <w:b/>
          <w:bCs/>
          <w:color w:val="000000" w:themeColor="text1"/>
          <w:sz w:val="22"/>
          <w:szCs w:val="22"/>
        </w:rPr>
        <w:t xml:space="preserve"> </w:t>
      </w:r>
      <w:r w:rsidRPr="007516F6">
        <w:rPr>
          <w:rFonts w:ascii="Arial" w:eastAsia="Arial Nova" w:hAnsi="Arial" w:cs="Arial"/>
          <w:color w:val="000000" w:themeColor="text1"/>
          <w:sz w:val="22"/>
          <w:szCs w:val="22"/>
        </w:rPr>
        <w:t xml:space="preserve">Which turns them into practical benefits such as cost reduction, increased efficiency, and improved patient outcomes. Ultimately, these two elements together drive health and social care improvement by enhancing safety. Accessibility. </w:t>
      </w:r>
      <w:r w:rsidR="0025385F">
        <w:rPr>
          <w:rFonts w:ascii="Arial" w:eastAsia="Arial Nova" w:hAnsi="Arial" w:cs="Arial"/>
          <w:color w:val="000000" w:themeColor="text1"/>
          <w:sz w:val="22"/>
          <w:szCs w:val="22"/>
        </w:rPr>
        <w:t>(G</w:t>
      </w:r>
      <w:r w:rsidR="00724C01">
        <w:rPr>
          <w:rFonts w:ascii="Arial" w:eastAsia="Arial Nova" w:hAnsi="Arial" w:cs="Arial"/>
          <w:color w:val="000000" w:themeColor="text1"/>
          <w:sz w:val="22"/>
          <w:szCs w:val="22"/>
        </w:rPr>
        <w:t>reenhalgh et al.,</w:t>
      </w:r>
      <w:r w:rsidR="00D4603B">
        <w:rPr>
          <w:rFonts w:ascii="Arial" w:eastAsia="Arial Nova" w:hAnsi="Arial" w:cs="Arial"/>
          <w:color w:val="000000" w:themeColor="text1"/>
          <w:sz w:val="22"/>
          <w:szCs w:val="22"/>
        </w:rPr>
        <w:t>2020)</w:t>
      </w:r>
    </w:p>
    <w:p w14:paraId="7CED6C82" w14:textId="3FA18C1D" w:rsidR="021F216E" w:rsidRPr="00665B40" w:rsidRDefault="00665B40" w:rsidP="00665B40">
      <w:pPr>
        <w:rPr>
          <w:rFonts w:ascii="Arial Nova" w:eastAsia="Arial Nova" w:hAnsi="Arial Nova" w:cs="Arial Nova"/>
          <w:color w:val="000000" w:themeColor="text1"/>
          <w:sz w:val="52"/>
          <w:szCs w:val="52"/>
        </w:rPr>
      </w:pPr>
      <w:r w:rsidRPr="00EC6078">
        <w:rPr>
          <w:rFonts w:ascii="Arial" w:eastAsia="Arial Nova" w:hAnsi="Arial" w:cs="Arial"/>
          <w:b/>
          <w:bCs/>
          <w:color w:val="000000" w:themeColor="text1"/>
          <w:sz w:val="28"/>
          <w:szCs w:val="28"/>
        </w:rPr>
        <w:t>Health and social care</w:t>
      </w:r>
      <w:r>
        <w:rPr>
          <w:rFonts w:ascii="Arial" w:eastAsia="Arial Nova" w:hAnsi="Arial" w:cs="Arial"/>
          <w:b/>
          <w:bCs/>
          <w:color w:val="000000" w:themeColor="text1"/>
          <w:sz w:val="28"/>
          <w:szCs w:val="28"/>
        </w:rPr>
        <w:t xml:space="preserve"> Improvement</w:t>
      </w:r>
      <w:r w:rsidRPr="00EC6078">
        <w:rPr>
          <w:rFonts w:ascii="Arial" w:eastAsia="Arial Nova" w:hAnsi="Arial" w:cs="Arial"/>
          <w:b/>
          <w:bCs/>
          <w:color w:val="000000" w:themeColor="text1"/>
          <w:sz w:val="28"/>
          <w:szCs w:val="28"/>
        </w:rPr>
        <w:t>:</w:t>
      </w:r>
      <w:r w:rsidRPr="007516F6">
        <w:rPr>
          <w:rFonts w:ascii="Arial" w:eastAsia="Arial Nova" w:hAnsi="Arial" w:cs="Arial"/>
          <w:b/>
          <w:bCs/>
          <w:color w:val="000000" w:themeColor="text1"/>
          <w:sz w:val="22"/>
          <w:szCs w:val="22"/>
        </w:rPr>
        <w:t xml:space="preserve"> </w:t>
      </w:r>
      <w:r w:rsidRPr="007516F6">
        <w:rPr>
          <w:rFonts w:ascii="Arial" w:eastAsia="Arial Nova" w:hAnsi="Arial" w:cs="Arial"/>
          <w:color w:val="000000" w:themeColor="text1"/>
          <w:sz w:val="22"/>
          <w:szCs w:val="22"/>
        </w:rPr>
        <w:t>Quality of care, in this way, creativity sparks new possibilities, value creation ensures those possibilities are effective and sustainable, and together they lead to continuous improvement in health and social care systems</w:t>
      </w:r>
    </w:p>
    <w:p w14:paraId="3CBF4633" w14:textId="07285137" w:rsidR="006241CC" w:rsidRDefault="006241CC">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30C05FBB" w14:textId="1F5DB41C"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68D35376" w14:textId="0E35C60A"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3FFB1DE3" w14:textId="1FB66668"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33836E90" w14:textId="77777777" w:rsidR="00E428F3" w:rsidRPr="00E428F3" w:rsidRDefault="00E428F3" w:rsidP="00E428F3">
      <w:pPr>
        <w:rPr>
          <w:rFonts w:ascii="Arial Nova" w:eastAsia="Arial Nova" w:hAnsi="Arial Nova" w:cs="Arial Nova"/>
          <w:b/>
          <w:bCs/>
          <w:color w:val="000000" w:themeColor="text1"/>
          <w:sz w:val="32"/>
          <w:szCs w:val="32"/>
        </w:rPr>
      </w:pPr>
    </w:p>
    <w:p w14:paraId="07ABCF99" w14:textId="1FEF5C93" w:rsidR="008C7E10" w:rsidRPr="00E428F3" w:rsidRDefault="469F9A50" w:rsidP="00E428F3">
      <w:pPr>
        <w:ind w:left="360"/>
        <w:rPr>
          <w:rFonts w:ascii="Arial Nova" w:eastAsia="Arial Nova" w:hAnsi="Arial Nova" w:cs="Arial Nova"/>
          <w:b/>
          <w:bCs/>
          <w:color w:val="000000" w:themeColor="text1"/>
          <w:sz w:val="32"/>
          <w:szCs w:val="32"/>
        </w:rPr>
      </w:pPr>
      <w:r w:rsidRPr="00E428F3">
        <w:rPr>
          <w:b/>
          <w:bCs/>
          <w:sz w:val="32"/>
          <w:szCs w:val="32"/>
        </w:rPr>
        <w:t xml:space="preserve">Task 2 - </w:t>
      </w:r>
      <w:r w:rsidR="32ADAAF6" w:rsidRPr="00E428F3">
        <w:rPr>
          <w:b/>
          <w:bCs/>
          <w:sz w:val="32"/>
          <w:szCs w:val="32"/>
        </w:rPr>
        <w:t>Self-Reflection of Group A</w:t>
      </w:r>
    </w:p>
    <w:p w14:paraId="6B504203" w14:textId="38090AE2" w:rsidR="000575E2" w:rsidRPr="007516F6" w:rsidRDefault="00381C09" w:rsidP="47853A3C">
      <w:pPr>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S</w:t>
      </w:r>
      <w:r w:rsidR="32ADAAF6" w:rsidRPr="007516F6">
        <w:rPr>
          <w:rFonts w:ascii="Arial Nova" w:eastAsia="Arial Nova" w:hAnsi="Arial Nova" w:cs="Arial Nova"/>
          <w:color w:val="000000" w:themeColor="text1"/>
          <w:sz w:val="22"/>
          <w:szCs w:val="22"/>
        </w:rPr>
        <w:t>elf-Reflection on the Convergent/Divergent</w:t>
      </w:r>
      <w:r w:rsidR="009C5459" w:rsidRPr="007516F6">
        <w:rPr>
          <w:rFonts w:ascii="Arial Nova" w:eastAsia="Arial Nova" w:hAnsi="Arial Nova" w:cs="Arial Nova"/>
          <w:color w:val="000000" w:themeColor="text1"/>
          <w:sz w:val="22"/>
          <w:szCs w:val="22"/>
        </w:rPr>
        <w:t xml:space="preserve"> paperclip</w:t>
      </w:r>
      <w:r w:rsidR="32ADAAF6" w:rsidRPr="007516F6">
        <w:rPr>
          <w:rFonts w:ascii="Arial Nova" w:eastAsia="Arial Nova" w:hAnsi="Arial Nova" w:cs="Arial Nova"/>
          <w:color w:val="000000" w:themeColor="text1"/>
          <w:sz w:val="22"/>
          <w:szCs w:val="22"/>
        </w:rPr>
        <w:t xml:space="preserve"> thinking class activity using a reflective model</w:t>
      </w:r>
      <w:r w:rsidR="008C7E10" w:rsidRPr="007516F6">
        <w:rPr>
          <w:rFonts w:ascii="Arial Nova" w:eastAsia="Arial Nova" w:hAnsi="Arial Nova" w:cs="Arial Nova"/>
          <w:color w:val="000000" w:themeColor="text1"/>
          <w:sz w:val="22"/>
          <w:szCs w:val="22"/>
        </w:rPr>
        <w:t>:</w:t>
      </w:r>
    </w:p>
    <w:p w14:paraId="189F2616" w14:textId="20191EF6" w:rsidR="3575C376" w:rsidRPr="007516F6" w:rsidRDefault="0067789E" w:rsidP="47853A3C">
      <w:pPr>
        <w:rPr>
          <w:rFonts w:ascii="Arial Nova" w:eastAsia="Arial Nova" w:hAnsi="Arial Nova" w:cs="Arial Nova"/>
          <w:color w:val="000000" w:themeColor="text1"/>
          <w:sz w:val="22"/>
          <w:szCs w:val="22"/>
        </w:rPr>
      </w:pPr>
      <w:r w:rsidRPr="007516F6">
        <w:rPr>
          <w:rFonts w:ascii="Arial Nova" w:eastAsia="Arial Nova" w:hAnsi="Arial Nova" w:cs="Arial Nova"/>
          <w:color w:val="000000" w:themeColor="text1"/>
          <w:sz w:val="22"/>
          <w:szCs w:val="22"/>
        </w:rPr>
        <w:t xml:space="preserve">During the Convergent/Divergent paperclip thinking class activity, I participated first by individually generating as many uses for a paperclip as possible (divergent thinking). Afterward, in my group, we collaboratively narrowed these ideas down to the most practical (convergent thinking). Using Gibbs’ Reflective </w:t>
      </w:r>
      <w:proofErr w:type="gramStart"/>
      <w:r w:rsidRPr="007516F6">
        <w:rPr>
          <w:rFonts w:ascii="Arial Nova" w:eastAsia="Arial Nova" w:hAnsi="Arial Nova" w:cs="Arial Nova"/>
          <w:color w:val="000000" w:themeColor="text1"/>
          <w:sz w:val="22"/>
          <w:szCs w:val="22"/>
        </w:rPr>
        <w:t xml:space="preserve">Cycle, </w:t>
      </w:r>
      <w:r w:rsidR="00DF5E0E">
        <w:rPr>
          <w:rFonts w:ascii="Arial Nova" w:eastAsia="Arial Nova" w:hAnsi="Arial Nova" w:cs="Arial Nova"/>
          <w:color w:val="000000" w:themeColor="text1"/>
          <w:sz w:val="22"/>
          <w:szCs w:val="22"/>
        </w:rPr>
        <w:t xml:space="preserve"> Gibbs</w:t>
      </w:r>
      <w:proofErr w:type="gramEnd"/>
      <w:r w:rsidR="001518EB">
        <w:rPr>
          <w:rFonts w:ascii="Arial Nova" w:eastAsia="Arial Nova" w:hAnsi="Arial Nova" w:cs="Arial Nova"/>
          <w:color w:val="000000" w:themeColor="text1"/>
          <w:sz w:val="22"/>
          <w:szCs w:val="22"/>
        </w:rPr>
        <w:t xml:space="preserve">, 1988) </w:t>
      </w:r>
      <w:r w:rsidRPr="007516F6">
        <w:rPr>
          <w:rFonts w:ascii="Arial Nova" w:eastAsia="Arial Nova" w:hAnsi="Arial Nova" w:cs="Arial Nova"/>
          <w:color w:val="000000" w:themeColor="text1"/>
          <w:sz w:val="22"/>
          <w:szCs w:val="22"/>
        </w:rPr>
        <w:t>I analyzed this experience.</w:t>
      </w:r>
    </w:p>
    <w:p w14:paraId="6E16CBE5" w14:textId="6FC576A2" w:rsidR="00940605" w:rsidRPr="002C33A3" w:rsidRDefault="003F7856" w:rsidP="00CA5D7C">
      <w:pPr>
        <w:pStyle w:val="ListParagraph"/>
        <w:numPr>
          <w:ilvl w:val="0"/>
          <w:numId w:val="2"/>
        </w:numPr>
        <w:rPr>
          <w:rFonts w:ascii="Arial Nova" w:eastAsia="Arial Nova" w:hAnsi="Arial Nova" w:cs="Arial Nova"/>
          <w:b/>
          <w:bCs/>
          <w:color w:val="000000" w:themeColor="text1"/>
          <w:sz w:val="22"/>
          <w:szCs w:val="22"/>
        </w:rPr>
      </w:pPr>
      <w:r w:rsidRPr="002C33A3">
        <w:rPr>
          <w:rFonts w:ascii="Arial Nova" w:eastAsia="Arial Nova" w:hAnsi="Arial Nova" w:cs="Arial Nova"/>
          <w:noProof/>
          <w:color w:val="000000" w:themeColor="text1"/>
          <w:sz w:val="22"/>
          <w:szCs w:val="22"/>
        </w:rPr>
        <w:drawing>
          <wp:anchor distT="0" distB="0" distL="114300" distR="114300" simplePos="0" relativeHeight="251658241" behindDoc="0" locked="0" layoutInCell="1" allowOverlap="1" wp14:anchorId="05651F4A" wp14:editId="4103C3F1">
            <wp:simplePos x="0" y="0"/>
            <wp:positionH relativeFrom="column">
              <wp:posOffset>125185</wp:posOffset>
            </wp:positionH>
            <wp:positionV relativeFrom="paragraph">
              <wp:posOffset>1316627</wp:posOffset>
            </wp:positionV>
            <wp:extent cx="5698671" cy="3799114"/>
            <wp:effectExtent l="0" t="0" r="0" b="0"/>
            <wp:wrapTopAndBottom/>
            <wp:docPr id="982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356" name="Picture 982535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98671" cy="3799114"/>
                    </a:xfrm>
                    <a:prstGeom prst="rect">
                      <a:avLst/>
                    </a:prstGeom>
                  </pic:spPr>
                </pic:pic>
              </a:graphicData>
            </a:graphic>
            <wp14:sizeRelH relativeFrom="margin">
              <wp14:pctWidth>0</wp14:pctWidth>
            </wp14:sizeRelH>
            <wp14:sizeRelV relativeFrom="margin">
              <wp14:pctHeight>0</wp14:pctHeight>
            </wp14:sizeRelV>
          </wp:anchor>
        </w:drawing>
      </w:r>
      <w:r w:rsidR="00940605" w:rsidRPr="002C33A3">
        <w:rPr>
          <w:rFonts w:ascii="Arial Nova" w:eastAsia="Arial Nova" w:hAnsi="Arial Nova" w:cs="Arial Nova"/>
          <w:color w:val="000000" w:themeColor="text1"/>
          <w:sz w:val="22"/>
          <w:szCs w:val="22"/>
        </w:rPr>
        <w:t>At first, I felt a bit unsure because the task was open-ended, but I quickly grew excited as I saw how diverse ideas emerged from the group. Evaluating the process, I realized that the divergent phase was extremely effective in sparking creativity, while the convergent phase ensured we stayed grounded in practicality. In analysis, I recognized how critical it was to balance free-flowing ideas with purposeful selection. I also saw that my role in the group was to listen actively and build on others’ suggestions. As a conclusion, I learned that structured reflection allows me to see both my strengths and areas for improvement. In the future, I will document all ideas more systematically and ensure all group members have an equal chance to contribute. (</w:t>
      </w:r>
      <w:r w:rsidR="00940605" w:rsidRPr="002C33A3">
        <w:rPr>
          <w:rFonts w:ascii="Arial Nova" w:eastAsia="Arial Nova" w:hAnsi="Arial Nova" w:cs="Arial Nova"/>
          <w:b/>
          <w:bCs/>
          <w:color w:val="000000" w:themeColor="text1"/>
          <w:sz w:val="22"/>
          <w:szCs w:val="22"/>
        </w:rPr>
        <w:t>Gibbs, 1988)</w:t>
      </w:r>
    </w:p>
    <w:p w14:paraId="1B286DB1"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4D4FBD56"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5E115D78"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18AA2077"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56B361A1"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56601471"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1128A75C"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7863A91A"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21DBA49B"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3BFEBDE7" w14:textId="225B410F" w:rsidR="00B72D8C" w:rsidRPr="00B72D8C" w:rsidRDefault="2A01ADFD" w:rsidP="00A47086">
      <w:pPr>
        <w:rPr>
          <w:rFonts w:ascii="Arial Nova" w:eastAsia="Arial Nova" w:hAnsi="Arial Nova" w:cs="Arial Nova"/>
          <w:b/>
          <w:bCs/>
          <w:color w:val="000000" w:themeColor="text1"/>
          <w:sz w:val="32"/>
          <w:szCs w:val="32"/>
        </w:rPr>
      </w:pPr>
      <w:r w:rsidRPr="00286E7E">
        <w:rPr>
          <w:rFonts w:ascii="Arial Nova" w:eastAsia="Arial Nova" w:hAnsi="Arial Nova" w:cs="Arial Nova"/>
          <w:b/>
          <w:bCs/>
          <w:color w:val="000000" w:themeColor="text1"/>
          <w:sz w:val="32"/>
          <w:szCs w:val="32"/>
        </w:rPr>
        <w:t xml:space="preserve">Task 3 - </w:t>
      </w:r>
      <w:r w:rsidR="32ADAAF6" w:rsidRPr="00286E7E">
        <w:rPr>
          <w:rFonts w:ascii="Arial Nova" w:eastAsia="Arial Nova" w:hAnsi="Arial Nova" w:cs="Arial Nova"/>
          <w:b/>
          <w:bCs/>
          <w:color w:val="000000" w:themeColor="text1"/>
          <w:sz w:val="32"/>
          <w:szCs w:val="32"/>
        </w:rPr>
        <w:t>Case Study of a UK innovation</w:t>
      </w:r>
      <w:r w:rsidR="00286E7E">
        <w:rPr>
          <w:rFonts w:ascii="Arial Nova" w:eastAsia="Arial Nova" w:hAnsi="Arial Nova" w:cs="Arial Nova"/>
          <w:b/>
          <w:bCs/>
          <w:color w:val="000000" w:themeColor="text1"/>
          <w:sz w:val="32"/>
          <w:szCs w:val="32"/>
        </w:rPr>
        <w:t xml:space="preserve"> </w:t>
      </w:r>
      <w:r w:rsidR="00CA58DF">
        <w:rPr>
          <w:rFonts w:ascii="Arial Nova" w:eastAsia="Arial Nova" w:hAnsi="Arial Nova" w:cs="Arial Nova"/>
          <w:b/>
          <w:bCs/>
          <w:color w:val="000000" w:themeColor="text1"/>
          <w:sz w:val="32"/>
          <w:szCs w:val="32"/>
        </w:rPr>
        <w:t>(NHS Digital First)</w:t>
      </w:r>
    </w:p>
    <w:p w14:paraId="485710D8" w14:textId="00B7F7E1" w:rsidR="00893900" w:rsidRPr="002C33A3" w:rsidRDefault="00943A62" w:rsidP="00563EB8">
      <w:pPr>
        <w:rPr>
          <w:rFonts w:ascii="Arial Nova" w:eastAsia="Arial Nova" w:hAnsi="Arial Nova" w:cs="Arial Nova"/>
          <w:color w:val="000000" w:themeColor="text1"/>
          <w:sz w:val="22"/>
          <w:szCs w:val="22"/>
        </w:rPr>
      </w:pPr>
      <w:r w:rsidRPr="002C33A3">
        <w:rPr>
          <w:rFonts w:ascii="Arial Nova" w:eastAsia="Arial Nova" w:hAnsi="Arial Nova" w:cs="Arial Nova"/>
          <w:color w:val="000000" w:themeColor="text1"/>
          <w:sz w:val="22"/>
          <w:szCs w:val="22"/>
        </w:rPr>
        <w:t xml:space="preserve">The NHS “Digital First </w:t>
      </w:r>
      <w:r w:rsidR="00893900" w:rsidRPr="002C33A3">
        <w:rPr>
          <w:rFonts w:ascii="Arial Nova" w:eastAsia="Arial Nova" w:hAnsi="Arial Nova" w:cs="Arial Nova"/>
          <w:color w:val="000000" w:themeColor="text1"/>
          <w:sz w:val="22"/>
          <w:szCs w:val="22"/>
        </w:rPr>
        <w:t xml:space="preserve">access to primary care services through </w:t>
      </w:r>
      <w:r w:rsidR="00A47086" w:rsidRPr="002C33A3">
        <w:rPr>
          <w:rFonts w:ascii="Arial Nova" w:eastAsia="Arial Nova" w:hAnsi="Arial Nova" w:cs="Arial Nova"/>
          <w:color w:val="000000" w:themeColor="text1"/>
          <w:sz w:val="22"/>
          <w:szCs w:val="22"/>
        </w:rPr>
        <w:t xml:space="preserve">initiative, launched in 2019, sought to transform Case Study: NHS “Digital First” Primary Care Initiative </w:t>
      </w:r>
      <w:r w:rsidR="00893900" w:rsidRPr="002C33A3">
        <w:rPr>
          <w:rFonts w:ascii="Arial Nova" w:eastAsia="Arial Nova" w:hAnsi="Arial Nova" w:cs="Arial Nova"/>
          <w:color w:val="000000" w:themeColor="text1"/>
          <w:sz w:val="22"/>
          <w:szCs w:val="22"/>
        </w:rPr>
        <w:t>digital technology, including video consultations, online triage, and remote monitoring. The project responded to challenges such as long patient waiting times, uneven access to services, and the need to improve operational efficiency. Creativity played a central role, as the initiative required rethinking traditional GP services and designing digital solutions tailored to diverse patient needs.</w:t>
      </w:r>
    </w:p>
    <w:p w14:paraId="4F2E0576" w14:textId="77777777" w:rsidR="00893900" w:rsidRPr="00B72D8C" w:rsidRDefault="00893900" w:rsidP="00563EB8">
      <w:pPr>
        <w:rPr>
          <w:rFonts w:ascii="Arial Nova" w:eastAsia="Arial Nova" w:hAnsi="Arial Nova" w:cs="Arial Nova"/>
          <w:b/>
          <w:bCs/>
          <w:color w:val="000000" w:themeColor="text1"/>
          <w:sz w:val="22"/>
          <w:szCs w:val="22"/>
        </w:rPr>
      </w:pPr>
      <w:r w:rsidRPr="00B72D8C">
        <w:rPr>
          <w:rFonts w:ascii="Arial Nova" w:eastAsia="Arial Nova" w:hAnsi="Arial Nova" w:cs="Arial Nova"/>
          <w:b/>
          <w:bCs/>
          <w:color w:val="000000" w:themeColor="text1"/>
          <w:sz w:val="22"/>
          <w:szCs w:val="22"/>
        </w:rPr>
        <w:t>Creativity in Action</w:t>
      </w:r>
    </w:p>
    <w:p w14:paraId="33945549" w14:textId="77777777" w:rsidR="00893900" w:rsidRPr="002C33A3" w:rsidRDefault="00893900" w:rsidP="00563EB8">
      <w:pPr>
        <w:rPr>
          <w:rFonts w:ascii="Arial Nova" w:eastAsia="Arial Nova" w:hAnsi="Arial Nova" w:cs="Arial Nova"/>
          <w:color w:val="000000" w:themeColor="text1"/>
          <w:sz w:val="22"/>
          <w:szCs w:val="22"/>
        </w:rPr>
      </w:pPr>
      <w:r w:rsidRPr="002C33A3">
        <w:rPr>
          <w:rFonts w:ascii="Arial Nova" w:eastAsia="Arial Nova" w:hAnsi="Arial Nova" w:cs="Arial Nova"/>
          <w:color w:val="000000" w:themeColor="text1"/>
          <w:sz w:val="22"/>
          <w:szCs w:val="22"/>
        </w:rPr>
        <w:t>The initiative demonstrated creativity through co-design with clinicians and patients. Digital platforms were iteratively prototyped and refined based on feedback, ensuring usability and addressing potential barriers like digital literacy and data security. The team also creatively integrated remote monitoring devices for chronic conditions, enabling personalized care plans. This innovation required adapting existing workflows and leveraging technology to enhance patient-centered care.</w:t>
      </w:r>
    </w:p>
    <w:p w14:paraId="5C98AE0E" w14:textId="77777777" w:rsidR="00893900" w:rsidRPr="00B72D8C" w:rsidRDefault="00893900" w:rsidP="00563EB8">
      <w:pPr>
        <w:rPr>
          <w:rFonts w:ascii="Arial Nova" w:eastAsia="Arial Nova" w:hAnsi="Arial Nova" w:cs="Arial Nova"/>
          <w:b/>
          <w:bCs/>
          <w:color w:val="000000" w:themeColor="text1"/>
          <w:sz w:val="22"/>
          <w:szCs w:val="22"/>
        </w:rPr>
      </w:pPr>
      <w:r w:rsidRPr="00B72D8C">
        <w:rPr>
          <w:rFonts w:ascii="Arial Nova" w:eastAsia="Arial Nova" w:hAnsi="Arial Nova" w:cs="Arial Nova"/>
          <w:b/>
          <w:bCs/>
          <w:color w:val="000000" w:themeColor="text1"/>
          <w:sz w:val="22"/>
          <w:szCs w:val="22"/>
        </w:rPr>
        <w:t>Value Creation</w:t>
      </w:r>
    </w:p>
    <w:p w14:paraId="685A3570" w14:textId="09B3CCBA" w:rsidR="00893900" w:rsidRPr="002C33A3" w:rsidRDefault="00893900" w:rsidP="00563EB8">
      <w:pPr>
        <w:rPr>
          <w:rFonts w:ascii="Arial Nova" w:eastAsia="Arial Nova" w:hAnsi="Arial Nova" w:cs="Arial Nova"/>
          <w:color w:val="000000" w:themeColor="text1"/>
          <w:sz w:val="22"/>
          <w:szCs w:val="22"/>
        </w:rPr>
      </w:pPr>
      <w:r w:rsidRPr="002C33A3">
        <w:rPr>
          <w:rFonts w:ascii="Arial Nova" w:eastAsia="Arial Nova" w:hAnsi="Arial Nova" w:cs="Arial Nova"/>
          <w:color w:val="000000" w:themeColor="text1"/>
          <w:sz w:val="22"/>
          <w:szCs w:val="22"/>
        </w:rPr>
        <w:t xml:space="preserve">The “Digital First” approach generated tangible benefits for both patients and the NHS. Patients gained faster, more convenient access to GP services, especially those in rural areas or with mobility limitations. Video consultations and online </w:t>
      </w:r>
      <w:r w:rsidR="00E95BE3" w:rsidRPr="002C33A3">
        <w:rPr>
          <w:rFonts w:ascii="Arial Nova" w:eastAsia="Arial Nova" w:hAnsi="Arial Nova" w:cs="Arial Nova"/>
          <w:color w:val="000000" w:themeColor="text1"/>
          <w:sz w:val="22"/>
          <w:szCs w:val="22"/>
        </w:rPr>
        <w:t>travel</w:t>
      </w:r>
      <w:r w:rsidRPr="002C33A3">
        <w:rPr>
          <w:rFonts w:ascii="Arial Nova" w:eastAsia="Arial Nova" w:hAnsi="Arial Nova" w:cs="Arial Nova"/>
          <w:color w:val="000000" w:themeColor="text1"/>
          <w:sz w:val="22"/>
          <w:szCs w:val="22"/>
        </w:rPr>
        <w:t xml:space="preserve"> reduced unnecessary travel and waiting times, increasing satisfaction and engagement. For the NHS, the system streamlined appointment management, reduced low-complexity in-person consultations, and allowed clinicians to focus on complex cases. Early evaluations suggested digital consultations reduced GP workload by 20% while improving care continuity (Greenhalgh et al., 2020).</w:t>
      </w:r>
    </w:p>
    <w:p w14:paraId="67C0E82C" w14:textId="77777777" w:rsidR="00893900" w:rsidRPr="005F6BCC" w:rsidRDefault="00893900" w:rsidP="00563EB8">
      <w:pPr>
        <w:rPr>
          <w:rFonts w:ascii="Arial Nova" w:eastAsia="Arial Nova" w:hAnsi="Arial Nova" w:cs="Arial Nova"/>
          <w:b/>
          <w:bCs/>
          <w:color w:val="000000" w:themeColor="text1"/>
          <w:sz w:val="22"/>
          <w:szCs w:val="22"/>
        </w:rPr>
      </w:pPr>
      <w:r w:rsidRPr="005F6BCC">
        <w:rPr>
          <w:rFonts w:ascii="Arial Nova" w:eastAsia="Arial Nova" w:hAnsi="Arial Nova" w:cs="Arial Nova"/>
          <w:b/>
          <w:bCs/>
          <w:color w:val="000000" w:themeColor="text1"/>
          <w:sz w:val="22"/>
          <w:szCs w:val="22"/>
        </w:rPr>
        <w:t>Impact and Lessons</w:t>
      </w:r>
    </w:p>
    <w:p w14:paraId="65F3B817" w14:textId="34A4F7B8" w:rsidR="00563EB8" w:rsidRPr="00782897" w:rsidRDefault="00893900" w:rsidP="021F216E">
      <w:pPr>
        <w:rPr>
          <w:rFonts w:ascii="Arial Nova" w:eastAsia="Arial Nova" w:hAnsi="Arial Nova" w:cs="Arial Nova"/>
          <w:color w:val="000000" w:themeColor="text1"/>
          <w:sz w:val="22"/>
          <w:szCs w:val="22"/>
        </w:rPr>
      </w:pPr>
      <w:r w:rsidRPr="002C33A3">
        <w:rPr>
          <w:rFonts w:ascii="Arial Nova" w:eastAsia="Arial Nova" w:hAnsi="Arial Nova" w:cs="Arial Nova"/>
          <w:color w:val="000000" w:themeColor="text1"/>
          <w:sz w:val="22"/>
          <w:szCs w:val="22"/>
        </w:rPr>
        <w:t>The project illustrates how creative problem-solving and innovative thinking can drive systemic change in UK healthcare. Co-design, iterative testing, and collaborative innovation ensured solutions were both practical and effective. The initiative demonstrates the importance of combining creativity with evaluation to create real value for patients and service users (NHS England, 2021). Key lessons include involving end users in design, embracing flexible technology adoption, and maintaining a continuous feedback loop to maximize impact</w:t>
      </w:r>
    </w:p>
    <w:p w14:paraId="6B37B0C7"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6D05731B"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606C377E"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512CF21B"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6E9C1E0C"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1C874707"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3A4A782D"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1FA1C0D2"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0B7F770C"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03511D5D"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081A5780"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69FF2A04"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61103CC7"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45AF7BD1" w14:textId="77777777" w:rsidR="003346E2" w:rsidRDefault="003346E2">
      <w:pPr>
        <w:rPr>
          <w:rFonts w:ascii="Arial Nova" w:eastAsia="Arial Nova" w:hAnsi="Arial Nova" w:cs="Arial Nova"/>
          <w:b/>
          <w:bCs/>
          <w:color w:val="000000" w:themeColor="text1"/>
          <w:sz w:val="36"/>
          <w:szCs w:val="36"/>
        </w:rPr>
      </w:pPr>
      <w:r>
        <w:rPr>
          <w:rFonts w:ascii="Arial Nova" w:eastAsia="Arial Nova" w:hAnsi="Arial Nova" w:cs="Arial Nova"/>
          <w:b/>
          <w:bCs/>
          <w:color w:val="000000" w:themeColor="text1"/>
          <w:sz w:val="36"/>
          <w:szCs w:val="36"/>
        </w:rPr>
        <w:br w:type="page"/>
      </w:r>
    </w:p>
    <w:p w14:paraId="7E7EEBF1" w14:textId="46F87BBA" w:rsidR="79E626CA" w:rsidRPr="00782897" w:rsidRDefault="11DCB36E" w:rsidP="47853A3C">
      <w:pPr>
        <w:rPr>
          <w:rFonts w:ascii="Arial Nova" w:eastAsia="Arial Nova" w:hAnsi="Arial Nova" w:cs="Arial Nova"/>
          <w:b/>
          <w:bCs/>
          <w:color w:val="000000" w:themeColor="text1"/>
          <w:sz w:val="22"/>
          <w:szCs w:val="22"/>
        </w:rPr>
      </w:pPr>
      <w:r w:rsidRPr="00782897">
        <w:rPr>
          <w:rFonts w:ascii="Arial Nova" w:eastAsia="Arial Nova" w:hAnsi="Arial Nova" w:cs="Arial Nova"/>
          <w:b/>
          <w:bCs/>
          <w:color w:val="000000" w:themeColor="text1"/>
          <w:sz w:val="36"/>
          <w:szCs w:val="36"/>
        </w:rPr>
        <w:t xml:space="preserve">Task 4 - </w:t>
      </w:r>
      <w:r w:rsidR="79E626CA" w:rsidRPr="00782897">
        <w:rPr>
          <w:rFonts w:ascii="Arial Nova" w:eastAsia="Arial Nova" w:hAnsi="Arial Nova" w:cs="Arial Nova"/>
          <w:b/>
          <w:bCs/>
          <w:color w:val="000000" w:themeColor="text1"/>
          <w:sz w:val="36"/>
          <w:szCs w:val="36"/>
        </w:rPr>
        <w:t>Research Task</w:t>
      </w:r>
    </w:p>
    <w:p w14:paraId="1D132672" w14:textId="6F92F71D" w:rsidR="00041361" w:rsidRPr="00C932BE" w:rsidRDefault="00041361" w:rsidP="00C932BE">
      <w:pPr>
        <w:rPr>
          <w:rFonts w:ascii="Arial Nova" w:eastAsia="Arial Nova" w:hAnsi="Arial Nova" w:cs="Arial Nova"/>
          <w:color w:val="000000" w:themeColor="text1"/>
          <w:sz w:val="22"/>
          <w:szCs w:val="22"/>
        </w:rPr>
      </w:pPr>
      <w:r w:rsidRPr="00041361">
        <w:rPr>
          <w:rFonts w:eastAsia="Times New Roman"/>
          <w:lang w:val="en-GB" w:eastAsia="en-GB"/>
        </w:rPr>
        <w:t xml:space="preserve"> A major current issue in health and social care is </w:t>
      </w:r>
      <w:r w:rsidRPr="00041361">
        <w:rPr>
          <w:rFonts w:eastAsia="Times New Roman"/>
          <w:b/>
          <w:bCs/>
          <w:lang w:val="en-GB" w:eastAsia="en-GB"/>
        </w:rPr>
        <w:t>mental health stigma</w:t>
      </w:r>
      <w:r w:rsidRPr="00041361">
        <w:rPr>
          <w:rFonts w:eastAsia="Times New Roman"/>
          <w:lang w:val="en-GB" w:eastAsia="en-GB"/>
        </w:rPr>
        <w:t>, which continues to prevent many individuals from accessing appropriate support and treatment. Stigma refers to negative beliefs, attitudes, and discrimination towards people experiencing mental health conditions. This issue is particularly significant among young people and vulnerable populations, where fear of judgement can delay or completely stop individuals from seeking help.</w:t>
      </w:r>
    </w:p>
    <w:p w14:paraId="02B6AEB9" w14:textId="77777777" w:rsidR="00041361" w:rsidRPr="00041361" w:rsidRDefault="00041361" w:rsidP="00041361">
      <w:pPr>
        <w:spacing w:before="100" w:beforeAutospacing="1" w:after="100" w:afterAutospacing="1" w:line="240" w:lineRule="auto"/>
        <w:rPr>
          <w:rFonts w:ascii="Times New Roman" w:eastAsia="Times New Roman" w:hAnsi="Times New Roman" w:cs="Times New Roman"/>
          <w:lang w:val="en-GB" w:eastAsia="en-GB"/>
        </w:rPr>
      </w:pPr>
      <w:r w:rsidRPr="00041361">
        <w:rPr>
          <w:rFonts w:ascii="Times New Roman" w:eastAsia="Times New Roman" w:hAnsi="Times New Roman" w:cs="Times New Roman"/>
          <w:lang w:val="en-GB" w:eastAsia="en-GB"/>
        </w:rPr>
        <w:t xml:space="preserve">According to research by </w:t>
      </w:r>
      <w:r w:rsidRPr="00041361">
        <w:rPr>
          <w:rFonts w:ascii="Times New Roman" w:eastAsia="Times New Roman" w:hAnsi="Times New Roman" w:cs="Times New Roman"/>
          <w:b/>
          <w:bCs/>
          <w:lang w:val="en-GB" w:eastAsia="en-GB"/>
        </w:rPr>
        <w:t>Corrigan, P. W. et al. (2014</w:t>
      </w:r>
      <w:r w:rsidRPr="00041361">
        <w:rPr>
          <w:rFonts w:ascii="Times New Roman" w:eastAsia="Times New Roman" w:hAnsi="Times New Roman" w:cs="Times New Roman"/>
          <w:lang w:val="en-GB" w:eastAsia="en-GB"/>
        </w:rPr>
        <w:t xml:space="preserve">), stigma is largely caused by a lack of understanding and widespread misconceptions about mental illness. The study explains that society often associates mental health conditions with danger or weakness, which leads to discrimination. A key finding from this research is the concept of </w:t>
      </w:r>
      <w:r w:rsidRPr="00041361">
        <w:rPr>
          <w:rFonts w:ascii="Times New Roman" w:eastAsia="Times New Roman" w:hAnsi="Times New Roman" w:cs="Times New Roman"/>
          <w:b/>
          <w:bCs/>
          <w:lang w:val="en-GB" w:eastAsia="en-GB"/>
        </w:rPr>
        <w:t>self-stigma</w:t>
      </w:r>
      <w:r w:rsidRPr="00041361">
        <w:rPr>
          <w:rFonts w:ascii="Times New Roman" w:eastAsia="Times New Roman" w:hAnsi="Times New Roman" w:cs="Times New Roman"/>
          <w:lang w:val="en-GB" w:eastAsia="en-GB"/>
        </w:rPr>
        <w:t>, where individuals internalise negative stereotypes and begin to feel ashamed of their condition. This can lower self-esteem and confidence, making individuals less likely to seek professional help. As a result, untreated mental health conditions can worsen, leading to long-term negative outcomes for individuals.</w:t>
      </w:r>
    </w:p>
    <w:p w14:paraId="153D27F5" w14:textId="78B82DA6" w:rsidR="00041361" w:rsidRPr="0093329C" w:rsidRDefault="00041361" w:rsidP="0093329C">
      <w:pPr>
        <w:spacing w:before="100" w:beforeAutospacing="1" w:after="100" w:afterAutospacing="1" w:line="240" w:lineRule="auto"/>
        <w:rPr>
          <w:rFonts w:ascii="Times New Roman" w:eastAsia="Times New Roman" w:hAnsi="Times New Roman" w:cs="Times New Roman"/>
          <w:lang w:val="en-GB" w:eastAsia="en-GB"/>
        </w:rPr>
      </w:pPr>
      <w:r w:rsidRPr="00041361">
        <w:rPr>
          <w:rFonts w:ascii="Times New Roman" w:eastAsia="Times New Roman" w:hAnsi="Times New Roman" w:cs="Times New Roman"/>
          <w:lang w:val="en-GB" w:eastAsia="en-GB"/>
        </w:rPr>
        <w:t>Similarly, a study by identifies stigma as one of the most significant barriers to help-seeking behaviour. Their research, which reviewed multiple studies, found that many individuals avoid accessing services due to fear of being judged, labelled, or treated unfairly. The study also highlights that stigma is more common in certain cultural or social groups where mental health is not openly discussed. This creates inequalities in healthcare access, particularly for minority and disadvantaged communities, who may already face additional barriers such as poverty or limited-service availabili</w:t>
      </w:r>
      <w:r w:rsidR="0093329C">
        <w:rPr>
          <w:rFonts w:ascii="Times New Roman" w:eastAsia="Times New Roman" w:hAnsi="Times New Roman" w:cs="Times New Roman"/>
          <w:lang w:val="en-GB" w:eastAsia="en-GB"/>
        </w:rPr>
        <w:t>ty.</w:t>
      </w:r>
      <w:r w:rsidRPr="00041361">
        <w:rPr>
          <w:rFonts w:ascii="Arial" w:eastAsia="Times New Roman" w:hAnsi="Arial" w:cs="Arial"/>
          <w:vanish/>
          <w:sz w:val="16"/>
          <w:szCs w:val="16"/>
          <w:lang w:val="en-GB" w:eastAsia="en-GB"/>
        </w:rPr>
        <w:t>Top of FormBottom of Form</w:t>
      </w:r>
    </w:p>
    <w:p w14:paraId="15D1512F" w14:textId="4893D673" w:rsidR="021F216E" w:rsidRDefault="021F216E" w:rsidP="021F216E">
      <w:pPr>
        <w:rPr>
          <w:rFonts w:ascii="Arial Nova" w:eastAsia="Arial Nova" w:hAnsi="Arial Nova" w:cs="Arial Nova"/>
          <w:i/>
          <w:iCs/>
          <w:color w:val="000000" w:themeColor="text1"/>
        </w:rPr>
      </w:pPr>
    </w:p>
    <w:p w14:paraId="07A0DAFF" w14:textId="63CE4CB0" w:rsidR="00337274" w:rsidRDefault="005565E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w:drawing>
          <wp:inline distT="0" distB="0" distL="0" distR="0" wp14:anchorId="7C60D70C" wp14:editId="79CD0B06">
            <wp:extent cx="5090723" cy="5418654"/>
            <wp:effectExtent l="0" t="0" r="0" b="0"/>
            <wp:docPr id="13500987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098745" name="Picture 1350098745"/>
                    <pic:cNvPicPr/>
                  </pic:nvPicPr>
                  <pic:blipFill>
                    <a:blip r:embed="rId14">
                      <a:extLst>
                        <a:ext uri="{28A0092B-C50C-407E-A947-70E740481C1C}">
                          <a14:useLocalDpi xmlns:a14="http://schemas.microsoft.com/office/drawing/2010/main" val="0"/>
                        </a:ext>
                      </a:extLst>
                    </a:blip>
                    <a:stretch>
                      <a:fillRect/>
                    </a:stretch>
                  </pic:blipFill>
                  <pic:spPr>
                    <a:xfrm>
                      <a:off x="0" y="0"/>
                      <a:ext cx="5225115" cy="5561703"/>
                    </a:xfrm>
                    <a:prstGeom prst="rect">
                      <a:avLst/>
                    </a:prstGeom>
                  </pic:spPr>
                </pic:pic>
              </a:graphicData>
            </a:graphic>
          </wp:inline>
        </w:drawing>
      </w:r>
    </w:p>
    <w:p w14:paraId="11372E00"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65E4AFFD"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6F54F280"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6AF1842B"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16423F89"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4CB2978B"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3272C7AE"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108426BE"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7ACB2B5F"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7ADA1D00"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7E0CAF53"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1F37B65C" w14:textId="77777777" w:rsidR="003346E2" w:rsidRDefault="003346E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443966C0" w14:textId="47AEFD49"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4372D88E" w14:textId="40EAB864" w:rsidR="118E4763" w:rsidRPr="00FC7F75"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 </w:t>
      </w:r>
      <w:hyperlink r:id="rId15">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w:t>
      </w:r>
    </w:p>
    <w:p w14:paraId="296C1697" w14:textId="44B1716F" w:rsidR="021F216E" w:rsidRDefault="021F216E" w:rsidP="021F216E">
      <w:pPr>
        <w:rPr>
          <w:rFonts w:ascii="Arial Nova" w:eastAsia="Arial Nova" w:hAnsi="Arial Nova" w:cs="Arial Nova"/>
          <w:i/>
          <w:iCs/>
        </w:rPr>
      </w:pPr>
    </w:p>
    <w:p w14:paraId="0CE1BBAC" w14:textId="77777777" w:rsidR="00DA46E4" w:rsidRDefault="00681B4D" w:rsidP="00234C8D">
      <w:hyperlink r:id="rId16" w:history="1">
        <w:r>
          <w:rPr>
            <w:noProof/>
          </w:rPr>
          <w:object w:dxaOrig="1504" w:dyaOrig="982" w14:anchorId="1BE4F7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35pt;height:101.7pt" o:ole="">
              <v:imagedata r:id="rId17" o:title=""/>
            </v:shape>
            <o:OLEObject Type="Embed" ProgID="Package" ShapeID="_x0000_i1025" DrawAspect="Icon" ObjectID="_1835953218" r:id="rId18"/>
          </w:object>
        </w:r>
      </w:hyperlink>
    </w:p>
    <w:p w14:paraId="776F56E8" w14:textId="77777777" w:rsidR="00DA46E4" w:rsidRDefault="00DA46E4" w:rsidP="00234C8D"/>
    <w:p w14:paraId="509FD7BC"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48996791"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34085269"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5CE81932"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6C6217D0"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35D33C29"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3B5F91B0"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2444257F"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1072E6DF"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2E30485D"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0DAF8558"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5C90900E"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0271CC35"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2787D9FE"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47194DFC"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6EAF5981" w14:textId="21C2BEAA" w:rsidR="00CB11F4" w:rsidRPr="005F6BCC" w:rsidRDefault="21B62BFC" w:rsidP="00234C8D">
      <w:pPr>
        <w:rPr>
          <w:rFonts w:ascii="Arial Nova" w:eastAsia="Arial Nova" w:hAnsi="Arial Nova" w:cs="Arial Nova"/>
          <w:b/>
          <w:bCs/>
          <w:i/>
          <w:iCs/>
          <w:sz w:val="32"/>
          <w:szCs w:val="32"/>
        </w:rPr>
      </w:pPr>
      <w:r w:rsidRPr="005F6BCC">
        <w:rPr>
          <w:rFonts w:ascii="Arial Nova" w:eastAsia="Arial Nova" w:hAnsi="Arial Nova" w:cs="Arial Nova"/>
          <w:b/>
          <w:bCs/>
          <w:color w:val="000000" w:themeColor="text1"/>
          <w:sz w:val="32"/>
          <w:szCs w:val="32"/>
        </w:rPr>
        <w:t xml:space="preserve">Task </w:t>
      </w:r>
      <w:r w:rsidR="00563EB8" w:rsidRPr="005F6BCC">
        <w:rPr>
          <w:rFonts w:ascii="Arial Nova" w:eastAsia="Arial Nova" w:hAnsi="Arial Nova" w:cs="Arial Nova"/>
          <w:b/>
          <w:bCs/>
          <w:color w:val="000000" w:themeColor="text1"/>
          <w:sz w:val="32"/>
          <w:szCs w:val="32"/>
        </w:rPr>
        <w:t>6</w:t>
      </w:r>
      <w:r w:rsidRPr="005F6BCC">
        <w:rPr>
          <w:rFonts w:ascii="Arial Nova" w:eastAsia="Arial Nova" w:hAnsi="Arial Nova" w:cs="Arial Nova"/>
          <w:b/>
          <w:bCs/>
          <w:color w:val="000000" w:themeColor="text1"/>
          <w:sz w:val="32"/>
          <w:szCs w:val="32"/>
        </w:rPr>
        <w:t xml:space="preserve"> - </w:t>
      </w:r>
      <w:r w:rsidR="17E92B46" w:rsidRPr="005F6BCC">
        <w:rPr>
          <w:rFonts w:ascii="Arial Nova" w:eastAsia="Arial Nova" w:hAnsi="Arial Nova" w:cs="Arial Nova"/>
          <w:b/>
          <w:bCs/>
          <w:color w:val="000000" w:themeColor="text1"/>
          <w:sz w:val="32"/>
          <w:szCs w:val="32"/>
        </w:rPr>
        <w:t>NHS Leadership Framework Analysis</w:t>
      </w:r>
      <w:r w:rsidR="00B66E9C" w:rsidRPr="005F6BCC">
        <w:rPr>
          <w:rFonts w:eastAsia="Times New Roman"/>
          <w:b/>
          <w:bCs/>
          <w:sz w:val="32"/>
          <w:szCs w:val="32"/>
          <w:lang w:val="en-GB" w:eastAsia="en-GB"/>
        </w:rPr>
        <w:t xml:space="preserve"> Summary of the NHS Leadership </w:t>
      </w:r>
      <w:r w:rsidR="005F6BCC" w:rsidRPr="005F6BCC">
        <w:rPr>
          <w:rFonts w:eastAsia="Times New Roman"/>
          <w:b/>
          <w:bCs/>
          <w:sz w:val="32"/>
          <w:szCs w:val="32"/>
          <w:lang w:val="en-GB" w:eastAsia="en-GB"/>
        </w:rPr>
        <w:t>Framework:</w:t>
      </w:r>
    </w:p>
    <w:p w14:paraId="3944E04B" w14:textId="2BEAEDBE" w:rsidR="00BE459C" w:rsidRPr="005F6BCC" w:rsidRDefault="00BE459C" w:rsidP="00BE459C">
      <w:pPr>
        <w:pStyle w:val="NormalWeb"/>
        <w:rPr>
          <w:rFonts w:eastAsia="Times New Roman"/>
          <w:sz w:val="22"/>
          <w:szCs w:val="22"/>
          <w:lang w:val="en-GB" w:eastAsia="en-GB"/>
        </w:rPr>
      </w:pPr>
      <w:r w:rsidRPr="005F6BCC">
        <w:rPr>
          <w:rFonts w:eastAsia="Times New Roman"/>
          <w:sz w:val="22"/>
          <w:szCs w:val="22"/>
          <w:lang w:val="en-GB" w:eastAsia="en-GB"/>
        </w:rPr>
        <w:t>The NHS Leadership Academy developed the Healthcare Leadership Model (commonly referred to as the NHS Leadership Framework) to define the behaviours required for effective leadership within the National Health Service. Week 7 content highlights that leadership is not restricted to senior management but is expected at all levels of healthcare practice.</w:t>
      </w:r>
    </w:p>
    <w:p w14:paraId="225D7CEF" w14:textId="77777777" w:rsidR="00BE459C" w:rsidRPr="005F6BCC" w:rsidRDefault="00BE459C" w:rsidP="00BE459C">
      <w:pPr>
        <w:spacing w:before="100" w:beforeAutospacing="1" w:after="100" w:afterAutospacing="1" w:line="240" w:lineRule="auto"/>
        <w:rPr>
          <w:rFonts w:ascii="Times New Roman" w:eastAsia="Times New Roman" w:hAnsi="Times New Roman" w:cs="Times New Roman"/>
          <w:sz w:val="22"/>
          <w:szCs w:val="22"/>
          <w:lang w:val="en-GB" w:eastAsia="en-GB"/>
        </w:rPr>
      </w:pPr>
      <w:r w:rsidRPr="005F6BCC">
        <w:rPr>
          <w:rFonts w:ascii="Times New Roman" w:eastAsia="Times New Roman" w:hAnsi="Times New Roman" w:cs="Times New Roman"/>
          <w:sz w:val="22"/>
          <w:szCs w:val="22"/>
          <w:lang w:val="en-GB" w:eastAsia="en-GB"/>
        </w:rPr>
        <w:t>The model is structured around nine interconnected dimensions: inspiring shared purpose, leading with care, evaluating information, connecting services, sharing the vision, engaging the team, holding to account, developing capability, and influencing for results. These dimensions promote a balance between task-focused leadership (e.g., accountability and results) and relationship-focused leadership (e.g., compassion and teamwork).</w:t>
      </w:r>
    </w:p>
    <w:p w14:paraId="778E8E93" w14:textId="77777777" w:rsidR="00BE459C" w:rsidRPr="005F6BCC" w:rsidRDefault="00BE459C" w:rsidP="00BE459C">
      <w:pPr>
        <w:spacing w:before="100" w:beforeAutospacing="1" w:after="100" w:afterAutospacing="1" w:line="240" w:lineRule="auto"/>
        <w:rPr>
          <w:rFonts w:ascii="Times New Roman" w:eastAsia="Times New Roman" w:hAnsi="Times New Roman" w:cs="Times New Roman"/>
          <w:sz w:val="22"/>
          <w:szCs w:val="22"/>
          <w:lang w:val="en-GB" w:eastAsia="en-GB"/>
        </w:rPr>
      </w:pPr>
      <w:r w:rsidRPr="005F6BCC">
        <w:rPr>
          <w:rFonts w:ascii="Times New Roman" w:eastAsia="Times New Roman" w:hAnsi="Times New Roman" w:cs="Times New Roman"/>
          <w:sz w:val="22"/>
          <w:szCs w:val="22"/>
          <w:lang w:val="en-GB" w:eastAsia="en-GB"/>
        </w:rPr>
        <w:t>Importantly, the framework emphasises person-centred care and continuous improvement. It encourages leaders to reflect on their behaviours and adapt their leadership style to meet the needs of both patients and staff. However, critics argue that applying all nine dimensions consistently can be challenging in high-pressure NHS environments.</w:t>
      </w:r>
    </w:p>
    <w:p w14:paraId="376C2EEC" w14:textId="040EFD40" w:rsidR="00BE459C" w:rsidRPr="00BE459C" w:rsidRDefault="00BE459C" w:rsidP="00A81680">
      <w:pPr>
        <w:spacing w:before="100" w:beforeAutospacing="1" w:after="100" w:afterAutospacing="1" w:line="240" w:lineRule="auto"/>
        <w:rPr>
          <w:rFonts w:ascii="Times New Roman" w:eastAsia="Times New Roman" w:hAnsi="Times New Roman" w:cs="Times New Roman"/>
          <w:lang w:val="en-GB" w:eastAsia="en-GB"/>
        </w:rPr>
      </w:pPr>
      <w:r w:rsidRPr="005F6BCC">
        <w:rPr>
          <w:rFonts w:ascii="Times New Roman" w:eastAsia="Times New Roman" w:hAnsi="Times New Roman" w:cs="Times New Roman"/>
          <w:sz w:val="22"/>
          <w:szCs w:val="22"/>
          <w:lang w:val="en-GB" w:eastAsia="en-GB"/>
        </w:rPr>
        <w:t>Overall, the framework provides a structured approach to improving leadership effectiveness, staff engagement, and patient outcomes, aligning closely with NHS values and quality standards</w:t>
      </w:r>
      <w:r w:rsidRPr="00BE459C">
        <w:rPr>
          <w:rFonts w:ascii="Times New Roman" w:eastAsia="Times New Roman" w:hAnsi="Times New Roman" w:cs="Times New Roman"/>
          <w:lang w:val="en-GB" w:eastAsia="en-GB"/>
        </w:rPr>
        <w:t>.</w:t>
      </w:r>
    </w:p>
    <w:p w14:paraId="4C50E050" w14:textId="1076781F" w:rsidR="00BE459C" w:rsidRPr="005F6BCC" w:rsidRDefault="00BE459C" w:rsidP="00BE459C">
      <w:pPr>
        <w:spacing w:before="100" w:beforeAutospacing="1" w:after="100" w:afterAutospacing="1" w:line="240" w:lineRule="auto"/>
        <w:outlineLvl w:val="2"/>
        <w:rPr>
          <w:rFonts w:ascii="Times New Roman" w:eastAsia="Times New Roman" w:hAnsi="Times New Roman" w:cs="Times New Roman"/>
          <w:b/>
          <w:bCs/>
          <w:sz w:val="28"/>
          <w:szCs w:val="28"/>
          <w:lang w:val="en-GB" w:eastAsia="en-GB"/>
        </w:rPr>
      </w:pPr>
      <w:r w:rsidRPr="005F6BCC">
        <w:rPr>
          <w:rFonts w:ascii="Times New Roman" w:eastAsia="Times New Roman" w:hAnsi="Times New Roman" w:cs="Times New Roman"/>
          <w:b/>
          <w:bCs/>
          <w:sz w:val="28"/>
          <w:szCs w:val="28"/>
          <w:lang w:val="en-GB" w:eastAsia="en-GB"/>
        </w:rPr>
        <w:t xml:space="preserve">Application of One Component: “Engaging the Team” </w:t>
      </w:r>
    </w:p>
    <w:p w14:paraId="55BA28F7" w14:textId="77777777" w:rsidR="00BE459C" w:rsidRPr="00BE459C" w:rsidRDefault="00BE459C" w:rsidP="00BE459C">
      <w:pPr>
        <w:spacing w:before="100" w:beforeAutospacing="1" w:after="100" w:afterAutospacing="1" w:line="240" w:lineRule="auto"/>
        <w:rPr>
          <w:rFonts w:ascii="Times New Roman" w:eastAsia="Times New Roman" w:hAnsi="Times New Roman" w:cs="Times New Roman"/>
          <w:lang w:val="en-GB" w:eastAsia="en-GB"/>
        </w:rPr>
      </w:pPr>
      <w:r w:rsidRPr="00BE459C">
        <w:rPr>
          <w:rFonts w:ascii="Times New Roman" w:eastAsia="Times New Roman" w:hAnsi="Times New Roman" w:cs="Times New Roman"/>
          <w:lang w:val="en-GB" w:eastAsia="en-GB"/>
        </w:rPr>
        <w:t>The “engaging the team” dimension is essential for fostering creativity and improving care quality. Within the National Health Service, leaders can apply this by promoting open communication, inclusivity, and psychological safety among staff.</w:t>
      </w:r>
    </w:p>
    <w:p w14:paraId="61C265A5" w14:textId="77777777" w:rsidR="00BE459C" w:rsidRPr="00BE459C" w:rsidRDefault="00BE459C" w:rsidP="00BE459C">
      <w:pPr>
        <w:spacing w:before="100" w:beforeAutospacing="1" w:after="100" w:afterAutospacing="1" w:line="240" w:lineRule="auto"/>
        <w:rPr>
          <w:rFonts w:ascii="Times New Roman" w:eastAsia="Times New Roman" w:hAnsi="Times New Roman" w:cs="Times New Roman"/>
          <w:lang w:val="en-GB" w:eastAsia="en-GB"/>
        </w:rPr>
      </w:pPr>
      <w:r w:rsidRPr="00BE459C">
        <w:rPr>
          <w:rFonts w:ascii="Times New Roman" w:eastAsia="Times New Roman" w:hAnsi="Times New Roman" w:cs="Times New Roman"/>
          <w:lang w:val="en-GB" w:eastAsia="en-GB"/>
        </w:rPr>
        <w:t>For example, a leader may implement regular reflective meetings where team members are encouraged to share ideas without fear of criticism. This supports creative thinking and allows innovative solutions to emerge, such as improving patient flow or enhancing communication strategies.</w:t>
      </w:r>
    </w:p>
    <w:p w14:paraId="551C7CE0" w14:textId="079E0303" w:rsidR="009A52A7" w:rsidRDefault="00BE459C" w:rsidP="009A52A7">
      <w:pPr>
        <w:spacing w:before="100" w:beforeAutospacing="1" w:after="100" w:afterAutospacing="1" w:line="240" w:lineRule="auto"/>
        <w:rPr>
          <w:rFonts w:ascii="Times New Roman" w:eastAsia="Times New Roman" w:hAnsi="Times New Roman" w:cs="Times New Roman"/>
          <w:lang w:val="en-GB" w:eastAsia="en-GB"/>
        </w:rPr>
      </w:pPr>
      <w:r w:rsidRPr="00BE459C">
        <w:rPr>
          <w:rFonts w:ascii="Times New Roman" w:eastAsia="Times New Roman" w:hAnsi="Times New Roman" w:cs="Times New Roman"/>
          <w:lang w:val="en-GB" w:eastAsia="en-GB"/>
        </w:rPr>
        <w:t>Furthermore, effective engagement involves recognising staff contributions and supporting professional development. According to Week 7, when employees feel valued and involved in decision-making, they are more motivated and likely to contribute to service improvement</w:t>
      </w:r>
      <w:r w:rsidR="00E92E65">
        <w:rPr>
          <w:rFonts w:ascii="Times New Roman" w:eastAsia="Times New Roman" w:hAnsi="Times New Roman" w:cs="Times New Roman"/>
          <w:lang w:val="en-GB" w:eastAsia="en-GB"/>
        </w:rPr>
        <w:t>.</w:t>
      </w:r>
    </w:p>
    <w:p w14:paraId="298C007A" w14:textId="77777777" w:rsidR="00B73B37" w:rsidRPr="005F6BCC" w:rsidRDefault="00B73B37" w:rsidP="00B73B37">
      <w:pPr>
        <w:spacing w:before="100" w:beforeAutospacing="1" w:after="100" w:afterAutospacing="1" w:line="240" w:lineRule="auto"/>
        <w:outlineLvl w:val="2"/>
        <w:rPr>
          <w:rFonts w:ascii="Times New Roman" w:eastAsia="Times New Roman" w:hAnsi="Times New Roman" w:cs="Times New Roman"/>
          <w:b/>
          <w:bCs/>
          <w:sz w:val="28"/>
          <w:szCs w:val="28"/>
          <w:lang w:val="en-GB" w:eastAsia="en-GB"/>
        </w:rPr>
      </w:pPr>
      <w:r w:rsidRPr="005F6BCC">
        <w:rPr>
          <w:rFonts w:ascii="Times New Roman" w:eastAsia="Times New Roman" w:hAnsi="Times New Roman" w:cs="Times New Roman"/>
          <w:b/>
          <w:bCs/>
          <w:sz w:val="28"/>
          <w:szCs w:val="28"/>
          <w:lang w:val="en-GB" w:eastAsia="en-GB"/>
        </w:rPr>
        <w:t>NHS Leadership Framework Diagram</w:t>
      </w:r>
    </w:p>
    <w:p w14:paraId="7AFB1AE3" w14:textId="77777777" w:rsidR="00B73B37" w:rsidRPr="00B73B37" w:rsidRDefault="00B73B37" w:rsidP="00B73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GB" w:eastAsia="en-GB"/>
        </w:rPr>
      </w:pPr>
      <w:r w:rsidRPr="00B73B37">
        <w:rPr>
          <w:rFonts w:ascii="Courier New" w:eastAsia="Times New Roman" w:hAnsi="Courier New" w:cs="Courier New"/>
          <w:sz w:val="20"/>
          <w:szCs w:val="20"/>
          <w:lang w:val="en-GB" w:eastAsia="en-GB"/>
        </w:rPr>
        <w:t xml:space="preserve">                    Inspiring Shared Purpose</w:t>
      </w:r>
      <w:r w:rsidRPr="00B73B37">
        <w:rPr>
          <w:rFonts w:ascii="Courier New" w:eastAsia="Times New Roman" w:hAnsi="Courier New" w:cs="Courier New"/>
          <w:sz w:val="20"/>
          <w:szCs w:val="20"/>
          <w:lang w:val="en-GB" w:eastAsia="en-GB"/>
        </w:rPr>
        <w:br/>
        <w:t xml:space="preserve">                              |</w:t>
      </w:r>
      <w:r w:rsidRPr="00B73B37">
        <w:rPr>
          <w:rFonts w:ascii="Courier New" w:eastAsia="Times New Roman" w:hAnsi="Courier New" w:cs="Courier New"/>
          <w:sz w:val="20"/>
          <w:szCs w:val="20"/>
          <w:lang w:val="en-GB" w:eastAsia="en-GB"/>
        </w:rPr>
        <w:br/>
        <w:t xml:space="preserve">     -----------------------------------------------------</w:t>
      </w:r>
      <w:r w:rsidRPr="00B73B37">
        <w:rPr>
          <w:rFonts w:ascii="Courier New" w:eastAsia="Times New Roman" w:hAnsi="Courier New" w:cs="Courier New"/>
          <w:sz w:val="20"/>
          <w:szCs w:val="20"/>
          <w:lang w:val="en-GB" w:eastAsia="en-GB"/>
        </w:rPr>
        <w:br/>
        <w:t xml:space="preserve">     |                    |                    |          |</w:t>
      </w:r>
      <w:r w:rsidRPr="00B73B37">
        <w:rPr>
          <w:rFonts w:ascii="Courier New" w:eastAsia="Times New Roman" w:hAnsi="Courier New" w:cs="Courier New"/>
          <w:sz w:val="20"/>
          <w:szCs w:val="20"/>
          <w:lang w:val="en-GB" w:eastAsia="en-GB"/>
        </w:rPr>
        <w:br/>
        <w:t>Leading with Care   Evaluating Information   Connecting Services</w:t>
      </w:r>
      <w:r w:rsidRPr="00B73B37">
        <w:rPr>
          <w:rFonts w:ascii="Courier New" w:eastAsia="Times New Roman" w:hAnsi="Courier New" w:cs="Courier New"/>
          <w:sz w:val="20"/>
          <w:szCs w:val="20"/>
          <w:lang w:val="en-GB" w:eastAsia="en-GB"/>
        </w:rPr>
        <w:br/>
        <w:t xml:space="preserve">     |                    |                    |          |</w:t>
      </w:r>
      <w:r w:rsidRPr="00B73B37">
        <w:rPr>
          <w:rFonts w:ascii="Courier New" w:eastAsia="Times New Roman" w:hAnsi="Courier New" w:cs="Courier New"/>
          <w:sz w:val="20"/>
          <w:szCs w:val="20"/>
          <w:lang w:val="en-GB" w:eastAsia="en-GB"/>
        </w:rPr>
        <w:br/>
        <w:t xml:space="preserve">     -----------------------------------------------------</w:t>
      </w:r>
      <w:r w:rsidRPr="00B73B37">
        <w:rPr>
          <w:rFonts w:ascii="Courier New" w:eastAsia="Times New Roman" w:hAnsi="Courier New" w:cs="Courier New"/>
          <w:sz w:val="20"/>
          <w:szCs w:val="20"/>
          <w:lang w:val="en-GB" w:eastAsia="en-GB"/>
        </w:rPr>
        <w:br/>
        <w:t xml:space="preserve">                              |</w:t>
      </w:r>
      <w:r w:rsidRPr="00B73B37">
        <w:rPr>
          <w:rFonts w:ascii="Courier New" w:eastAsia="Times New Roman" w:hAnsi="Courier New" w:cs="Courier New"/>
          <w:sz w:val="20"/>
          <w:szCs w:val="20"/>
          <w:lang w:val="en-GB" w:eastAsia="en-GB"/>
        </w:rPr>
        <w:br/>
        <w:t xml:space="preserve">                        Sharing the Vision</w:t>
      </w:r>
      <w:r w:rsidRPr="00B73B37">
        <w:rPr>
          <w:rFonts w:ascii="Courier New" w:eastAsia="Times New Roman" w:hAnsi="Courier New" w:cs="Courier New"/>
          <w:sz w:val="20"/>
          <w:szCs w:val="20"/>
          <w:lang w:val="en-GB" w:eastAsia="en-GB"/>
        </w:rPr>
        <w:br/>
        <w:t xml:space="preserve">                              |</w:t>
      </w:r>
      <w:r w:rsidRPr="00B73B37">
        <w:rPr>
          <w:rFonts w:ascii="Courier New" w:eastAsia="Times New Roman" w:hAnsi="Courier New" w:cs="Courier New"/>
          <w:sz w:val="20"/>
          <w:szCs w:val="20"/>
          <w:lang w:val="en-GB" w:eastAsia="en-GB"/>
        </w:rPr>
        <w:br/>
        <w:t xml:space="preserve">     -----------------------------------------------------</w:t>
      </w:r>
      <w:r w:rsidRPr="00B73B37">
        <w:rPr>
          <w:rFonts w:ascii="Courier New" w:eastAsia="Times New Roman" w:hAnsi="Courier New" w:cs="Courier New"/>
          <w:sz w:val="20"/>
          <w:szCs w:val="20"/>
          <w:lang w:val="en-GB" w:eastAsia="en-GB"/>
        </w:rPr>
        <w:br/>
        <w:t xml:space="preserve">     |                    |                    |          |</w:t>
      </w:r>
      <w:r w:rsidRPr="00B73B37">
        <w:rPr>
          <w:rFonts w:ascii="Courier New" w:eastAsia="Times New Roman" w:hAnsi="Courier New" w:cs="Courier New"/>
          <w:sz w:val="20"/>
          <w:szCs w:val="20"/>
          <w:lang w:val="en-GB" w:eastAsia="en-GB"/>
        </w:rPr>
        <w:br/>
        <w:t xml:space="preserve"> Engaging the Team   Holding to Account   Developing Capability</w:t>
      </w:r>
      <w:r w:rsidRPr="00B73B37">
        <w:rPr>
          <w:rFonts w:ascii="Courier New" w:eastAsia="Times New Roman" w:hAnsi="Courier New" w:cs="Courier New"/>
          <w:sz w:val="20"/>
          <w:szCs w:val="20"/>
          <w:lang w:val="en-GB" w:eastAsia="en-GB"/>
        </w:rPr>
        <w:br/>
        <w:t xml:space="preserve">                              |</w:t>
      </w:r>
      <w:r w:rsidRPr="00B73B37">
        <w:rPr>
          <w:rFonts w:ascii="Courier New" w:eastAsia="Times New Roman" w:hAnsi="Courier New" w:cs="Courier New"/>
          <w:sz w:val="20"/>
          <w:szCs w:val="20"/>
          <w:lang w:val="en-GB" w:eastAsia="en-GB"/>
        </w:rPr>
        <w:br/>
        <w:t xml:space="preserve">                              |</w:t>
      </w:r>
      <w:r w:rsidRPr="00B73B37">
        <w:rPr>
          <w:rFonts w:ascii="Courier New" w:eastAsia="Times New Roman" w:hAnsi="Courier New" w:cs="Courier New"/>
          <w:sz w:val="20"/>
          <w:szCs w:val="20"/>
          <w:lang w:val="en-GB" w:eastAsia="en-GB"/>
        </w:rPr>
        <w:br/>
        <w:t xml:space="preserve">                    Influencing for Results</w:t>
      </w:r>
    </w:p>
    <w:p w14:paraId="5A486D5C" w14:textId="3D62E854" w:rsidR="00C93728" w:rsidRDefault="00C93728" w:rsidP="008F7E96">
      <w:pPr>
        <w:spacing w:after="0" w:line="240" w:lineRule="auto"/>
        <w:rPr>
          <w:rFonts w:ascii="Times New Roman" w:eastAsia="Times New Roman" w:hAnsi="Times New Roman" w:cs="Times New Roman"/>
          <w:lang w:val="en-GB" w:eastAsia="en-GB"/>
        </w:rPr>
      </w:pPr>
    </w:p>
    <w:p w14:paraId="5A6DBF8A" w14:textId="77777777" w:rsidR="002C2FD1" w:rsidRDefault="002C2FD1" w:rsidP="008F7E96">
      <w:pPr>
        <w:spacing w:after="0" w:line="240" w:lineRule="auto"/>
        <w:rPr>
          <w:rFonts w:ascii="Times New Roman" w:eastAsia="Times New Roman" w:hAnsi="Times New Roman" w:cs="Times New Roman"/>
          <w:lang w:val="en-GB" w:eastAsia="en-GB"/>
        </w:rPr>
      </w:pPr>
    </w:p>
    <w:p w14:paraId="7ADC9E7E" w14:textId="7CB93D8F" w:rsidR="002C2FD1" w:rsidRDefault="002C2FD1">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br w:type="page"/>
      </w:r>
    </w:p>
    <w:p w14:paraId="697B8577" w14:textId="77777777" w:rsidR="002C2FD1" w:rsidRPr="008F7E96" w:rsidRDefault="002C2FD1" w:rsidP="008F7E96">
      <w:pPr>
        <w:spacing w:after="0" w:line="240" w:lineRule="auto"/>
        <w:rPr>
          <w:rFonts w:ascii="Times New Roman" w:eastAsia="Times New Roman" w:hAnsi="Times New Roman" w:cs="Times New Roman"/>
          <w:lang w:val="en-GB" w:eastAsia="en-GB"/>
        </w:rPr>
      </w:pPr>
    </w:p>
    <w:p w14:paraId="7166BDF2"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33509D7D"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174C2A24"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7C27EA59"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66EB21CA"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6B04E6CF"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3EC42784"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00407358"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5F5F8D18"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0522D0B7"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586F653F"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48E8E461"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52566FBE"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65743B31"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71249C1F"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4EF31F5B" w14:textId="77777777" w:rsidR="003346E2" w:rsidRDefault="003346E2">
      <w:pPr>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br w:type="page"/>
      </w:r>
    </w:p>
    <w:p w14:paraId="42A8E8DB" w14:textId="24864ADF" w:rsidR="021F216E" w:rsidRPr="005F6BCC" w:rsidRDefault="38F3069B" w:rsidP="021F216E">
      <w:pPr>
        <w:rPr>
          <w:rFonts w:ascii="Arial Nova" w:eastAsia="Arial Nova" w:hAnsi="Arial Nova" w:cs="Arial Nova"/>
          <w:b/>
          <w:bCs/>
          <w:color w:val="000000" w:themeColor="text1"/>
          <w:sz w:val="32"/>
          <w:szCs w:val="32"/>
        </w:rPr>
      </w:pPr>
      <w:r w:rsidRPr="005F6BCC">
        <w:rPr>
          <w:rFonts w:ascii="Arial Nova" w:eastAsia="Arial Nova" w:hAnsi="Arial Nova" w:cs="Arial Nova"/>
          <w:b/>
          <w:bCs/>
          <w:color w:val="000000" w:themeColor="text1"/>
          <w:sz w:val="32"/>
          <w:szCs w:val="32"/>
        </w:rPr>
        <w:t xml:space="preserve">Task </w:t>
      </w:r>
      <w:r w:rsidR="00563EB8" w:rsidRPr="005F6BCC">
        <w:rPr>
          <w:rFonts w:ascii="Arial Nova" w:eastAsia="Arial Nova" w:hAnsi="Arial Nova" w:cs="Arial Nova"/>
          <w:b/>
          <w:bCs/>
          <w:color w:val="000000" w:themeColor="text1"/>
          <w:sz w:val="32"/>
          <w:szCs w:val="32"/>
        </w:rPr>
        <w:t>7</w:t>
      </w:r>
      <w:r w:rsidRPr="005F6BCC">
        <w:rPr>
          <w:rFonts w:ascii="Arial Nova" w:eastAsia="Arial Nova" w:hAnsi="Arial Nova" w:cs="Arial Nova"/>
          <w:b/>
          <w:bCs/>
          <w:color w:val="000000" w:themeColor="text1"/>
          <w:sz w:val="32"/>
          <w:szCs w:val="32"/>
        </w:rPr>
        <w:t xml:space="preserve"> - </w:t>
      </w:r>
      <w:r w:rsidR="17E92B46" w:rsidRPr="005F6BCC">
        <w:rPr>
          <w:rFonts w:ascii="Arial Nova" w:eastAsia="Arial Nova" w:hAnsi="Arial Nova" w:cs="Arial Nova"/>
          <w:b/>
          <w:bCs/>
          <w:color w:val="000000" w:themeColor="text1"/>
          <w:sz w:val="32"/>
          <w:szCs w:val="32"/>
        </w:rPr>
        <w:t>Self-Reflection Journal Ent</w:t>
      </w:r>
      <w:r w:rsidR="00206E07" w:rsidRPr="005F6BCC">
        <w:rPr>
          <w:rFonts w:ascii="Arial Nova" w:eastAsia="Arial Nova" w:hAnsi="Arial Nova" w:cs="Arial Nova"/>
          <w:b/>
          <w:bCs/>
          <w:color w:val="000000" w:themeColor="text1"/>
          <w:sz w:val="32"/>
          <w:szCs w:val="32"/>
        </w:rPr>
        <w:t>ry:</w:t>
      </w:r>
    </w:p>
    <w:p w14:paraId="71A6ADDC" w14:textId="75D84E8E" w:rsidR="021F216E" w:rsidRDefault="00163634" w:rsidP="021F216E">
      <w:pPr>
        <w:rPr>
          <w:rFonts w:ascii="Arial Nova" w:eastAsia="Arial Nova" w:hAnsi="Arial Nova" w:cs="Arial Nova"/>
          <w:i/>
          <w:iCs/>
          <w:color w:val="000000" w:themeColor="text1"/>
        </w:rPr>
      </w:pPr>
      <w:r>
        <w:rPr>
          <w:rFonts w:ascii="Times New Roman" w:eastAsia="Times New Roman" w:hAnsi="Times New Roman" w:cs="Times New Roman"/>
          <w:noProof/>
          <w:lang w:val="en-GB" w:eastAsia="en-GB"/>
        </w:rPr>
        <w:drawing>
          <wp:inline distT="0" distB="0" distL="0" distR="0" wp14:anchorId="064A947E" wp14:editId="25FFCFE6">
            <wp:extent cx="7743750" cy="8577223"/>
            <wp:effectExtent l="0" t="0" r="0" b="0"/>
            <wp:docPr id="140578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8858" name="Picture 140578858"/>
                    <pic:cNvPicPr/>
                  </pic:nvPicPr>
                  <pic:blipFill>
                    <a:blip r:embed="rId19">
                      <a:extLst>
                        <a:ext uri="{28A0092B-C50C-407E-A947-70E740481C1C}">
                          <a14:useLocalDpi xmlns:a14="http://schemas.microsoft.com/office/drawing/2010/main" val="0"/>
                        </a:ext>
                      </a:extLst>
                    </a:blip>
                    <a:stretch>
                      <a:fillRect/>
                    </a:stretch>
                  </pic:blipFill>
                  <pic:spPr>
                    <a:xfrm>
                      <a:off x="0" y="0"/>
                      <a:ext cx="7921269" cy="8773848"/>
                    </a:xfrm>
                    <a:prstGeom prst="rect">
                      <a:avLst/>
                    </a:prstGeom>
                  </pic:spPr>
                </pic:pic>
              </a:graphicData>
            </a:graphic>
          </wp:inline>
        </w:drawing>
      </w:r>
    </w:p>
    <w:p w14:paraId="16AEE225" w14:textId="77777777" w:rsidR="00ED1127" w:rsidRDefault="00ED1127">
      <w:pPr>
        <w:rPr>
          <w:rFonts w:ascii="Times New Roman" w:eastAsia="Times New Roman" w:hAnsi="Times New Roman" w:cs="Times New Roman"/>
          <w:b/>
          <w:bCs/>
          <w:sz w:val="32"/>
          <w:szCs w:val="32"/>
          <w:lang w:val="en-GB" w:eastAsia="en-GB"/>
        </w:rPr>
      </w:pPr>
      <w:r>
        <w:rPr>
          <w:rFonts w:ascii="Times New Roman" w:eastAsia="Times New Roman" w:hAnsi="Times New Roman" w:cs="Times New Roman"/>
          <w:b/>
          <w:bCs/>
          <w:sz w:val="32"/>
          <w:szCs w:val="32"/>
          <w:lang w:val="en-GB" w:eastAsia="en-GB"/>
        </w:rPr>
        <w:br w:type="page"/>
      </w:r>
    </w:p>
    <w:p w14:paraId="32A66498" w14:textId="77777777" w:rsidR="00ED1127" w:rsidRDefault="00ED1127">
      <w:pPr>
        <w:rPr>
          <w:rFonts w:ascii="Times New Roman" w:eastAsia="Times New Roman" w:hAnsi="Times New Roman" w:cs="Times New Roman"/>
          <w:b/>
          <w:bCs/>
          <w:sz w:val="32"/>
          <w:szCs w:val="32"/>
          <w:lang w:val="en-GB" w:eastAsia="en-GB"/>
        </w:rPr>
      </w:pPr>
      <w:r>
        <w:rPr>
          <w:rFonts w:ascii="Times New Roman" w:eastAsia="Times New Roman" w:hAnsi="Times New Roman" w:cs="Times New Roman"/>
          <w:b/>
          <w:bCs/>
          <w:sz w:val="32"/>
          <w:szCs w:val="32"/>
          <w:lang w:val="en-GB" w:eastAsia="en-GB"/>
        </w:rPr>
        <w:br w:type="page"/>
      </w:r>
    </w:p>
    <w:p w14:paraId="75AA7CCC" w14:textId="77777777" w:rsidR="00ED1127" w:rsidRDefault="00ED1127">
      <w:pPr>
        <w:rPr>
          <w:rFonts w:ascii="Times New Roman" w:eastAsia="Times New Roman" w:hAnsi="Times New Roman" w:cs="Times New Roman"/>
          <w:b/>
          <w:bCs/>
          <w:sz w:val="32"/>
          <w:szCs w:val="32"/>
          <w:lang w:val="en-GB" w:eastAsia="en-GB"/>
        </w:rPr>
      </w:pPr>
      <w:r>
        <w:rPr>
          <w:rFonts w:ascii="Times New Roman" w:eastAsia="Times New Roman" w:hAnsi="Times New Roman" w:cs="Times New Roman"/>
          <w:b/>
          <w:bCs/>
          <w:sz w:val="32"/>
          <w:szCs w:val="32"/>
          <w:lang w:val="en-GB" w:eastAsia="en-GB"/>
        </w:rPr>
        <w:br w:type="page"/>
      </w:r>
    </w:p>
    <w:p w14:paraId="32C45A0E" w14:textId="77777777" w:rsidR="00ED1127" w:rsidRDefault="00ED1127">
      <w:pPr>
        <w:rPr>
          <w:rFonts w:ascii="Times New Roman" w:eastAsia="Times New Roman" w:hAnsi="Times New Roman" w:cs="Times New Roman"/>
          <w:b/>
          <w:bCs/>
          <w:sz w:val="32"/>
          <w:szCs w:val="32"/>
          <w:lang w:val="en-GB" w:eastAsia="en-GB"/>
        </w:rPr>
      </w:pPr>
      <w:r>
        <w:rPr>
          <w:rFonts w:ascii="Times New Roman" w:eastAsia="Times New Roman" w:hAnsi="Times New Roman" w:cs="Times New Roman"/>
          <w:b/>
          <w:bCs/>
          <w:sz w:val="32"/>
          <w:szCs w:val="32"/>
          <w:lang w:val="en-GB" w:eastAsia="en-GB"/>
        </w:rPr>
        <w:br w:type="page"/>
      </w:r>
    </w:p>
    <w:p w14:paraId="20C502A9" w14:textId="77777777" w:rsidR="00ED1127" w:rsidRDefault="00ED1127">
      <w:pPr>
        <w:rPr>
          <w:rFonts w:ascii="Times New Roman" w:eastAsia="Times New Roman" w:hAnsi="Times New Roman" w:cs="Times New Roman"/>
          <w:b/>
          <w:bCs/>
          <w:sz w:val="32"/>
          <w:szCs w:val="32"/>
          <w:lang w:val="en-GB" w:eastAsia="en-GB"/>
        </w:rPr>
      </w:pPr>
      <w:r>
        <w:rPr>
          <w:rFonts w:ascii="Times New Roman" w:eastAsia="Times New Roman" w:hAnsi="Times New Roman" w:cs="Times New Roman"/>
          <w:b/>
          <w:bCs/>
          <w:sz w:val="32"/>
          <w:szCs w:val="32"/>
          <w:lang w:val="en-GB" w:eastAsia="en-GB"/>
        </w:rPr>
        <w:br w:type="page"/>
      </w:r>
    </w:p>
    <w:p w14:paraId="66D85A82" w14:textId="31BFA90C" w:rsidR="00DB62B9" w:rsidRPr="00DB62B9" w:rsidRDefault="00DB62B9" w:rsidP="00DB62B9">
      <w:pPr>
        <w:spacing w:before="100" w:beforeAutospacing="1" w:after="100" w:afterAutospacing="1" w:line="240" w:lineRule="auto"/>
        <w:outlineLvl w:val="2"/>
        <w:rPr>
          <w:rFonts w:ascii="Times New Roman" w:eastAsia="Times New Roman" w:hAnsi="Times New Roman" w:cs="Times New Roman"/>
          <w:b/>
          <w:bCs/>
          <w:sz w:val="32"/>
          <w:szCs w:val="32"/>
          <w:lang w:val="en-GB" w:eastAsia="en-GB"/>
        </w:rPr>
      </w:pPr>
      <w:r w:rsidRPr="00DB62B9">
        <w:rPr>
          <w:rFonts w:ascii="Times New Roman" w:eastAsia="Times New Roman" w:hAnsi="Times New Roman" w:cs="Times New Roman"/>
          <w:b/>
          <w:bCs/>
          <w:sz w:val="32"/>
          <w:szCs w:val="32"/>
          <w:lang w:val="en-GB" w:eastAsia="en-GB"/>
        </w:rPr>
        <w:t>Reference List</w:t>
      </w:r>
    </w:p>
    <w:p w14:paraId="15150977" w14:textId="77777777" w:rsidR="00DB62B9" w:rsidRPr="00DB62B9" w:rsidRDefault="00DB62B9" w:rsidP="00DB62B9">
      <w:pPr>
        <w:spacing w:before="100" w:beforeAutospacing="1" w:after="100" w:afterAutospacing="1" w:line="240" w:lineRule="auto"/>
        <w:rPr>
          <w:rFonts w:ascii="Times New Roman" w:eastAsia="Times New Roman" w:hAnsi="Times New Roman" w:cs="Times New Roman"/>
          <w:sz w:val="22"/>
          <w:szCs w:val="22"/>
          <w:lang w:val="en-GB" w:eastAsia="en-GB"/>
        </w:rPr>
      </w:pPr>
      <w:r w:rsidRPr="00DB62B9">
        <w:rPr>
          <w:rFonts w:ascii="Times New Roman" w:eastAsia="Times New Roman" w:hAnsi="Times New Roman" w:cs="Times New Roman"/>
          <w:sz w:val="22"/>
          <w:szCs w:val="22"/>
          <w:lang w:val="en-GB" w:eastAsia="en-GB"/>
        </w:rPr>
        <w:t xml:space="preserve">Corrigan, P. W., Druss, B. G., &amp; Perlick, D. A. (2014). The impact of mental illness stigma on seeking and participating in mental health care. </w:t>
      </w:r>
      <w:r w:rsidRPr="00DB62B9">
        <w:rPr>
          <w:rFonts w:ascii="Times New Roman" w:eastAsia="Times New Roman" w:hAnsi="Times New Roman" w:cs="Times New Roman"/>
          <w:i/>
          <w:iCs/>
          <w:sz w:val="22"/>
          <w:szCs w:val="22"/>
          <w:lang w:val="en-GB" w:eastAsia="en-GB"/>
        </w:rPr>
        <w:t>Psychological Science in the Public Interest, 15</w:t>
      </w:r>
      <w:r w:rsidRPr="00DB62B9">
        <w:rPr>
          <w:rFonts w:ascii="Times New Roman" w:eastAsia="Times New Roman" w:hAnsi="Times New Roman" w:cs="Times New Roman"/>
          <w:sz w:val="22"/>
          <w:szCs w:val="22"/>
          <w:lang w:val="en-GB" w:eastAsia="en-GB"/>
        </w:rPr>
        <w:t xml:space="preserve">(2), 37–70. </w:t>
      </w:r>
      <w:hyperlink r:id="rId20" w:history="1">
        <w:r w:rsidRPr="00DB62B9">
          <w:rPr>
            <w:rFonts w:ascii="Times New Roman" w:eastAsia="Times New Roman" w:hAnsi="Times New Roman" w:cs="Times New Roman"/>
            <w:color w:val="0000FF"/>
            <w:sz w:val="22"/>
            <w:szCs w:val="22"/>
            <w:u w:val="single"/>
            <w:lang w:val="en-GB" w:eastAsia="en-GB"/>
          </w:rPr>
          <w:t>https://doi.org/10.1177/1529100614531398</w:t>
        </w:r>
      </w:hyperlink>
    </w:p>
    <w:p w14:paraId="6318E4B5" w14:textId="77777777" w:rsidR="00DB62B9" w:rsidRPr="00DB62B9" w:rsidRDefault="00DB62B9" w:rsidP="00DB62B9">
      <w:pPr>
        <w:spacing w:before="100" w:beforeAutospacing="1" w:after="100" w:afterAutospacing="1" w:line="240" w:lineRule="auto"/>
        <w:rPr>
          <w:rFonts w:ascii="Times New Roman" w:eastAsia="Times New Roman" w:hAnsi="Times New Roman" w:cs="Times New Roman"/>
          <w:sz w:val="22"/>
          <w:szCs w:val="22"/>
          <w:lang w:val="en-GB" w:eastAsia="en-GB"/>
        </w:rPr>
      </w:pPr>
      <w:r w:rsidRPr="00DB62B9">
        <w:rPr>
          <w:rFonts w:ascii="Times New Roman" w:eastAsia="Times New Roman" w:hAnsi="Times New Roman" w:cs="Times New Roman"/>
          <w:sz w:val="22"/>
          <w:szCs w:val="22"/>
          <w:lang w:val="en-GB" w:eastAsia="en-GB"/>
        </w:rPr>
        <w:t xml:space="preserve">Gibbs, G. (1988). </w:t>
      </w:r>
      <w:r w:rsidRPr="00DB62B9">
        <w:rPr>
          <w:rFonts w:ascii="Times New Roman" w:eastAsia="Times New Roman" w:hAnsi="Times New Roman" w:cs="Times New Roman"/>
          <w:i/>
          <w:iCs/>
          <w:sz w:val="22"/>
          <w:szCs w:val="22"/>
          <w:lang w:val="en-GB" w:eastAsia="en-GB"/>
        </w:rPr>
        <w:t>Learning by doing: A guide to teaching and learning methods</w:t>
      </w:r>
      <w:r w:rsidRPr="00DB62B9">
        <w:rPr>
          <w:rFonts w:ascii="Times New Roman" w:eastAsia="Times New Roman" w:hAnsi="Times New Roman" w:cs="Times New Roman"/>
          <w:sz w:val="22"/>
          <w:szCs w:val="22"/>
          <w:lang w:val="en-GB" w:eastAsia="en-GB"/>
        </w:rPr>
        <w:t>. Oxford Polytechnic.</w:t>
      </w:r>
    </w:p>
    <w:p w14:paraId="4D0AE2B9" w14:textId="387C8597" w:rsidR="00DB62B9" w:rsidRPr="00DB62B9" w:rsidRDefault="00DB62B9" w:rsidP="00DB62B9">
      <w:pPr>
        <w:spacing w:before="100" w:beforeAutospacing="1" w:after="100" w:afterAutospacing="1" w:line="240" w:lineRule="auto"/>
        <w:rPr>
          <w:rFonts w:ascii="Times New Roman" w:eastAsia="Times New Roman" w:hAnsi="Times New Roman" w:cs="Times New Roman"/>
          <w:sz w:val="22"/>
          <w:szCs w:val="22"/>
          <w:lang w:val="en-GB" w:eastAsia="en-GB"/>
        </w:rPr>
      </w:pPr>
      <w:r w:rsidRPr="00DB62B9">
        <w:rPr>
          <w:rFonts w:ascii="Times New Roman" w:eastAsia="Times New Roman" w:hAnsi="Times New Roman" w:cs="Times New Roman"/>
          <w:sz w:val="22"/>
          <w:szCs w:val="22"/>
          <w:lang w:val="en-GB" w:eastAsia="en-GB"/>
        </w:rPr>
        <w:t xml:space="preserve">Greenhalgh, T., </w:t>
      </w:r>
      <w:r w:rsidRPr="005F6BCC">
        <w:rPr>
          <w:rFonts w:ascii="Times New Roman" w:eastAsia="Times New Roman" w:hAnsi="Times New Roman" w:cs="Times New Roman"/>
          <w:sz w:val="22"/>
          <w:szCs w:val="22"/>
          <w:lang w:val="en-GB" w:eastAsia="en-GB"/>
        </w:rPr>
        <w:t>Wharton</w:t>
      </w:r>
      <w:r w:rsidRPr="00DB62B9">
        <w:rPr>
          <w:rFonts w:ascii="Times New Roman" w:eastAsia="Times New Roman" w:hAnsi="Times New Roman" w:cs="Times New Roman"/>
          <w:sz w:val="22"/>
          <w:szCs w:val="22"/>
          <w:lang w:val="en-GB" w:eastAsia="en-GB"/>
        </w:rPr>
        <w:t xml:space="preserve">, J., Shaw, S., &amp; Morrison, C. (2020). Video consultations for COVID-19. </w:t>
      </w:r>
      <w:r w:rsidRPr="00DB62B9">
        <w:rPr>
          <w:rFonts w:ascii="Times New Roman" w:eastAsia="Times New Roman" w:hAnsi="Times New Roman" w:cs="Times New Roman"/>
          <w:i/>
          <w:iCs/>
          <w:sz w:val="22"/>
          <w:szCs w:val="22"/>
          <w:lang w:val="en-GB" w:eastAsia="en-GB"/>
        </w:rPr>
        <w:t>BMJ, 368</w:t>
      </w:r>
      <w:r w:rsidRPr="00DB62B9">
        <w:rPr>
          <w:rFonts w:ascii="Times New Roman" w:eastAsia="Times New Roman" w:hAnsi="Times New Roman" w:cs="Times New Roman"/>
          <w:sz w:val="22"/>
          <w:szCs w:val="22"/>
          <w:lang w:val="en-GB" w:eastAsia="en-GB"/>
        </w:rPr>
        <w:t xml:space="preserve">, m998. </w:t>
      </w:r>
      <w:hyperlink r:id="rId21" w:history="1">
        <w:r w:rsidRPr="00DB62B9">
          <w:rPr>
            <w:rFonts w:ascii="Times New Roman" w:eastAsia="Times New Roman" w:hAnsi="Times New Roman" w:cs="Times New Roman"/>
            <w:color w:val="0000FF"/>
            <w:sz w:val="22"/>
            <w:szCs w:val="22"/>
            <w:u w:val="single"/>
            <w:lang w:val="en-GB" w:eastAsia="en-GB"/>
          </w:rPr>
          <w:t>https://doi.org/10.1136/bmj.m998</w:t>
        </w:r>
      </w:hyperlink>
    </w:p>
    <w:p w14:paraId="35A8AD6C" w14:textId="77777777" w:rsidR="00DB62B9" w:rsidRPr="00DB62B9" w:rsidRDefault="00DB62B9" w:rsidP="00DB62B9">
      <w:pPr>
        <w:spacing w:before="100" w:beforeAutospacing="1" w:after="100" w:afterAutospacing="1" w:line="240" w:lineRule="auto"/>
        <w:rPr>
          <w:rFonts w:ascii="Times New Roman" w:eastAsia="Times New Roman" w:hAnsi="Times New Roman" w:cs="Times New Roman"/>
          <w:sz w:val="22"/>
          <w:szCs w:val="22"/>
          <w:lang w:val="en-GB" w:eastAsia="en-GB"/>
        </w:rPr>
      </w:pPr>
      <w:r w:rsidRPr="00DB62B9">
        <w:rPr>
          <w:rFonts w:ascii="Times New Roman" w:eastAsia="Times New Roman" w:hAnsi="Times New Roman" w:cs="Times New Roman"/>
          <w:sz w:val="22"/>
          <w:szCs w:val="22"/>
          <w:lang w:val="en-GB" w:eastAsia="en-GB"/>
        </w:rPr>
        <w:t xml:space="preserve">NHS England. (2021). </w:t>
      </w:r>
      <w:r w:rsidRPr="00DB62B9">
        <w:rPr>
          <w:rFonts w:ascii="Times New Roman" w:eastAsia="Times New Roman" w:hAnsi="Times New Roman" w:cs="Times New Roman"/>
          <w:i/>
          <w:iCs/>
          <w:sz w:val="22"/>
          <w:szCs w:val="22"/>
          <w:lang w:val="en-GB" w:eastAsia="en-GB"/>
        </w:rPr>
        <w:t>Digital-first primary care: Transforming general practice in the NHS</w:t>
      </w:r>
      <w:r w:rsidRPr="00DB62B9">
        <w:rPr>
          <w:rFonts w:ascii="Times New Roman" w:eastAsia="Times New Roman" w:hAnsi="Times New Roman" w:cs="Times New Roman"/>
          <w:sz w:val="22"/>
          <w:szCs w:val="22"/>
          <w:lang w:val="en-GB" w:eastAsia="en-GB"/>
        </w:rPr>
        <w:t xml:space="preserve">. NHS England. </w:t>
      </w:r>
      <w:hyperlink r:id="rId22" w:history="1">
        <w:r w:rsidRPr="00DB62B9">
          <w:rPr>
            <w:rFonts w:ascii="Times New Roman" w:eastAsia="Times New Roman" w:hAnsi="Times New Roman" w:cs="Times New Roman"/>
            <w:color w:val="0000FF"/>
            <w:sz w:val="22"/>
            <w:szCs w:val="22"/>
            <w:u w:val="single"/>
            <w:lang w:val="en-GB" w:eastAsia="en-GB"/>
          </w:rPr>
          <w:t>https://www.england.nhs.uk/digital-first/</w:t>
        </w:r>
      </w:hyperlink>
    </w:p>
    <w:p w14:paraId="2311D663" w14:textId="77777777" w:rsidR="00DB62B9" w:rsidRPr="00DB62B9" w:rsidRDefault="00DB62B9" w:rsidP="00DB62B9">
      <w:pPr>
        <w:spacing w:before="100" w:beforeAutospacing="1" w:after="100" w:afterAutospacing="1" w:line="240" w:lineRule="auto"/>
        <w:rPr>
          <w:rFonts w:ascii="Times New Roman" w:eastAsia="Times New Roman" w:hAnsi="Times New Roman" w:cs="Times New Roman"/>
          <w:sz w:val="22"/>
          <w:szCs w:val="22"/>
          <w:lang w:val="en-GB" w:eastAsia="en-GB"/>
        </w:rPr>
      </w:pPr>
      <w:r w:rsidRPr="00DB62B9">
        <w:rPr>
          <w:rFonts w:ascii="Times New Roman" w:eastAsia="Times New Roman" w:hAnsi="Times New Roman" w:cs="Times New Roman"/>
          <w:sz w:val="22"/>
          <w:szCs w:val="22"/>
          <w:lang w:val="en-GB" w:eastAsia="en-GB"/>
        </w:rPr>
        <w:t xml:space="preserve">NHS Leadership Academy. (2026). </w:t>
      </w:r>
      <w:r w:rsidRPr="00DB62B9">
        <w:rPr>
          <w:rFonts w:ascii="Times New Roman" w:eastAsia="Times New Roman" w:hAnsi="Times New Roman" w:cs="Times New Roman"/>
          <w:i/>
          <w:iCs/>
          <w:sz w:val="22"/>
          <w:szCs w:val="22"/>
          <w:lang w:val="en-GB" w:eastAsia="en-GB"/>
        </w:rPr>
        <w:t>Healthcare leadership model</w:t>
      </w:r>
      <w:r w:rsidRPr="00DB62B9">
        <w:rPr>
          <w:rFonts w:ascii="Times New Roman" w:eastAsia="Times New Roman" w:hAnsi="Times New Roman" w:cs="Times New Roman"/>
          <w:sz w:val="22"/>
          <w:szCs w:val="22"/>
          <w:lang w:val="en-GB" w:eastAsia="en-GB"/>
        </w:rPr>
        <w:t xml:space="preserve">. NHS Leadership Academy. </w:t>
      </w:r>
      <w:hyperlink r:id="rId23" w:history="1">
        <w:r w:rsidRPr="00DB62B9">
          <w:rPr>
            <w:rFonts w:ascii="Times New Roman" w:eastAsia="Times New Roman" w:hAnsi="Times New Roman" w:cs="Times New Roman"/>
            <w:color w:val="0000FF"/>
            <w:sz w:val="22"/>
            <w:szCs w:val="22"/>
            <w:u w:val="single"/>
            <w:lang w:val="en-GB" w:eastAsia="en-GB"/>
          </w:rPr>
          <w:t>https://www.leadershipacademy.nhs.uk</w:t>
        </w:r>
      </w:hyperlink>
    </w:p>
    <w:p w14:paraId="7E5A58BF" w14:textId="77777777" w:rsidR="00DB62B9" w:rsidRPr="00DB62B9" w:rsidRDefault="00DB62B9" w:rsidP="00DB62B9">
      <w:pPr>
        <w:spacing w:before="100" w:beforeAutospacing="1" w:after="100" w:afterAutospacing="1" w:line="240" w:lineRule="auto"/>
        <w:rPr>
          <w:rFonts w:ascii="Times New Roman" w:eastAsia="Times New Roman" w:hAnsi="Times New Roman" w:cs="Times New Roman"/>
          <w:sz w:val="22"/>
          <w:szCs w:val="22"/>
          <w:lang w:val="en-GB" w:eastAsia="en-GB"/>
        </w:rPr>
      </w:pPr>
      <w:r w:rsidRPr="00DB62B9">
        <w:rPr>
          <w:rFonts w:ascii="Times New Roman" w:eastAsia="Times New Roman" w:hAnsi="Times New Roman" w:cs="Times New Roman"/>
          <w:sz w:val="22"/>
          <w:szCs w:val="22"/>
          <w:lang w:val="en-GB" w:eastAsia="en-GB"/>
        </w:rPr>
        <w:t xml:space="preserve">Rev.com. (2026). </w:t>
      </w:r>
      <w:r w:rsidRPr="00DB62B9">
        <w:rPr>
          <w:rFonts w:ascii="Times New Roman" w:eastAsia="Times New Roman" w:hAnsi="Times New Roman" w:cs="Times New Roman"/>
          <w:i/>
          <w:iCs/>
          <w:sz w:val="22"/>
          <w:szCs w:val="22"/>
          <w:lang w:val="en-GB" w:eastAsia="en-GB"/>
        </w:rPr>
        <w:t>Online voice recorder</w:t>
      </w:r>
      <w:r w:rsidRPr="00DB62B9">
        <w:rPr>
          <w:rFonts w:ascii="Times New Roman" w:eastAsia="Times New Roman" w:hAnsi="Times New Roman" w:cs="Times New Roman"/>
          <w:sz w:val="22"/>
          <w:szCs w:val="22"/>
          <w:lang w:val="en-GB" w:eastAsia="en-GB"/>
        </w:rPr>
        <w:t xml:space="preserve"> [Audio recording]. </w:t>
      </w:r>
      <w:hyperlink r:id="rId24" w:history="1">
        <w:r w:rsidRPr="00DB62B9">
          <w:rPr>
            <w:rFonts w:ascii="Times New Roman" w:eastAsia="Times New Roman" w:hAnsi="Times New Roman" w:cs="Times New Roman"/>
            <w:color w:val="0000FF"/>
            <w:sz w:val="22"/>
            <w:szCs w:val="22"/>
            <w:u w:val="single"/>
            <w:lang w:val="en-GB" w:eastAsia="en-GB"/>
          </w:rPr>
          <w:t>https://www.rev.com/onlinevoicerecorder</w:t>
        </w:r>
      </w:hyperlink>
    </w:p>
    <w:p w14:paraId="73A3CED5" w14:textId="77777777" w:rsidR="00AE2535" w:rsidRDefault="00DB62B9" w:rsidP="00AE2535">
      <w:pPr>
        <w:spacing w:before="100" w:beforeAutospacing="1" w:after="100" w:afterAutospacing="1" w:line="240" w:lineRule="auto"/>
      </w:pPr>
      <w:r w:rsidRPr="00DB62B9">
        <w:rPr>
          <w:rFonts w:ascii="Times New Roman" w:eastAsia="Times New Roman" w:hAnsi="Times New Roman" w:cs="Times New Roman"/>
          <w:sz w:val="22"/>
          <w:szCs w:val="22"/>
          <w:lang w:val="en-GB" w:eastAsia="en-GB"/>
        </w:rPr>
        <w:t xml:space="preserve">Gulliver, A., Griffiths, K. M., &amp; Christensen, H. (2010). </w:t>
      </w:r>
      <w:r w:rsidRPr="00DB62B9">
        <w:rPr>
          <w:rFonts w:ascii="Times New Roman" w:eastAsia="Times New Roman" w:hAnsi="Times New Roman" w:cs="Times New Roman"/>
          <w:i/>
          <w:iCs/>
          <w:sz w:val="22"/>
          <w:szCs w:val="22"/>
          <w:lang w:val="en-GB" w:eastAsia="en-GB"/>
        </w:rPr>
        <w:t>Perceived barriers and facilitators to mental health help-seeking in young people: A systematic review.</w:t>
      </w:r>
      <w:r w:rsidRPr="00DB62B9">
        <w:rPr>
          <w:rFonts w:ascii="Times New Roman" w:eastAsia="Times New Roman" w:hAnsi="Times New Roman" w:cs="Times New Roman"/>
          <w:sz w:val="22"/>
          <w:szCs w:val="22"/>
          <w:lang w:val="en-GB" w:eastAsia="en-GB"/>
        </w:rPr>
        <w:t xml:space="preserve"> </w:t>
      </w:r>
      <w:r w:rsidRPr="00DB62B9">
        <w:rPr>
          <w:rFonts w:ascii="Times New Roman" w:eastAsia="Times New Roman" w:hAnsi="Times New Roman" w:cs="Times New Roman"/>
          <w:i/>
          <w:iCs/>
          <w:sz w:val="22"/>
          <w:szCs w:val="22"/>
          <w:lang w:val="en-GB" w:eastAsia="en-GB"/>
        </w:rPr>
        <w:t>BMC Psychiatry, 10</w:t>
      </w:r>
      <w:r w:rsidRPr="00DB62B9">
        <w:rPr>
          <w:rFonts w:ascii="Times New Roman" w:eastAsia="Times New Roman" w:hAnsi="Times New Roman" w:cs="Times New Roman"/>
          <w:sz w:val="22"/>
          <w:szCs w:val="22"/>
          <w:lang w:val="en-GB" w:eastAsia="en-GB"/>
        </w:rPr>
        <w:t xml:space="preserve">(113). </w:t>
      </w:r>
      <w:hyperlink r:id="rId25" w:history="1">
        <w:r w:rsidRPr="00DB62B9">
          <w:rPr>
            <w:rFonts w:ascii="Times New Roman" w:eastAsia="Times New Roman" w:hAnsi="Times New Roman" w:cs="Times New Roman"/>
            <w:color w:val="0000FF"/>
            <w:sz w:val="22"/>
            <w:szCs w:val="22"/>
            <w:u w:val="single"/>
            <w:lang w:val="en-GB" w:eastAsia="en-GB"/>
          </w:rPr>
          <w:t>https://doi.org/10.1186/1471-244X-10-113</w:t>
        </w:r>
      </w:hyperlink>
    </w:p>
    <w:p w14:paraId="0F7CC029" w14:textId="5B88F312" w:rsidR="00AE2535" w:rsidRDefault="00AE2535" w:rsidP="00AE2535">
      <w:pPr>
        <w:spacing w:before="100" w:beforeAutospacing="1" w:after="100" w:afterAutospacing="1" w:line="240" w:lineRule="auto"/>
      </w:pPr>
      <w:r>
        <w:t xml:space="preserve"> </w:t>
      </w:r>
      <w:r>
        <w:rPr>
          <w:rStyle w:val="Emphasis"/>
        </w:rPr>
        <w:t>Milbank Quarterly, 102</w:t>
      </w:r>
      <w:r>
        <w:t xml:space="preserve">(1), 233–269. </w:t>
      </w:r>
      <w:hyperlink r:id="rId26" w:history="1">
        <w:r w:rsidRPr="00E441DD">
          <w:rPr>
            <w:rStyle w:val="Hyperlink"/>
          </w:rPr>
          <w:t>https://doi.org/10.1111/1468</w:t>
        </w:r>
        <w:r w:rsidRPr="00E441DD">
          <w:rPr>
            <w:rStyle w:val="Hyperlink"/>
          </w:rPr>
          <w:noBreakHyphen/>
          <w:t>0009.12682</w:t>
        </w:r>
      </w:hyperlink>
    </w:p>
    <w:p w14:paraId="5E2803DD" w14:textId="6E42B092" w:rsidR="3EA1690F" w:rsidRPr="00AE2535" w:rsidRDefault="00AE2535" w:rsidP="00AE2535">
      <w:pPr>
        <w:spacing w:before="100" w:beforeAutospacing="1" w:after="100" w:afterAutospacing="1" w:line="240" w:lineRule="auto"/>
      </w:pPr>
      <w:r>
        <w:br/>
      </w:r>
    </w:p>
    <w:p w14:paraId="2AE16AAA" w14:textId="77777777" w:rsidR="00DB62B9" w:rsidRDefault="00DB62B9" w:rsidP="021F216E">
      <w:pPr>
        <w:rPr>
          <w:rFonts w:ascii="Arial Nova" w:eastAsia="Arial Nova" w:hAnsi="Arial Nova" w:cs="Arial Nova"/>
          <w:color w:val="000000" w:themeColor="text1"/>
          <w:sz w:val="48"/>
          <w:szCs w:val="4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rsidSect="00F6079C">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6E431" w14:textId="77777777" w:rsidR="00492E78" w:rsidRDefault="00492E78" w:rsidP="00255A0D">
      <w:pPr>
        <w:spacing w:after="0" w:line="240" w:lineRule="auto"/>
      </w:pPr>
      <w:r>
        <w:separator/>
      </w:r>
    </w:p>
  </w:endnote>
  <w:endnote w:type="continuationSeparator" w:id="0">
    <w:p w14:paraId="68EDEFC8" w14:textId="77777777" w:rsidR="00492E78" w:rsidRDefault="00492E78"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C80E1" w14:textId="77777777" w:rsidR="00492E78" w:rsidRDefault="00492E78" w:rsidP="00255A0D">
      <w:pPr>
        <w:spacing w:after="0" w:line="240" w:lineRule="auto"/>
      </w:pPr>
      <w:r>
        <w:separator/>
      </w:r>
    </w:p>
  </w:footnote>
  <w:footnote w:type="continuationSeparator" w:id="0">
    <w:p w14:paraId="511C38F7" w14:textId="77777777" w:rsidR="00492E78" w:rsidRDefault="00492E78"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26B"/>
    <w:multiLevelType w:val="hybridMultilevel"/>
    <w:tmpl w:val="A01E1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E1D19"/>
    <w:multiLevelType w:val="multilevel"/>
    <w:tmpl w:val="095E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3" w15:restartNumberingAfterBreak="0">
    <w:nsid w:val="2B064071"/>
    <w:multiLevelType w:val="multilevel"/>
    <w:tmpl w:val="D7A2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8D6568"/>
    <w:multiLevelType w:val="multilevel"/>
    <w:tmpl w:val="2F7E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804D81"/>
    <w:multiLevelType w:val="multilevel"/>
    <w:tmpl w:val="0F88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BD5014"/>
    <w:multiLevelType w:val="multilevel"/>
    <w:tmpl w:val="B7A8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844AB3"/>
    <w:multiLevelType w:val="multilevel"/>
    <w:tmpl w:val="FD38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CF3501"/>
    <w:multiLevelType w:val="multilevel"/>
    <w:tmpl w:val="40F2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4F204F"/>
    <w:multiLevelType w:val="multilevel"/>
    <w:tmpl w:val="560C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452749"/>
    <w:multiLevelType w:val="multilevel"/>
    <w:tmpl w:val="AA68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D77889"/>
    <w:multiLevelType w:val="multilevel"/>
    <w:tmpl w:val="E8F2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FE25D3"/>
    <w:multiLevelType w:val="multilevel"/>
    <w:tmpl w:val="99329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9774998">
    <w:abstractNumId w:val="2"/>
  </w:num>
  <w:num w:numId="2" w16cid:durableId="996540915">
    <w:abstractNumId w:val="0"/>
  </w:num>
  <w:num w:numId="3" w16cid:durableId="1085959534">
    <w:abstractNumId w:val="7"/>
  </w:num>
  <w:num w:numId="4" w16cid:durableId="764806397">
    <w:abstractNumId w:val="8"/>
  </w:num>
  <w:num w:numId="5" w16cid:durableId="745423801">
    <w:abstractNumId w:val="11"/>
  </w:num>
  <w:num w:numId="6" w16cid:durableId="1553686103">
    <w:abstractNumId w:val="3"/>
  </w:num>
  <w:num w:numId="7" w16cid:durableId="1369723270">
    <w:abstractNumId w:val="9"/>
  </w:num>
  <w:num w:numId="8" w16cid:durableId="27145267">
    <w:abstractNumId w:val="4"/>
  </w:num>
  <w:num w:numId="9" w16cid:durableId="1623610251">
    <w:abstractNumId w:val="6"/>
  </w:num>
  <w:num w:numId="10" w16cid:durableId="883442238">
    <w:abstractNumId w:val="5"/>
  </w:num>
  <w:num w:numId="11" w16cid:durableId="1870800845">
    <w:abstractNumId w:val="1"/>
  </w:num>
  <w:num w:numId="12" w16cid:durableId="891620664">
    <w:abstractNumId w:val="10"/>
  </w:num>
  <w:num w:numId="13" w16cid:durableId="14937890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32927"/>
    <w:rsid w:val="00041361"/>
    <w:rsid w:val="000575E2"/>
    <w:rsid w:val="00057AD1"/>
    <w:rsid w:val="0008214E"/>
    <w:rsid w:val="00094EFD"/>
    <w:rsid w:val="00097DB7"/>
    <w:rsid w:val="000C24D9"/>
    <w:rsid w:val="000C52F2"/>
    <w:rsid w:val="000C623E"/>
    <w:rsid w:val="000D7D03"/>
    <w:rsid w:val="0010113B"/>
    <w:rsid w:val="00112711"/>
    <w:rsid w:val="00116409"/>
    <w:rsid w:val="001273E7"/>
    <w:rsid w:val="00137396"/>
    <w:rsid w:val="00146856"/>
    <w:rsid w:val="001518EB"/>
    <w:rsid w:val="00160A3A"/>
    <w:rsid w:val="00163634"/>
    <w:rsid w:val="00172CF4"/>
    <w:rsid w:val="001A0E8E"/>
    <w:rsid w:val="001C40BE"/>
    <w:rsid w:val="001C7F2D"/>
    <w:rsid w:val="001E16FA"/>
    <w:rsid w:val="001E4BCD"/>
    <w:rsid w:val="001F2285"/>
    <w:rsid w:val="00206E07"/>
    <w:rsid w:val="00234C8D"/>
    <w:rsid w:val="0024491E"/>
    <w:rsid w:val="0024760D"/>
    <w:rsid w:val="0025385F"/>
    <w:rsid w:val="00255A0D"/>
    <w:rsid w:val="00257B47"/>
    <w:rsid w:val="00276294"/>
    <w:rsid w:val="00286E7E"/>
    <w:rsid w:val="002A1FA2"/>
    <w:rsid w:val="002C2FD1"/>
    <w:rsid w:val="002C33A3"/>
    <w:rsid w:val="002D5C7A"/>
    <w:rsid w:val="002F0ED5"/>
    <w:rsid w:val="0030675F"/>
    <w:rsid w:val="00307B56"/>
    <w:rsid w:val="00307D88"/>
    <w:rsid w:val="00320177"/>
    <w:rsid w:val="003346E2"/>
    <w:rsid w:val="00337274"/>
    <w:rsid w:val="00352BC6"/>
    <w:rsid w:val="0037100A"/>
    <w:rsid w:val="003745F7"/>
    <w:rsid w:val="00381210"/>
    <w:rsid w:val="00381C09"/>
    <w:rsid w:val="00381CCC"/>
    <w:rsid w:val="003970DD"/>
    <w:rsid w:val="003A63B5"/>
    <w:rsid w:val="003B7E20"/>
    <w:rsid w:val="003C23EB"/>
    <w:rsid w:val="003E4DF6"/>
    <w:rsid w:val="003F104E"/>
    <w:rsid w:val="003F7856"/>
    <w:rsid w:val="004276E8"/>
    <w:rsid w:val="0044263B"/>
    <w:rsid w:val="00447425"/>
    <w:rsid w:val="00456C61"/>
    <w:rsid w:val="00461BA9"/>
    <w:rsid w:val="00466DDA"/>
    <w:rsid w:val="004741BA"/>
    <w:rsid w:val="00492870"/>
    <w:rsid w:val="00492E78"/>
    <w:rsid w:val="004A7033"/>
    <w:rsid w:val="004D7155"/>
    <w:rsid w:val="004E5D5E"/>
    <w:rsid w:val="005212EC"/>
    <w:rsid w:val="005565E1"/>
    <w:rsid w:val="00557A95"/>
    <w:rsid w:val="00563EB8"/>
    <w:rsid w:val="00574C74"/>
    <w:rsid w:val="00577423"/>
    <w:rsid w:val="005848CE"/>
    <w:rsid w:val="00585614"/>
    <w:rsid w:val="005A2834"/>
    <w:rsid w:val="005A4AFB"/>
    <w:rsid w:val="005B1637"/>
    <w:rsid w:val="005D1D3C"/>
    <w:rsid w:val="005E6AF8"/>
    <w:rsid w:val="005F60EF"/>
    <w:rsid w:val="005F6BCC"/>
    <w:rsid w:val="006010F3"/>
    <w:rsid w:val="006054E9"/>
    <w:rsid w:val="00606D28"/>
    <w:rsid w:val="006241CC"/>
    <w:rsid w:val="006345E8"/>
    <w:rsid w:val="00634A6A"/>
    <w:rsid w:val="00652215"/>
    <w:rsid w:val="00655203"/>
    <w:rsid w:val="00665B40"/>
    <w:rsid w:val="0066796B"/>
    <w:rsid w:val="0067789E"/>
    <w:rsid w:val="00681B4D"/>
    <w:rsid w:val="00683698"/>
    <w:rsid w:val="006A4F8A"/>
    <w:rsid w:val="006F5F27"/>
    <w:rsid w:val="00724C01"/>
    <w:rsid w:val="007516F6"/>
    <w:rsid w:val="00754964"/>
    <w:rsid w:val="00782897"/>
    <w:rsid w:val="0079365B"/>
    <w:rsid w:val="007B5023"/>
    <w:rsid w:val="007F0718"/>
    <w:rsid w:val="0084292B"/>
    <w:rsid w:val="0085025C"/>
    <w:rsid w:val="00856911"/>
    <w:rsid w:val="00893900"/>
    <w:rsid w:val="008A2D70"/>
    <w:rsid w:val="008A328E"/>
    <w:rsid w:val="008B67E4"/>
    <w:rsid w:val="008C69B5"/>
    <w:rsid w:val="008C7E10"/>
    <w:rsid w:val="008F2FE9"/>
    <w:rsid w:val="008F7E96"/>
    <w:rsid w:val="00912651"/>
    <w:rsid w:val="00915402"/>
    <w:rsid w:val="00924EE9"/>
    <w:rsid w:val="00933297"/>
    <w:rsid w:val="0093329C"/>
    <w:rsid w:val="00940605"/>
    <w:rsid w:val="00941C82"/>
    <w:rsid w:val="00943A62"/>
    <w:rsid w:val="009725F1"/>
    <w:rsid w:val="009731D8"/>
    <w:rsid w:val="00985023"/>
    <w:rsid w:val="00985588"/>
    <w:rsid w:val="00997BDF"/>
    <w:rsid w:val="009A303D"/>
    <w:rsid w:val="009A52A7"/>
    <w:rsid w:val="009C5459"/>
    <w:rsid w:val="009C7824"/>
    <w:rsid w:val="009D37D8"/>
    <w:rsid w:val="009E0DEC"/>
    <w:rsid w:val="00A13A5D"/>
    <w:rsid w:val="00A37184"/>
    <w:rsid w:val="00A44FB7"/>
    <w:rsid w:val="00A47086"/>
    <w:rsid w:val="00A507D8"/>
    <w:rsid w:val="00A81680"/>
    <w:rsid w:val="00A86F80"/>
    <w:rsid w:val="00A95450"/>
    <w:rsid w:val="00AB2AE1"/>
    <w:rsid w:val="00AB49AC"/>
    <w:rsid w:val="00AE2535"/>
    <w:rsid w:val="00AF5C92"/>
    <w:rsid w:val="00B13E7A"/>
    <w:rsid w:val="00B56FA0"/>
    <w:rsid w:val="00B66E9C"/>
    <w:rsid w:val="00B72D8C"/>
    <w:rsid w:val="00B73B37"/>
    <w:rsid w:val="00B9426C"/>
    <w:rsid w:val="00BE459C"/>
    <w:rsid w:val="00BE4BF7"/>
    <w:rsid w:val="00C01521"/>
    <w:rsid w:val="00C04D7F"/>
    <w:rsid w:val="00C5256E"/>
    <w:rsid w:val="00C547EA"/>
    <w:rsid w:val="00C932BE"/>
    <w:rsid w:val="00C93728"/>
    <w:rsid w:val="00C97150"/>
    <w:rsid w:val="00CA384C"/>
    <w:rsid w:val="00CA4B0D"/>
    <w:rsid w:val="00CA58DF"/>
    <w:rsid w:val="00CA5D7C"/>
    <w:rsid w:val="00CB11F4"/>
    <w:rsid w:val="00CC1F30"/>
    <w:rsid w:val="00CD2BC1"/>
    <w:rsid w:val="00CD6BD3"/>
    <w:rsid w:val="00CE5148"/>
    <w:rsid w:val="00D11C95"/>
    <w:rsid w:val="00D15F3D"/>
    <w:rsid w:val="00D20F44"/>
    <w:rsid w:val="00D30DEA"/>
    <w:rsid w:val="00D37E7D"/>
    <w:rsid w:val="00D4603B"/>
    <w:rsid w:val="00D47B32"/>
    <w:rsid w:val="00D731A1"/>
    <w:rsid w:val="00D91E29"/>
    <w:rsid w:val="00DA46E4"/>
    <w:rsid w:val="00DB2FB9"/>
    <w:rsid w:val="00DB62B9"/>
    <w:rsid w:val="00DB6335"/>
    <w:rsid w:val="00DC2ECF"/>
    <w:rsid w:val="00DF42B4"/>
    <w:rsid w:val="00DF5E0E"/>
    <w:rsid w:val="00E0532B"/>
    <w:rsid w:val="00E2537D"/>
    <w:rsid w:val="00E27A2D"/>
    <w:rsid w:val="00E428F3"/>
    <w:rsid w:val="00E92E65"/>
    <w:rsid w:val="00E95BE3"/>
    <w:rsid w:val="00EC3947"/>
    <w:rsid w:val="00EC3EB7"/>
    <w:rsid w:val="00EC6078"/>
    <w:rsid w:val="00ED1127"/>
    <w:rsid w:val="00F022DE"/>
    <w:rsid w:val="00F06FE6"/>
    <w:rsid w:val="00F31AE8"/>
    <w:rsid w:val="00F34473"/>
    <w:rsid w:val="00F4291E"/>
    <w:rsid w:val="00F6079C"/>
    <w:rsid w:val="00F7378F"/>
    <w:rsid w:val="00F80B45"/>
    <w:rsid w:val="00F93CBD"/>
    <w:rsid w:val="00F9518D"/>
    <w:rsid w:val="00FA665C"/>
    <w:rsid w:val="00FC60DA"/>
    <w:rsid w:val="00FC7F75"/>
    <w:rsid w:val="00FD20DC"/>
    <w:rsid w:val="00FE14C3"/>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Caption">
    <w:name w:val="caption"/>
    <w:basedOn w:val="Normal"/>
    <w:next w:val="Normal"/>
    <w:uiPriority w:val="35"/>
    <w:unhideWhenUsed/>
    <w:qFormat/>
    <w:rsid w:val="00276294"/>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9D37D8"/>
    <w:rPr>
      <w:color w:val="605E5C"/>
      <w:shd w:val="clear" w:color="auto" w:fill="E1DFDD"/>
    </w:rPr>
  </w:style>
  <w:style w:type="paragraph" w:styleId="NormalWeb">
    <w:name w:val="Normal (Web)"/>
    <w:basedOn w:val="Normal"/>
    <w:uiPriority w:val="99"/>
    <w:semiHidden/>
    <w:unhideWhenUsed/>
    <w:rsid w:val="00041361"/>
    <w:rPr>
      <w:rFonts w:ascii="Times New Roman" w:hAnsi="Times New Roman" w:cs="Times New Roman"/>
    </w:rPr>
  </w:style>
  <w:style w:type="paragraph" w:styleId="NoSpacing">
    <w:name w:val="No Spacing"/>
    <w:link w:val="NoSpacingChar"/>
    <w:uiPriority w:val="1"/>
    <w:qFormat/>
    <w:rsid w:val="00F6079C"/>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F6079C"/>
    <w:rPr>
      <w:sz w:val="22"/>
      <w:szCs w:val="22"/>
      <w:lang w:eastAsia="en-US"/>
    </w:rPr>
  </w:style>
  <w:style w:type="character" w:styleId="Emphasis">
    <w:name w:val="Emphasis"/>
    <w:basedOn w:val="DefaultParagraphFont"/>
    <w:uiPriority w:val="20"/>
    <w:qFormat/>
    <w:rsid w:val="00AE25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oleObject" Target="embeddings/oleObject1.bin"/><Relationship Id="rId26" Type="http://schemas.openxmlformats.org/officeDocument/2006/relationships/hyperlink" Target="https://doi.org/10.1111/14680009.12682" TargetMode="External"/><Relationship Id="rId3" Type="http://schemas.openxmlformats.org/officeDocument/2006/relationships/customXml" Target="../customXml/item3.xml"/><Relationship Id="rId21" Type="http://schemas.openxmlformats.org/officeDocument/2006/relationships/hyperlink" Target="https://doi.org/10.1136/bmj.m998"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emf"/><Relationship Id="rId25" Type="http://schemas.openxmlformats.org/officeDocument/2006/relationships/hyperlink" Target="https://doi.org/10.1186/1471-244X-10-113" TargetMode="External"/><Relationship Id="rId2" Type="http://schemas.openxmlformats.org/officeDocument/2006/relationships/customXml" Target="../customXml/item2.xml"/><Relationship Id="rId16" Type="http://schemas.openxmlformats.org/officeDocument/2006/relationships/hyperlink" Target="https://uowtsd-my.sharepoint.com/personal/2407474_student_uwtsd_ac_uk/Documents/Attachments" TargetMode="External"/><Relationship Id="rId20" Type="http://schemas.openxmlformats.org/officeDocument/2006/relationships/hyperlink" Target="https://doi.org/10.1177/15291006145313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ev.com/onlinevoicerecorder" TargetMode="External"/><Relationship Id="rId5" Type="http://schemas.openxmlformats.org/officeDocument/2006/relationships/numbering" Target="numbering.xml"/><Relationship Id="rId15" Type="http://schemas.openxmlformats.org/officeDocument/2006/relationships/hyperlink" Target="https://www.rev.com/onlinevoicerecorder" TargetMode="External"/><Relationship Id="rId23" Type="http://schemas.openxmlformats.org/officeDocument/2006/relationships/hyperlink" Target="https://www.leadershipacademy.nhs.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england.nhs.uk/digital-firs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52ff3d331f110315b923f7685dcc0bf">
  <xsd:schema xmlns:xsd="http://www.w3.org/2001/XMLSchema" xmlns:xs="http://www.w3.org/2001/XMLSchema" xmlns:p="http://schemas.microsoft.com/office/2006/metadata/properties" xmlns:ns3="0085e1a2-9cbf-4b92-866b-21f3c89040b6" targetNamespace="http://schemas.microsoft.com/office/2006/metadata/properties" ma:root="true" ma:fieldsID="23120b696a4c593e53589987a403ac1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77A043-B643-41DE-9D79-705C655BDB7D}">
  <ds:schemaRefs>
    <ds:schemaRef ds:uri="http://schemas.openxmlformats.org/officeDocument/2006/bibliography"/>
  </ds:schemaRefs>
</ds:datastoreItem>
</file>

<file path=customXml/itemProps2.xml><?xml version="1.0" encoding="utf-8"?>
<ds:datastoreItem xmlns:ds="http://schemas.openxmlformats.org/officeDocument/2006/customXml" ds:itemID="{39ECE1C5-2F77-40A8-8D93-03B3C3C10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D5FE53-3486-4B4A-BB36-94C7C9BD7884}">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4DCF9031-24B2-40A6-A177-01E1483DD8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Links>
    <vt:vector size="6" baseType="variant">
      <vt:variant>
        <vt:i4>2818099</vt:i4>
      </vt:variant>
      <vt:variant>
        <vt:i4>0</vt:i4>
      </vt:variant>
      <vt:variant>
        <vt:i4>0</vt:i4>
      </vt:variant>
      <vt:variant>
        <vt:i4>5</vt:i4>
      </vt:variant>
      <vt:variant>
        <vt:lpwstr>https://www.rev.com/onlinevoicerecorder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Rana Fatima (2407474)</cp:lastModifiedBy>
  <cp:revision>2</cp:revision>
  <dcterms:created xsi:type="dcterms:W3CDTF">2026-03-25T14:13:00Z</dcterms:created>
  <dcterms:modified xsi:type="dcterms:W3CDTF">2026-03-25T14:13:00Z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