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6F265" w14:textId="7E53306D" w:rsidR="00C16247" w:rsidRDefault="00C16247" w:rsidP="004E6531">
      <w:pPr>
        <w:spacing w:line="360" w:lineRule="auto"/>
        <w:jc w:val="center"/>
        <w:rPr>
          <w:b/>
        </w:rPr>
      </w:pPr>
      <w:r>
        <w:rPr>
          <w:noProof/>
          <w14:ligatures w14:val="standardContextual"/>
        </w:rPr>
        <w:drawing>
          <wp:inline distT="0" distB="0" distL="0" distR="0" wp14:anchorId="5875D1F0" wp14:editId="4B12C531">
            <wp:extent cx="2966720" cy="1292225"/>
            <wp:effectExtent l="0" t="0" r="5080" b="3175"/>
            <wp:docPr id="81" name="Picture 1"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81" name="Picture 1" descr="A close up of a sign&#10;&#10;AI-generated content may be incorrect."/>
                    <pic:cNvPicPr/>
                  </pic:nvPicPr>
                  <pic:blipFill>
                    <a:blip r:embed="rId4"/>
                    <a:stretch>
                      <a:fillRect/>
                    </a:stretch>
                  </pic:blipFill>
                  <pic:spPr>
                    <a:xfrm>
                      <a:off x="0" y="0"/>
                      <a:ext cx="2966720" cy="1292225"/>
                    </a:xfrm>
                    <a:prstGeom prst="rect">
                      <a:avLst/>
                    </a:prstGeom>
                  </pic:spPr>
                </pic:pic>
              </a:graphicData>
            </a:graphic>
          </wp:inline>
        </w:drawing>
      </w:r>
    </w:p>
    <w:p w14:paraId="7FF45901" w14:textId="00BC2F59" w:rsidR="004E6531" w:rsidRPr="00003F00" w:rsidRDefault="004E6531" w:rsidP="00C16247">
      <w:pPr>
        <w:spacing w:line="360" w:lineRule="auto"/>
        <w:jc w:val="center"/>
        <w:rPr>
          <w:b/>
        </w:rPr>
      </w:pPr>
      <w:r w:rsidRPr="00003F00">
        <w:rPr>
          <w:b/>
        </w:rPr>
        <w:t xml:space="preserve">Name: </w:t>
      </w:r>
      <w:r w:rsidR="00C16247">
        <w:rPr>
          <w:b/>
        </w:rPr>
        <w:t>Constantin Dragos Nenciu</w:t>
      </w:r>
    </w:p>
    <w:p w14:paraId="5C077FFC" w14:textId="64BEC49A" w:rsidR="004E6531" w:rsidRPr="00003F00" w:rsidRDefault="004E6531" w:rsidP="00C16247">
      <w:pPr>
        <w:spacing w:line="360" w:lineRule="auto"/>
        <w:jc w:val="center"/>
        <w:rPr>
          <w:b/>
        </w:rPr>
      </w:pPr>
      <w:r w:rsidRPr="00003F00">
        <w:rPr>
          <w:b/>
        </w:rPr>
        <w:t xml:space="preserve">Student ID: </w:t>
      </w:r>
      <w:r w:rsidR="00C16247">
        <w:rPr>
          <w:b/>
        </w:rPr>
        <w:t>2246448</w:t>
      </w:r>
    </w:p>
    <w:p w14:paraId="26C5D3DE" w14:textId="30CD6149" w:rsidR="004E6531" w:rsidRPr="00C16247" w:rsidRDefault="00CC4024" w:rsidP="00C16247">
      <w:pPr>
        <w:spacing w:line="360" w:lineRule="auto"/>
        <w:jc w:val="center"/>
        <w:rPr>
          <w:bCs/>
        </w:rPr>
      </w:pPr>
      <w:r>
        <w:rPr>
          <w:b/>
        </w:rPr>
        <w:t>Lecturer</w:t>
      </w:r>
      <w:r w:rsidR="004E6531" w:rsidRPr="00003F00">
        <w:rPr>
          <w:b/>
        </w:rPr>
        <w:t xml:space="preserve"> Name: </w:t>
      </w:r>
      <w:r w:rsidR="00C16247" w:rsidRPr="00C16247">
        <w:rPr>
          <w:rFonts w:ascii="Arial" w:eastAsia="Arial" w:hAnsi="Arial" w:cs="Arial"/>
          <w:bCs/>
        </w:rPr>
        <w:t>Antoinette Milne</w:t>
      </w:r>
    </w:p>
    <w:p w14:paraId="0E5DC604" w14:textId="77777777" w:rsidR="004E6531" w:rsidRDefault="004E6531" w:rsidP="00C16247">
      <w:pPr>
        <w:spacing w:line="360" w:lineRule="auto"/>
        <w:jc w:val="center"/>
        <w:rPr>
          <w:b/>
        </w:rPr>
      </w:pPr>
      <w:r>
        <w:rPr>
          <w:b/>
        </w:rPr>
        <w:t xml:space="preserve">Module Title: </w:t>
      </w:r>
      <w:r w:rsidRPr="008E27C3">
        <w:rPr>
          <w:b/>
        </w:rPr>
        <w:t>Management &amp; Organizational Behaviour</w:t>
      </w:r>
    </w:p>
    <w:p w14:paraId="3E823D2D" w14:textId="77777777" w:rsidR="004E6531" w:rsidRDefault="004E6531" w:rsidP="00C16247">
      <w:pPr>
        <w:spacing w:line="360" w:lineRule="auto"/>
        <w:jc w:val="center"/>
        <w:rPr>
          <w:b/>
        </w:rPr>
      </w:pPr>
      <w:r w:rsidRPr="00003F00">
        <w:rPr>
          <w:b/>
        </w:rPr>
        <w:t>Module code</w:t>
      </w:r>
      <w:r>
        <w:rPr>
          <w:b/>
        </w:rPr>
        <w:t xml:space="preserve">: </w:t>
      </w:r>
      <w:r w:rsidRPr="008E27C3">
        <w:rPr>
          <w:b/>
        </w:rPr>
        <w:t>BMIH5004</w:t>
      </w:r>
    </w:p>
    <w:p w14:paraId="0A47FC2B" w14:textId="77777777" w:rsidR="004E6531" w:rsidRDefault="004E6531" w:rsidP="00C16247">
      <w:pPr>
        <w:spacing w:line="360" w:lineRule="auto"/>
        <w:rPr>
          <w:b/>
        </w:rPr>
      </w:pPr>
    </w:p>
    <w:p w14:paraId="426C2674" w14:textId="77777777" w:rsidR="004E6531" w:rsidRPr="008E27C3" w:rsidRDefault="004E6531" w:rsidP="004E6531">
      <w:pPr>
        <w:spacing w:line="360" w:lineRule="auto"/>
        <w:jc w:val="center"/>
        <w:rPr>
          <w:b/>
        </w:rPr>
      </w:pPr>
    </w:p>
    <w:p w14:paraId="2571CA41" w14:textId="77777777" w:rsidR="004E6531" w:rsidRDefault="004E6531" w:rsidP="004E6531">
      <w:pPr>
        <w:spacing w:line="360" w:lineRule="auto"/>
        <w:jc w:val="center"/>
        <w:rPr>
          <w:b/>
        </w:rPr>
      </w:pPr>
      <w:r>
        <w:rPr>
          <w:noProof/>
        </w:rPr>
        <w:drawing>
          <wp:inline distT="0" distB="0" distL="0" distR="0" wp14:anchorId="113442B1" wp14:editId="616005EB">
            <wp:extent cx="4377690" cy="2919919"/>
            <wp:effectExtent l="19050" t="0" r="22860" b="833120"/>
            <wp:docPr id="4" name="Picture 4" descr="With Over 560 Open Hotels &amp; Residential Projects, Marriott International  Saw Record Year Of Net Rooms Growth - ANTARA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8" descr="With Over 560 Open Hotels &amp; Residential Projects, Marriott International  Saw Record Year Of Net Rooms Growth - ANTARA News"/>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4385086" cy="292485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4AB9F2B5" w14:textId="77777777" w:rsidR="00C16247" w:rsidRDefault="00C16247" w:rsidP="004E6531">
      <w:pPr>
        <w:spacing w:line="360" w:lineRule="auto"/>
        <w:jc w:val="center"/>
      </w:pPr>
    </w:p>
    <w:p w14:paraId="1691050B" w14:textId="77777777" w:rsidR="001E1457" w:rsidRDefault="001E1457" w:rsidP="004E6531">
      <w:pPr>
        <w:spacing w:line="360" w:lineRule="auto"/>
        <w:jc w:val="center"/>
      </w:pPr>
    </w:p>
    <w:p w14:paraId="13589E4C" w14:textId="77777777" w:rsidR="001E1457" w:rsidRDefault="001E1457" w:rsidP="004E6531">
      <w:pPr>
        <w:spacing w:line="360" w:lineRule="auto"/>
        <w:jc w:val="center"/>
      </w:pPr>
    </w:p>
    <w:p w14:paraId="06859A62" w14:textId="77777777" w:rsidR="001E1457" w:rsidRDefault="001E1457" w:rsidP="004E6531">
      <w:pPr>
        <w:spacing w:line="360" w:lineRule="auto"/>
        <w:jc w:val="center"/>
      </w:pPr>
    </w:p>
    <w:p w14:paraId="2B0DA04B" w14:textId="77777777" w:rsidR="001E1457" w:rsidRDefault="001E1457" w:rsidP="004E6531">
      <w:pPr>
        <w:spacing w:line="360" w:lineRule="auto"/>
        <w:jc w:val="center"/>
      </w:pPr>
    </w:p>
    <w:p w14:paraId="428BBE7C" w14:textId="77777777" w:rsidR="001E1457" w:rsidRDefault="001E1457" w:rsidP="004E6531">
      <w:pPr>
        <w:spacing w:line="360" w:lineRule="auto"/>
        <w:jc w:val="center"/>
      </w:pPr>
    </w:p>
    <w:p w14:paraId="4BE665E8" w14:textId="77777777" w:rsidR="001E1457" w:rsidRDefault="001E1457" w:rsidP="004E6531">
      <w:pPr>
        <w:spacing w:line="360" w:lineRule="auto"/>
        <w:jc w:val="center"/>
      </w:pPr>
    </w:p>
    <w:p w14:paraId="16EC5996" w14:textId="77777777" w:rsidR="001E1457" w:rsidRDefault="001E1457" w:rsidP="004E6531">
      <w:pPr>
        <w:spacing w:line="360" w:lineRule="auto"/>
        <w:jc w:val="center"/>
      </w:pPr>
    </w:p>
    <w:p w14:paraId="13DA16AD" w14:textId="77777777" w:rsidR="001E1457" w:rsidRDefault="001E1457" w:rsidP="004E6531">
      <w:pPr>
        <w:spacing w:line="360" w:lineRule="auto"/>
        <w:jc w:val="center"/>
      </w:pPr>
    </w:p>
    <w:p w14:paraId="34DC5907" w14:textId="77777777" w:rsidR="001E1457" w:rsidRDefault="001E1457" w:rsidP="004E6531">
      <w:pPr>
        <w:spacing w:line="360" w:lineRule="auto"/>
        <w:jc w:val="center"/>
      </w:pPr>
    </w:p>
    <w:p w14:paraId="1968F077" w14:textId="30A4945C" w:rsidR="004E6531" w:rsidRDefault="00C16247" w:rsidP="004E6531">
      <w:pPr>
        <w:spacing w:line="360" w:lineRule="auto"/>
        <w:jc w:val="center"/>
        <w:rPr>
          <w:b/>
        </w:rPr>
      </w:pPr>
      <w:r>
        <w:t xml:space="preserve">Acknowledgement  of AI tool use </w:t>
      </w:r>
    </w:p>
    <w:p w14:paraId="69DDB854" w14:textId="77777777" w:rsidR="004E6531" w:rsidRDefault="004E6531" w:rsidP="004E6531">
      <w:pPr>
        <w:spacing w:line="360" w:lineRule="auto"/>
        <w:jc w:val="center"/>
        <w:rPr>
          <w:b/>
        </w:rPr>
      </w:pPr>
    </w:p>
    <w:p w14:paraId="79F56A12" w14:textId="418F25AD" w:rsidR="004E6531" w:rsidRDefault="00C16247" w:rsidP="004E6531">
      <w:pPr>
        <w:spacing w:line="360" w:lineRule="auto"/>
        <w:jc w:val="center"/>
        <w:rPr>
          <w:b/>
        </w:rPr>
      </w:pPr>
      <w:r>
        <w:t xml:space="preserve">I acknowledge the use of Grammarly (https://www.grammarly.com/) on </w:t>
      </w:r>
      <w:r>
        <w:t>05</w:t>
      </w:r>
      <w:r>
        <w:t xml:space="preserve"> </w:t>
      </w:r>
      <w:r>
        <w:t>March</w:t>
      </w:r>
      <w:r>
        <w:t xml:space="preserve"> 202</w:t>
      </w:r>
      <w:r>
        <w:t>5</w:t>
      </w:r>
      <w:r>
        <w:t xml:space="preserve"> to check my work using  for readability, grammar and syntax. I confirm that I have not presented any AI generated text as my own work. I confirm I have copies of my drafts, notes, and other resources I used before, and after the use of AI tools which I may be asked to provide in evidence. </w:t>
      </w:r>
    </w:p>
    <w:p w14:paraId="56F32288" w14:textId="77777777" w:rsidR="004E6531" w:rsidRDefault="004E6531" w:rsidP="004E6531">
      <w:pPr>
        <w:spacing w:line="360" w:lineRule="auto"/>
        <w:jc w:val="center"/>
        <w:rPr>
          <w:b/>
        </w:rPr>
      </w:pPr>
    </w:p>
    <w:p w14:paraId="4880AE1F" w14:textId="77777777" w:rsidR="004E6531" w:rsidRDefault="004E6531" w:rsidP="004E6531">
      <w:pPr>
        <w:spacing w:line="360" w:lineRule="auto"/>
        <w:jc w:val="center"/>
        <w:rPr>
          <w:b/>
        </w:rPr>
      </w:pPr>
    </w:p>
    <w:p w14:paraId="0BA4B8A0" w14:textId="77777777" w:rsidR="004E6531" w:rsidRDefault="004E6531" w:rsidP="004E6531">
      <w:pPr>
        <w:spacing w:before="0" w:after="160" w:line="360" w:lineRule="auto"/>
        <w:jc w:val="left"/>
        <w:rPr>
          <w:b/>
        </w:rPr>
      </w:pPr>
      <w:r>
        <w:rPr>
          <w:b/>
        </w:rPr>
        <w:br w:type="page"/>
      </w:r>
    </w:p>
    <w:p w14:paraId="494B920A" w14:textId="77777777" w:rsidR="004E6531" w:rsidRPr="00CF2D19" w:rsidRDefault="004E6531" w:rsidP="004E6531">
      <w:pPr>
        <w:pStyle w:val="Heading1"/>
        <w:spacing w:line="360" w:lineRule="auto"/>
      </w:pPr>
      <w:bookmarkStart w:id="0" w:name="_Toc192060572"/>
      <w:r w:rsidRPr="00CF2D19">
        <w:lastRenderedPageBreak/>
        <w:t>Executive Summary</w:t>
      </w:r>
      <w:bookmarkEnd w:id="0"/>
    </w:p>
    <w:p w14:paraId="732E6125" w14:textId="77777777" w:rsidR="004E6531" w:rsidRPr="00CF2D19" w:rsidRDefault="004E6531" w:rsidP="004E6531">
      <w:pPr>
        <w:spacing w:line="360" w:lineRule="auto"/>
      </w:pPr>
      <w:r w:rsidRPr="00361344">
        <w:t>Marriott International is a leading global hospitality company, and this report scrutinizes its business operations, financial performance, and stricture direction. Marriott's large portfolio, including over 8,000 properties in 139 countries, signifies it is a force to be reckoned with in the hotel industry. Marriot's strong financial performance is a key finding, and consistent success in revenues of the minute is attributed to brand diversification, customer loyalty programs and technological advancement. However, it had challenges due to increasing competition, economic uncertainty, and sustainability issues, which affected its long-term strategy. The strengths of Marriott, including its extensive brand portfolio and operational efficiency, are evaluated against weaknesses such as reliance on franchise models and the potential vulnerabilities in economic downturns, and this is done through critical analysis. Opportunities in digital transformation and sustainable hospitality are also discussed. The paper considers improvements to sustainability initiatives, the application of AI to deliver personalized guest experiences and the potential to grow into emerging markets. Secondly, strengthening cybersecurity and data protection is another issue that must be addressed to maintain customer trust and achieve competitiveness.</w:t>
      </w:r>
    </w:p>
    <w:p w14:paraId="5551CEA3" w14:textId="77777777" w:rsidR="004E6531" w:rsidRPr="00CF2D19" w:rsidRDefault="004E6531" w:rsidP="004E6531">
      <w:pPr>
        <w:spacing w:line="360" w:lineRule="auto"/>
      </w:pPr>
    </w:p>
    <w:p w14:paraId="3E712958" w14:textId="77777777" w:rsidR="004E6531" w:rsidRPr="00CF2D19" w:rsidRDefault="004E6531" w:rsidP="004E6531">
      <w:pPr>
        <w:spacing w:line="360" w:lineRule="auto"/>
      </w:pPr>
    </w:p>
    <w:p w14:paraId="164BDE8D" w14:textId="77777777" w:rsidR="004E6531" w:rsidRDefault="004E6531" w:rsidP="004E6531">
      <w:pPr>
        <w:spacing w:before="0" w:after="160" w:line="360" w:lineRule="auto"/>
        <w:jc w:val="left"/>
      </w:pPr>
      <w:r>
        <w:br w:type="page"/>
      </w:r>
    </w:p>
    <w:sdt>
      <w:sdtPr>
        <w:rPr>
          <w:rFonts w:ascii="Times New Roman" w:eastAsiaTheme="minorHAnsi" w:hAnsi="Times New Roman" w:cstheme="minorBidi"/>
          <w:color w:val="auto"/>
          <w:sz w:val="24"/>
          <w:szCs w:val="22"/>
        </w:rPr>
        <w:id w:val="551436461"/>
        <w:docPartObj>
          <w:docPartGallery w:val="Table of Contents"/>
          <w:docPartUnique/>
        </w:docPartObj>
      </w:sdtPr>
      <w:sdtEndPr>
        <w:rPr>
          <w:b/>
          <w:bCs/>
          <w:noProof/>
        </w:rPr>
      </w:sdtEndPr>
      <w:sdtContent>
        <w:p w14:paraId="77A588EF" w14:textId="77777777" w:rsidR="004E6531" w:rsidRDefault="004E6531" w:rsidP="004E6531">
          <w:pPr>
            <w:pStyle w:val="TOCHeading"/>
          </w:pPr>
          <w:r>
            <w:t>Table of Contents</w:t>
          </w:r>
        </w:p>
        <w:p w14:paraId="1F164475" w14:textId="348521BA" w:rsidR="006234EC" w:rsidRDefault="004E6531">
          <w:pPr>
            <w:pStyle w:val="TOC1"/>
            <w:tabs>
              <w:tab w:val="right" w:leader="dot" w:pos="9350"/>
            </w:tabs>
            <w:rPr>
              <w:rFonts w:asciiTheme="minorHAnsi" w:eastAsiaTheme="minorEastAsia" w:hAnsiTheme="minorHAnsi"/>
              <w:noProof/>
              <w:kern w:val="2"/>
              <w:szCs w:val="24"/>
              <w:lang w:val="en-GB"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92060572" w:history="1">
            <w:r w:rsidR="006234EC" w:rsidRPr="00122C25">
              <w:rPr>
                <w:rStyle w:val="Hyperlink"/>
                <w:noProof/>
              </w:rPr>
              <w:t>Executive Summary</w:t>
            </w:r>
            <w:r w:rsidR="006234EC">
              <w:rPr>
                <w:noProof/>
                <w:webHidden/>
              </w:rPr>
              <w:tab/>
            </w:r>
            <w:r w:rsidR="006234EC">
              <w:rPr>
                <w:noProof/>
                <w:webHidden/>
              </w:rPr>
              <w:fldChar w:fldCharType="begin"/>
            </w:r>
            <w:r w:rsidR="006234EC">
              <w:rPr>
                <w:noProof/>
                <w:webHidden/>
              </w:rPr>
              <w:instrText xml:space="preserve"> PAGEREF _Toc192060572 \h </w:instrText>
            </w:r>
            <w:r w:rsidR="006234EC">
              <w:rPr>
                <w:noProof/>
                <w:webHidden/>
              </w:rPr>
            </w:r>
            <w:r w:rsidR="006234EC">
              <w:rPr>
                <w:noProof/>
                <w:webHidden/>
              </w:rPr>
              <w:fldChar w:fldCharType="separate"/>
            </w:r>
            <w:r w:rsidR="006234EC">
              <w:rPr>
                <w:noProof/>
                <w:webHidden/>
              </w:rPr>
              <w:t>3</w:t>
            </w:r>
            <w:r w:rsidR="006234EC">
              <w:rPr>
                <w:noProof/>
                <w:webHidden/>
              </w:rPr>
              <w:fldChar w:fldCharType="end"/>
            </w:r>
          </w:hyperlink>
        </w:p>
        <w:p w14:paraId="344D0CE7" w14:textId="5211F585" w:rsidR="006234EC" w:rsidRDefault="006234EC">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92060573" w:history="1">
            <w:r w:rsidRPr="00122C25">
              <w:rPr>
                <w:rStyle w:val="Hyperlink"/>
                <w:noProof/>
              </w:rPr>
              <w:t>1. Introduction</w:t>
            </w:r>
            <w:r>
              <w:rPr>
                <w:noProof/>
                <w:webHidden/>
              </w:rPr>
              <w:tab/>
            </w:r>
            <w:r>
              <w:rPr>
                <w:noProof/>
                <w:webHidden/>
              </w:rPr>
              <w:fldChar w:fldCharType="begin"/>
            </w:r>
            <w:r>
              <w:rPr>
                <w:noProof/>
                <w:webHidden/>
              </w:rPr>
              <w:instrText xml:space="preserve"> PAGEREF _Toc192060573 \h </w:instrText>
            </w:r>
            <w:r>
              <w:rPr>
                <w:noProof/>
                <w:webHidden/>
              </w:rPr>
            </w:r>
            <w:r>
              <w:rPr>
                <w:noProof/>
                <w:webHidden/>
              </w:rPr>
              <w:fldChar w:fldCharType="separate"/>
            </w:r>
            <w:r>
              <w:rPr>
                <w:noProof/>
                <w:webHidden/>
              </w:rPr>
              <w:t>5</w:t>
            </w:r>
            <w:r>
              <w:rPr>
                <w:noProof/>
                <w:webHidden/>
              </w:rPr>
              <w:fldChar w:fldCharType="end"/>
            </w:r>
          </w:hyperlink>
        </w:p>
        <w:p w14:paraId="0AF4CFF0" w14:textId="5BAA0FC3" w:rsidR="006234EC" w:rsidRDefault="006234EC">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92060574" w:history="1">
            <w:r w:rsidRPr="00122C25">
              <w:rPr>
                <w:rStyle w:val="Hyperlink"/>
                <w:bCs/>
                <w:noProof/>
              </w:rPr>
              <w:t>2. Organization Structure, Culture, and Goals</w:t>
            </w:r>
            <w:r>
              <w:rPr>
                <w:noProof/>
                <w:webHidden/>
              </w:rPr>
              <w:tab/>
            </w:r>
            <w:r>
              <w:rPr>
                <w:noProof/>
                <w:webHidden/>
              </w:rPr>
              <w:fldChar w:fldCharType="begin"/>
            </w:r>
            <w:r>
              <w:rPr>
                <w:noProof/>
                <w:webHidden/>
              </w:rPr>
              <w:instrText xml:space="preserve"> PAGEREF _Toc192060574 \h </w:instrText>
            </w:r>
            <w:r>
              <w:rPr>
                <w:noProof/>
                <w:webHidden/>
              </w:rPr>
            </w:r>
            <w:r>
              <w:rPr>
                <w:noProof/>
                <w:webHidden/>
              </w:rPr>
              <w:fldChar w:fldCharType="separate"/>
            </w:r>
            <w:r>
              <w:rPr>
                <w:noProof/>
                <w:webHidden/>
              </w:rPr>
              <w:t>5</w:t>
            </w:r>
            <w:r>
              <w:rPr>
                <w:noProof/>
                <w:webHidden/>
              </w:rPr>
              <w:fldChar w:fldCharType="end"/>
            </w:r>
          </w:hyperlink>
        </w:p>
        <w:p w14:paraId="6CD9F1BE" w14:textId="0C52D7E0"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75" w:history="1">
            <w:r w:rsidRPr="00122C25">
              <w:rPr>
                <w:rStyle w:val="Hyperlink"/>
                <w:bCs/>
                <w:noProof/>
              </w:rPr>
              <w:t>2.1 Organizational Structure</w:t>
            </w:r>
            <w:r>
              <w:rPr>
                <w:noProof/>
                <w:webHidden/>
              </w:rPr>
              <w:tab/>
            </w:r>
            <w:r>
              <w:rPr>
                <w:noProof/>
                <w:webHidden/>
              </w:rPr>
              <w:fldChar w:fldCharType="begin"/>
            </w:r>
            <w:r>
              <w:rPr>
                <w:noProof/>
                <w:webHidden/>
              </w:rPr>
              <w:instrText xml:space="preserve"> PAGEREF _Toc192060575 \h </w:instrText>
            </w:r>
            <w:r>
              <w:rPr>
                <w:noProof/>
                <w:webHidden/>
              </w:rPr>
            </w:r>
            <w:r>
              <w:rPr>
                <w:noProof/>
                <w:webHidden/>
              </w:rPr>
              <w:fldChar w:fldCharType="separate"/>
            </w:r>
            <w:r>
              <w:rPr>
                <w:noProof/>
                <w:webHidden/>
              </w:rPr>
              <w:t>5</w:t>
            </w:r>
            <w:r>
              <w:rPr>
                <w:noProof/>
                <w:webHidden/>
              </w:rPr>
              <w:fldChar w:fldCharType="end"/>
            </w:r>
          </w:hyperlink>
        </w:p>
        <w:p w14:paraId="001BF1C6" w14:textId="1F14A2C3"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76" w:history="1">
            <w:r w:rsidRPr="00122C25">
              <w:rPr>
                <w:rStyle w:val="Hyperlink"/>
                <w:bCs/>
                <w:noProof/>
              </w:rPr>
              <w:t>2.2 Corporate Culture and Its Influence on Operations</w:t>
            </w:r>
            <w:r>
              <w:rPr>
                <w:noProof/>
                <w:webHidden/>
              </w:rPr>
              <w:tab/>
            </w:r>
            <w:r>
              <w:rPr>
                <w:noProof/>
                <w:webHidden/>
              </w:rPr>
              <w:fldChar w:fldCharType="begin"/>
            </w:r>
            <w:r>
              <w:rPr>
                <w:noProof/>
                <w:webHidden/>
              </w:rPr>
              <w:instrText xml:space="preserve"> PAGEREF _Toc192060576 \h </w:instrText>
            </w:r>
            <w:r>
              <w:rPr>
                <w:noProof/>
                <w:webHidden/>
              </w:rPr>
            </w:r>
            <w:r>
              <w:rPr>
                <w:noProof/>
                <w:webHidden/>
              </w:rPr>
              <w:fldChar w:fldCharType="separate"/>
            </w:r>
            <w:r>
              <w:rPr>
                <w:noProof/>
                <w:webHidden/>
              </w:rPr>
              <w:t>6</w:t>
            </w:r>
            <w:r>
              <w:rPr>
                <w:noProof/>
                <w:webHidden/>
              </w:rPr>
              <w:fldChar w:fldCharType="end"/>
            </w:r>
          </w:hyperlink>
        </w:p>
        <w:p w14:paraId="4B16F433" w14:textId="73415B1A"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77" w:history="1">
            <w:r w:rsidRPr="00122C25">
              <w:rPr>
                <w:rStyle w:val="Hyperlink"/>
                <w:noProof/>
              </w:rPr>
              <w:t>2.3 Schein’s Cultural Model to Marriott International</w:t>
            </w:r>
            <w:r>
              <w:rPr>
                <w:noProof/>
                <w:webHidden/>
              </w:rPr>
              <w:tab/>
            </w:r>
            <w:r>
              <w:rPr>
                <w:noProof/>
                <w:webHidden/>
              </w:rPr>
              <w:fldChar w:fldCharType="begin"/>
            </w:r>
            <w:r>
              <w:rPr>
                <w:noProof/>
                <w:webHidden/>
              </w:rPr>
              <w:instrText xml:space="preserve"> PAGEREF _Toc192060577 \h </w:instrText>
            </w:r>
            <w:r>
              <w:rPr>
                <w:noProof/>
                <w:webHidden/>
              </w:rPr>
            </w:r>
            <w:r>
              <w:rPr>
                <w:noProof/>
                <w:webHidden/>
              </w:rPr>
              <w:fldChar w:fldCharType="separate"/>
            </w:r>
            <w:r>
              <w:rPr>
                <w:noProof/>
                <w:webHidden/>
              </w:rPr>
              <w:t>6</w:t>
            </w:r>
            <w:r>
              <w:rPr>
                <w:noProof/>
                <w:webHidden/>
              </w:rPr>
              <w:fldChar w:fldCharType="end"/>
            </w:r>
          </w:hyperlink>
        </w:p>
        <w:p w14:paraId="4AA31601" w14:textId="0C89ADBA"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78" w:history="1">
            <w:r w:rsidRPr="00122C25">
              <w:rPr>
                <w:rStyle w:val="Hyperlink"/>
                <w:bCs/>
                <w:noProof/>
              </w:rPr>
              <w:t>2.3 Organizational Goals at the Corporate and Hotel Level</w:t>
            </w:r>
            <w:r>
              <w:rPr>
                <w:noProof/>
                <w:webHidden/>
              </w:rPr>
              <w:tab/>
            </w:r>
            <w:r>
              <w:rPr>
                <w:noProof/>
                <w:webHidden/>
              </w:rPr>
              <w:fldChar w:fldCharType="begin"/>
            </w:r>
            <w:r>
              <w:rPr>
                <w:noProof/>
                <w:webHidden/>
              </w:rPr>
              <w:instrText xml:space="preserve"> PAGEREF _Toc192060578 \h </w:instrText>
            </w:r>
            <w:r>
              <w:rPr>
                <w:noProof/>
                <w:webHidden/>
              </w:rPr>
            </w:r>
            <w:r>
              <w:rPr>
                <w:noProof/>
                <w:webHidden/>
              </w:rPr>
              <w:fldChar w:fldCharType="separate"/>
            </w:r>
            <w:r>
              <w:rPr>
                <w:noProof/>
                <w:webHidden/>
              </w:rPr>
              <w:t>7</w:t>
            </w:r>
            <w:r>
              <w:rPr>
                <w:noProof/>
                <w:webHidden/>
              </w:rPr>
              <w:fldChar w:fldCharType="end"/>
            </w:r>
          </w:hyperlink>
        </w:p>
        <w:p w14:paraId="6D90058B" w14:textId="329C57D6" w:rsidR="006234EC" w:rsidRDefault="006234EC">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92060579" w:history="1">
            <w:r w:rsidRPr="00122C25">
              <w:rPr>
                <w:rStyle w:val="Hyperlink"/>
                <w:bCs/>
                <w:noProof/>
              </w:rPr>
              <w:t>3. Recent Change Initiatives</w:t>
            </w:r>
            <w:r>
              <w:rPr>
                <w:noProof/>
                <w:webHidden/>
              </w:rPr>
              <w:tab/>
            </w:r>
            <w:r>
              <w:rPr>
                <w:noProof/>
                <w:webHidden/>
              </w:rPr>
              <w:fldChar w:fldCharType="begin"/>
            </w:r>
            <w:r>
              <w:rPr>
                <w:noProof/>
                <w:webHidden/>
              </w:rPr>
              <w:instrText xml:space="preserve"> PAGEREF _Toc192060579 \h </w:instrText>
            </w:r>
            <w:r>
              <w:rPr>
                <w:noProof/>
                <w:webHidden/>
              </w:rPr>
            </w:r>
            <w:r>
              <w:rPr>
                <w:noProof/>
                <w:webHidden/>
              </w:rPr>
              <w:fldChar w:fldCharType="separate"/>
            </w:r>
            <w:r>
              <w:rPr>
                <w:noProof/>
                <w:webHidden/>
              </w:rPr>
              <w:t>8</w:t>
            </w:r>
            <w:r>
              <w:rPr>
                <w:noProof/>
                <w:webHidden/>
              </w:rPr>
              <w:fldChar w:fldCharType="end"/>
            </w:r>
          </w:hyperlink>
        </w:p>
        <w:p w14:paraId="493195E3" w14:textId="33BE0B79"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80" w:history="1">
            <w:r w:rsidRPr="00122C25">
              <w:rPr>
                <w:rStyle w:val="Hyperlink"/>
                <w:bCs/>
                <w:noProof/>
              </w:rPr>
              <w:t>3.1 Key Change Initiatives</w:t>
            </w:r>
            <w:r>
              <w:rPr>
                <w:noProof/>
                <w:webHidden/>
              </w:rPr>
              <w:tab/>
            </w:r>
            <w:r>
              <w:rPr>
                <w:noProof/>
                <w:webHidden/>
              </w:rPr>
              <w:fldChar w:fldCharType="begin"/>
            </w:r>
            <w:r>
              <w:rPr>
                <w:noProof/>
                <w:webHidden/>
              </w:rPr>
              <w:instrText xml:space="preserve"> PAGEREF _Toc192060580 \h </w:instrText>
            </w:r>
            <w:r>
              <w:rPr>
                <w:noProof/>
                <w:webHidden/>
              </w:rPr>
            </w:r>
            <w:r>
              <w:rPr>
                <w:noProof/>
                <w:webHidden/>
              </w:rPr>
              <w:fldChar w:fldCharType="separate"/>
            </w:r>
            <w:r>
              <w:rPr>
                <w:noProof/>
                <w:webHidden/>
              </w:rPr>
              <w:t>8</w:t>
            </w:r>
            <w:r>
              <w:rPr>
                <w:noProof/>
                <w:webHidden/>
              </w:rPr>
              <w:fldChar w:fldCharType="end"/>
            </w:r>
          </w:hyperlink>
        </w:p>
        <w:p w14:paraId="0E5010FE" w14:textId="6690130B"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81" w:history="1">
            <w:r w:rsidRPr="00122C25">
              <w:rPr>
                <w:rStyle w:val="Hyperlink"/>
                <w:bCs/>
                <w:noProof/>
              </w:rPr>
              <w:t>3.2 Impact of These Changes</w:t>
            </w:r>
            <w:r>
              <w:rPr>
                <w:noProof/>
                <w:webHidden/>
              </w:rPr>
              <w:tab/>
            </w:r>
            <w:r>
              <w:rPr>
                <w:noProof/>
                <w:webHidden/>
              </w:rPr>
              <w:fldChar w:fldCharType="begin"/>
            </w:r>
            <w:r>
              <w:rPr>
                <w:noProof/>
                <w:webHidden/>
              </w:rPr>
              <w:instrText xml:space="preserve"> PAGEREF _Toc192060581 \h </w:instrText>
            </w:r>
            <w:r>
              <w:rPr>
                <w:noProof/>
                <w:webHidden/>
              </w:rPr>
            </w:r>
            <w:r>
              <w:rPr>
                <w:noProof/>
                <w:webHidden/>
              </w:rPr>
              <w:fldChar w:fldCharType="separate"/>
            </w:r>
            <w:r>
              <w:rPr>
                <w:noProof/>
                <w:webHidden/>
              </w:rPr>
              <w:t>9</w:t>
            </w:r>
            <w:r>
              <w:rPr>
                <w:noProof/>
                <w:webHidden/>
              </w:rPr>
              <w:fldChar w:fldCharType="end"/>
            </w:r>
          </w:hyperlink>
        </w:p>
        <w:p w14:paraId="30A8867D" w14:textId="581BF3DD"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82" w:history="1">
            <w:r w:rsidRPr="00122C25">
              <w:rPr>
                <w:rStyle w:val="Hyperlink"/>
                <w:bCs/>
                <w:noProof/>
              </w:rPr>
              <w:t>3.3 Change Management Evaluation</w:t>
            </w:r>
            <w:r>
              <w:rPr>
                <w:noProof/>
                <w:webHidden/>
              </w:rPr>
              <w:tab/>
            </w:r>
            <w:r>
              <w:rPr>
                <w:noProof/>
                <w:webHidden/>
              </w:rPr>
              <w:fldChar w:fldCharType="begin"/>
            </w:r>
            <w:r>
              <w:rPr>
                <w:noProof/>
                <w:webHidden/>
              </w:rPr>
              <w:instrText xml:space="preserve"> PAGEREF _Toc192060582 \h </w:instrText>
            </w:r>
            <w:r>
              <w:rPr>
                <w:noProof/>
                <w:webHidden/>
              </w:rPr>
            </w:r>
            <w:r>
              <w:rPr>
                <w:noProof/>
                <w:webHidden/>
              </w:rPr>
              <w:fldChar w:fldCharType="separate"/>
            </w:r>
            <w:r>
              <w:rPr>
                <w:noProof/>
                <w:webHidden/>
              </w:rPr>
              <w:t>9</w:t>
            </w:r>
            <w:r>
              <w:rPr>
                <w:noProof/>
                <w:webHidden/>
              </w:rPr>
              <w:fldChar w:fldCharType="end"/>
            </w:r>
          </w:hyperlink>
        </w:p>
        <w:p w14:paraId="4C3C3550" w14:textId="323A9EB9" w:rsidR="006234EC" w:rsidRDefault="006234EC">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92060583" w:history="1">
            <w:r w:rsidRPr="00122C25">
              <w:rPr>
                <w:rStyle w:val="Hyperlink"/>
                <w:bCs/>
                <w:noProof/>
              </w:rPr>
              <w:t>4. Strategic Direction</w:t>
            </w:r>
            <w:r>
              <w:rPr>
                <w:noProof/>
                <w:webHidden/>
              </w:rPr>
              <w:tab/>
            </w:r>
            <w:r>
              <w:rPr>
                <w:noProof/>
                <w:webHidden/>
              </w:rPr>
              <w:fldChar w:fldCharType="begin"/>
            </w:r>
            <w:r>
              <w:rPr>
                <w:noProof/>
                <w:webHidden/>
              </w:rPr>
              <w:instrText xml:space="preserve"> PAGEREF _Toc192060583 \h </w:instrText>
            </w:r>
            <w:r>
              <w:rPr>
                <w:noProof/>
                <w:webHidden/>
              </w:rPr>
            </w:r>
            <w:r>
              <w:rPr>
                <w:noProof/>
                <w:webHidden/>
              </w:rPr>
              <w:fldChar w:fldCharType="separate"/>
            </w:r>
            <w:r>
              <w:rPr>
                <w:noProof/>
                <w:webHidden/>
              </w:rPr>
              <w:t>10</w:t>
            </w:r>
            <w:r>
              <w:rPr>
                <w:noProof/>
                <w:webHidden/>
              </w:rPr>
              <w:fldChar w:fldCharType="end"/>
            </w:r>
          </w:hyperlink>
        </w:p>
        <w:p w14:paraId="3CD617FA" w14:textId="21DFE0BA"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84" w:history="1">
            <w:r w:rsidRPr="00122C25">
              <w:rPr>
                <w:rStyle w:val="Hyperlink"/>
                <w:bCs/>
                <w:noProof/>
              </w:rPr>
              <w:t>4.1 Strategic Vision and Long-Term Goals</w:t>
            </w:r>
            <w:r>
              <w:rPr>
                <w:noProof/>
                <w:webHidden/>
              </w:rPr>
              <w:tab/>
            </w:r>
            <w:r>
              <w:rPr>
                <w:noProof/>
                <w:webHidden/>
              </w:rPr>
              <w:fldChar w:fldCharType="begin"/>
            </w:r>
            <w:r>
              <w:rPr>
                <w:noProof/>
                <w:webHidden/>
              </w:rPr>
              <w:instrText xml:space="preserve"> PAGEREF _Toc192060584 \h </w:instrText>
            </w:r>
            <w:r>
              <w:rPr>
                <w:noProof/>
                <w:webHidden/>
              </w:rPr>
            </w:r>
            <w:r>
              <w:rPr>
                <w:noProof/>
                <w:webHidden/>
              </w:rPr>
              <w:fldChar w:fldCharType="separate"/>
            </w:r>
            <w:r>
              <w:rPr>
                <w:noProof/>
                <w:webHidden/>
              </w:rPr>
              <w:t>10</w:t>
            </w:r>
            <w:r>
              <w:rPr>
                <w:noProof/>
                <w:webHidden/>
              </w:rPr>
              <w:fldChar w:fldCharType="end"/>
            </w:r>
          </w:hyperlink>
        </w:p>
        <w:p w14:paraId="7C62AA75" w14:textId="7BDF1B73"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85" w:history="1">
            <w:r w:rsidRPr="00122C25">
              <w:rPr>
                <w:rStyle w:val="Hyperlink"/>
                <w:bCs/>
                <w:noProof/>
              </w:rPr>
              <w:t>4.2 Strategies for Achieving Long-Term Objectives</w:t>
            </w:r>
            <w:r>
              <w:rPr>
                <w:noProof/>
                <w:webHidden/>
              </w:rPr>
              <w:tab/>
            </w:r>
            <w:r>
              <w:rPr>
                <w:noProof/>
                <w:webHidden/>
              </w:rPr>
              <w:fldChar w:fldCharType="begin"/>
            </w:r>
            <w:r>
              <w:rPr>
                <w:noProof/>
                <w:webHidden/>
              </w:rPr>
              <w:instrText xml:space="preserve"> PAGEREF _Toc192060585 \h </w:instrText>
            </w:r>
            <w:r>
              <w:rPr>
                <w:noProof/>
                <w:webHidden/>
              </w:rPr>
            </w:r>
            <w:r>
              <w:rPr>
                <w:noProof/>
                <w:webHidden/>
              </w:rPr>
              <w:fldChar w:fldCharType="separate"/>
            </w:r>
            <w:r>
              <w:rPr>
                <w:noProof/>
                <w:webHidden/>
              </w:rPr>
              <w:t>10</w:t>
            </w:r>
            <w:r>
              <w:rPr>
                <w:noProof/>
                <w:webHidden/>
              </w:rPr>
              <w:fldChar w:fldCharType="end"/>
            </w:r>
          </w:hyperlink>
        </w:p>
        <w:p w14:paraId="70324622" w14:textId="491F7478" w:rsidR="006234EC" w:rsidRDefault="006234EC">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92060586" w:history="1">
            <w:r w:rsidRPr="00122C25">
              <w:rPr>
                <w:rStyle w:val="Hyperlink"/>
                <w:bCs/>
                <w:noProof/>
              </w:rPr>
              <w:t>5. Conclusion</w:t>
            </w:r>
            <w:r>
              <w:rPr>
                <w:noProof/>
                <w:webHidden/>
              </w:rPr>
              <w:tab/>
            </w:r>
            <w:r>
              <w:rPr>
                <w:noProof/>
                <w:webHidden/>
              </w:rPr>
              <w:fldChar w:fldCharType="begin"/>
            </w:r>
            <w:r>
              <w:rPr>
                <w:noProof/>
                <w:webHidden/>
              </w:rPr>
              <w:instrText xml:space="preserve"> PAGEREF _Toc192060586 \h </w:instrText>
            </w:r>
            <w:r>
              <w:rPr>
                <w:noProof/>
                <w:webHidden/>
              </w:rPr>
            </w:r>
            <w:r>
              <w:rPr>
                <w:noProof/>
                <w:webHidden/>
              </w:rPr>
              <w:fldChar w:fldCharType="separate"/>
            </w:r>
            <w:r>
              <w:rPr>
                <w:noProof/>
                <w:webHidden/>
              </w:rPr>
              <w:t>11</w:t>
            </w:r>
            <w:r>
              <w:rPr>
                <w:noProof/>
                <w:webHidden/>
              </w:rPr>
              <w:fldChar w:fldCharType="end"/>
            </w:r>
          </w:hyperlink>
        </w:p>
        <w:p w14:paraId="53B97B77" w14:textId="19428B46" w:rsidR="006234EC" w:rsidRDefault="006234EC">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92060587" w:history="1">
            <w:r w:rsidRPr="00122C25">
              <w:rPr>
                <w:rStyle w:val="Hyperlink"/>
                <w:bCs/>
                <w:noProof/>
              </w:rPr>
              <w:t>6. Recommendations</w:t>
            </w:r>
            <w:r>
              <w:rPr>
                <w:noProof/>
                <w:webHidden/>
              </w:rPr>
              <w:tab/>
            </w:r>
            <w:r>
              <w:rPr>
                <w:noProof/>
                <w:webHidden/>
              </w:rPr>
              <w:fldChar w:fldCharType="begin"/>
            </w:r>
            <w:r>
              <w:rPr>
                <w:noProof/>
                <w:webHidden/>
              </w:rPr>
              <w:instrText xml:space="preserve"> PAGEREF _Toc192060587 \h </w:instrText>
            </w:r>
            <w:r>
              <w:rPr>
                <w:noProof/>
                <w:webHidden/>
              </w:rPr>
            </w:r>
            <w:r>
              <w:rPr>
                <w:noProof/>
                <w:webHidden/>
              </w:rPr>
              <w:fldChar w:fldCharType="separate"/>
            </w:r>
            <w:r>
              <w:rPr>
                <w:noProof/>
                <w:webHidden/>
              </w:rPr>
              <w:t>12</w:t>
            </w:r>
            <w:r>
              <w:rPr>
                <w:noProof/>
                <w:webHidden/>
              </w:rPr>
              <w:fldChar w:fldCharType="end"/>
            </w:r>
          </w:hyperlink>
        </w:p>
        <w:p w14:paraId="0DC25A7A" w14:textId="0E1B653C"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88" w:history="1">
            <w:r w:rsidRPr="00122C25">
              <w:rPr>
                <w:rStyle w:val="Hyperlink"/>
                <w:bCs/>
                <w:noProof/>
              </w:rPr>
              <w:t>6.1 Enhancing Digital Transformation and AI Integration</w:t>
            </w:r>
            <w:r>
              <w:rPr>
                <w:noProof/>
                <w:webHidden/>
              </w:rPr>
              <w:tab/>
            </w:r>
            <w:r>
              <w:rPr>
                <w:noProof/>
                <w:webHidden/>
              </w:rPr>
              <w:fldChar w:fldCharType="begin"/>
            </w:r>
            <w:r>
              <w:rPr>
                <w:noProof/>
                <w:webHidden/>
              </w:rPr>
              <w:instrText xml:space="preserve"> PAGEREF _Toc192060588 \h </w:instrText>
            </w:r>
            <w:r>
              <w:rPr>
                <w:noProof/>
                <w:webHidden/>
              </w:rPr>
            </w:r>
            <w:r>
              <w:rPr>
                <w:noProof/>
                <w:webHidden/>
              </w:rPr>
              <w:fldChar w:fldCharType="separate"/>
            </w:r>
            <w:r>
              <w:rPr>
                <w:noProof/>
                <w:webHidden/>
              </w:rPr>
              <w:t>12</w:t>
            </w:r>
            <w:r>
              <w:rPr>
                <w:noProof/>
                <w:webHidden/>
              </w:rPr>
              <w:fldChar w:fldCharType="end"/>
            </w:r>
          </w:hyperlink>
        </w:p>
        <w:p w14:paraId="7415B06A" w14:textId="42794ED1"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89" w:history="1">
            <w:r w:rsidRPr="00122C25">
              <w:rPr>
                <w:rStyle w:val="Hyperlink"/>
                <w:bCs/>
                <w:noProof/>
              </w:rPr>
              <w:t>6.2 Strengthening Sustainability Commitments</w:t>
            </w:r>
            <w:r>
              <w:rPr>
                <w:noProof/>
                <w:webHidden/>
              </w:rPr>
              <w:tab/>
            </w:r>
            <w:r>
              <w:rPr>
                <w:noProof/>
                <w:webHidden/>
              </w:rPr>
              <w:fldChar w:fldCharType="begin"/>
            </w:r>
            <w:r>
              <w:rPr>
                <w:noProof/>
                <w:webHidden/>
              </w:rPr>
              <w:instrText xml:space="preserve"> PAGEREF _Toc192060589 \h </w:instrText>
            </w:r>
            <w:r>
              <w:rPr>
                <w:noProof/>
                <w:webHidden/>
              </w:rPr>
            </w:r>
            <w:r>
              <w:rPr>
                <w:noProof/>
                <w:webHidden/>
              </w:rPr>
              <w:fldChar w:fldCharType="separate"/>
            </w:r>
            <w:r>
              <w:rPr>
                <w:noProof/>
                <w:webHidden/>
              </w:rPr>
              <w:t>12</w:t>
            </w:r>
            <w:r>
              <w:rPr>
                <w:noProof/>
                <w:webHidden/>
              </w:rPr>
              <w:fldChar w:fldCharType="end"/>
            </w:r>
          </w:hyperlink>
        </w:p>
        <w:p w14:paraId="7F1DD840" w14:textId="2694458E"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90" w:history="1">
            <w:r w:rsidRPr="00122C25">
              <w:rPr>
                <w:rStyle w:val="Hyperlink"/>
                <w:bCs/>
                <w:noProof/>
              </w:rPr>
              <w:t>6.3 Improving Organizational and Employee Engagement</w:t>
            </w:r>
            <w:r>
              <w:rPr>
                <w:noProof/>
                <w:webHidden/>
              </w:rPr>
              <w:tab/>
            </w:r>
            <w:r>
              <w:rPr>
                <w:noProof/>
                <w:webHidden/>
              </w:rPr>
              <w:fldChar w:fldCharType="begin"/>
            </w:r>
            <w:r>
              <w:rPr>
                <w:noProof/>
                <w:webHidden/>
              </w:rPr>
              <w:instrText xml:space="preserve"> PAGEREF _Toc192060590 \h </w:instrText>
            </w:r>
            <w:r>
              <w:rPr>
                <w:noProof/>
                <w:webHidden/>
              </w:rPr>
            </w:r>
            <w:r>
              <w:rPr>
                <w:noProof/>
                <w:webHidden/>
              </w:rPr>
              <w:fldChar w:fldCharType="separate"/>
            </w:r>
            <w:r>
              <w:rPr>
                <w:noProof/>
                <w:webHidden/>
              </w:rPr>
              <w:t>12</w:t>
            </w:r>
            <w:r>
              <w:rPr>
                <w:noProof/>
                <w:webHidden/>
              </w:rPr>
              <w:fldChar w:fldCharType="end"/>
            </w:r>
          </w:hyperlink>
        </w:p>
        <w:p w14:paraId="36FE184B" w14:textId="5B87B964"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91" w:history="1">
            <w:r w:rsidRPr="00122C25">
              <w:rPr>
                <w:rStyle w:val="Hyperlink"/>
                <w:bCs/>
                <w:noProof/>
              </w:rPr>
              <w:t>6.4 Expanding Personalization and Customer Loyalty Strategies</w:t>
            </w:r>
            <w:r>
              <w:rPr>
                <w:noProof/>
                <w:webHidden/>
              </w:rPr>
              <w:tab/>
            </w:r>
            <w:r>
              <w:rPr>
                <w:noProof/>
                <w:webHidden/>
              </w:rPr>
              <w:fldChar w:fldCharType="begin"/>
            </w:r>
            <w:r>
              <w:rPr>
                <w:noProof/>
                <w:webHidden/>
              </w:rPr>
              <w:instrText xml:space="preserve"> PAGEREF _Toc192060591 \h </w:instrText>
            </w:r>
            <w:r>
              <w:rPr>
                <w:noProof/>
                <w:webHidden/>
              </w:rPr>
            </w:r>
            <w:r>
              <w:rPr>
                <w:noProof/>
                <w:webHidden/>
              </w:rPr>
              <w:fldChar w:fldCharType="separate"/>
            </w:r>
            <w:r>
              <w:rPr>
                <w:noProof/>
                <w:webHidden/>
              </w:rPr>
              <w:t>13</w:t>
            </w:r>
            <w:r>
              <w:rPr>
                <w:noProof/>
                <w:webHidden/>
              </w:rPr>
              <w:fldChar w:fldCharType="end"/>
            </w:r>
          </w:hyperlink>
        </w:p>
        <w:p w14:paraId="4CF6D7A0" w14:textId="58C04748" w:rsidR="006234EC" w:rsidRDefault="006234EC">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92060592" w:history="1">
            <w:r w:rsidRPr="00122C25">
              <w:rPr>
                <w:rStyle w:val="Hyperlink"/>
                <w:bCs/>
                <w:noProof/>
              </w:rPr>
              <w:t>6.5 Adopting a More Flexible Business Model</w:t>
            </w:r>
            <w:r>
              <w:rPr>
                <w:noProof/>
                <w:webHidden/>
              </w:rPr>
              <w:tab/>
            </w:r>
            <w:r>
              <w:rPr>
                <w:noProof/>
                <w:webHidden/>
              </w:rPr>
              <w:fldChar w:fldCharType="begin"/>
            </w:r>
            <w:r>
              <w:rPr>
                <w:noProof/>
                <w:webHidden/>
              </w:rPr>
              <w:instrText xml:space="preserve"> PAGEREF _Toc192060592 \h </w:instrText>
            </w:r>
            <w:r>
              <w:rPr>
                <w:noProof/>
                <w:webHidden/>
              </w:rPr>
            </w:r>
            <w:r>
              <w:rPr>
                <w:noProof/>
                <w:webHidden/>
              </w:rPr>
              <w:fldChar w:fldCharType="separate"/>
            </w:r>
            <w:r>
              <w:rPr>
                <w:noProof/>
                <w:webHidden/>
              </w:rPr>
              <w:t>13</w:t>
            </w:r>
            <w:r>
              <w:rPr>
                <w:noProof/>
                <w:webHidden/>
              </w:rPr>
              <w:fldChar w:fldCharType="end"/>
            </w:r>
          </w:hyperlink>
        </w:p>
        <w:p w14:paraId="53BC2899" w14:textId="34BB01EC" w:rsidR="004E6531" w:rsidRDefault="004E6531" w:rsidP="004E6531">
          <w:r>
            <w:rPr>
              <w:b/>
              <w:bCs/>
              <w:noProof/>
            </w:rPr>
            <w:fldChar w:fldCharType="end"/>
          </w:r>
        </w:p>
      </w:sdtContent>
    </w:sdt>
    <w:p w14:paraId="746E6599" w14:textId="77777777" w:rsidR="004E6531" w:rsidRDefault="004E6531" w:rsidP="004E6531">
      <w:pPr>
        <w:spacing w:before="0" w:after="160" w:line="360" w:lineRule="auto"/>
        <w:jc w:val="left"/>
      </w:pPr>
    </w:p>
    <w:p w14:paraId="4A3C8DA0" w14:textId="77777777" w:rsidR="004E6531" w:rsidRDefault="004E6531" w:rsidP="004E6531">
      <w:pPr>
        <w:spacing w:before="0" w:after="160" w:line="259" w:lineRule="auto"/>
        <w:jc w:val="left"/>
        <w:rPr>
          <w:rFonts w:eastAsiaTheme="majorEastAsia" w:cstheme="majorBidi"/>
          <w:b/>
          <w:sz w:val="28"/>
          <w:szCs w:val="32"/>
        </w:rPr>
      </w:pPr>
      <w:r>
        <w:br w:type="page"/>
      </w:r>
    </w:p>
    <w:p w14:paraId="10121476" w14:textId="77777777" w:rsidR="004E6531" w:rsidRDefault="004E6531" w:rsidP="004E6531">
      <w:pPr>
        <w:pStyle w:val="Heading1"/>
        <w:spacing w:line="360" w:lineRule="auto"/>
      </w:pPr>
      <w:bookmarkStart w:id="1" w:name="_Toc192060573"/>
      <w:r>
        <w:lastRenderedPageBreak/>
        <w:t>1. Introduction</w:t>
      </w:r>
      <w:bookmarkEnd w:id="1"/>
    </w:p>
    <w:p w14:paraId="20A7A479" w14:textId="77777777" w:rsidR="004E6531" w:rsidRDefault="004E6531" w:rsidP="004E6531">
      <w:pPr>
        <w:spacing w:line="360" w:lineRule="auto"/>
      </w:pPr>
      <w:r w:rsidRPr="000A4906">
        <w:t>Marriott International is a well-established hospitality company with a rich variety of hotels as well as resorts for its clients. It began in 1927 as a root beer stand in Washington, D.C., and was not directly in the hotel business until it entered it in 1957 with the establishment of Twin Bridges Marriott. At present, Marriott is managing more than eight thousand hotels in one hundred thirty-nine countries and regions. Marriott is a full-service, upscale, and select-service hotel operation that affects the loyalty program Bonvoy, which has over 180 million members. This paper assesses Marriott at the corporate level and at chain/individual hotels to ascertain its organizational structure, corporate culture, strategic plan and change initiatives. It describes how Marriott proactively navigates the defined market trends towards digitization, sustainability, and rivalry in the hospitality industry.</w:t>
      </w:r>
    </w:p>
    <w:p w14:paraId="5A5D72DF" w14:textId="77777777" w:rsidR="004E6531" w:rsidRDefault="004E6531" w:rsidP="004E6531">
      <w:pPr>
        <w:spacing w:line="360" w:lineRule="auto"/>
      </w:pPr>
      <w:r>
        <w:rPr>
          <w:noProof/>
        </w:rPr>
        <w:drawing>
          <wp:inline distT="0" distB="0" distL="0" distR="0" wp14:anchorId="20FB1B73" wp14:editId="5C58C200">
            <wp:extent cx="5943600" cy="1841195"/>
            <wp:effectExtent l="0" t="0" r="0" b="6985"/>
            <wp:docPr id="5" name="Picture 5" descr="Marriott International Reports Fourth Quarter and Full Year 2024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0" descr="Marriott International Reports Fourth Quarter and Full Year 2024 Results"/>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943600" cy="1841195"/>
                    </a:xfrm>
                    <a:prstGeom prst="rect">
                      <a:avLst/>
                    </a:prstGeom>
                    <a:noFill/>
                    <a:ln>
                      <a:noFill/>
                    </a:ln>
                  </pic:spPr>
                </pic:pic>
              </a:graphicData>
            </a:graphic>
          </wp:inline>
        </w:drawing>
      </w:r>
    </w:p>
    <w:p w14:paraId="4E0CC8B3" w14:textId="77777777" w:rsidR="004E6531" w:rsidRDefault="004E6531" w:rsidP="004E6531">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3A7313">
        <w:t>Marriott International (Marriott International, Inc, 2025)</w:t>
      </w:r>
    </w:p>
    <w:p w14:paraId="5B7C6640" w14:textId="77777777" w:rsidR="004E6531" w:rsidRDefault="004E6531" w:rsidP="004E6531">
      <w:pPr>
        <w:pStyle w:val="Heading1"/>
        <w:spacing w:line="360" w:lineRule="auto"/>
        <w:rPr>
          <w:sz w:val="27"/>
        </w:rPr>
      </w:pPr>
      <w:bookmarkStart w:id="2" w:name="_Toc192060574"/>
      <w:r>
        <w:rPr>
          <w:rStyle w:val="Strong"/>
          <w:b w:val="0"/>
        </w:rPr>
        <w:t>2. Organization Structure, Culture, and Goals</w:t>
      </w:r>
      <w:bookmarkEnd w:id="2"/>
    </w:p>
    <w:p w14:paraId="4E6B7C51" w14:textId="77777777" w:rsidR="004E6531" w:rsidRDefault="004E6531" w:rsidP="004E6531">
      <w:pPr>
        <w:pStyle w:val="Heading2"/>
        <w:spacing w:line="360" w:lineRule="auto"/>
      </w:pPr>
      <w:bookmarkStart w:id="3" w:name="_Toc192060575"/>
      <w:r>
        <w:rPr>
          <w:rStyle w:val="Strong"/>
          <w:b w:val="0"/>
        </w:rPr>
        <w:t>2.1 Organizational Structure</w:t>
      </w:r>
      <w:bookmarkEnd w:id="3"/>
    </w:p>
    <w:p w14:paraId="0C8D0BD1" w14:textId="77777777" w:rsidR="004E6531" w:rsidRDefault="004E6531" w:rsidP="004E6531">
      <w:pPr>
        <w:spacing w:line="360" w:lineRule="auto"/>
      </w:pPr>
      <w:r>
        <w:t xml:space="preserve">Marriott International is then run under a hierarchical organizational structure as part of its global operations. Corporate leadership creates strategic objectives, while regional and property-level management executes operational production (Marriott International, 2025). This structure makes the organization more efficient by clearly and definably defining roles and responsibilities across different levels of the organization, which promotes the effectiveness of decision-making and, in turn, of the operation itself </w:t>
      </w:r>
      <w:r w:rsidRPr="00262BA5">
        <w:t>(Marriott International, 2018)</w:t>
      </w:r>
      <w:r>
        <w:t>.</w:t>
      </w:r>
    </w:p>
    <w:p w14:paraId="1A0B02FB" w14:textId="77777777" w:rsidR="004E6531" w:rsidRDefault="004E6531" w:rsidP="004E6531">
      <w:pPr>
        <w:spacing w:line="360" w:lineRule="auto"/>
      </w:pPr>
      <w:r w:rsidRPr="00262BA5">
        <w:lastRenderedPageBreak/>
        <w:t>The corporate level of Marriott organization strategies includes the selection of important transactions and brands by CEOs and the executive board. At the same time, regional managers implement the operational level following policies selected at the corporate level for their areas. Individual hotel employees are usually responsible for managing the hotel. Effective corporate governance is accompanied by transparency and accountability; regional decision-making minimizes the negative impact of hierarchical organization when responding to the market since it may cause some delays</w:t>
      </w:r>
      <w:r>
        <w:t xml:space="preserve"> </w:t>
      </w:r>
      <w:r w:rsidRPr="00262BA5">
        <w:t>(Araújo, Alves, and Romero, 2023).</w:t>
      </w:r>
    </w:p>
    <w:p w14:paraId="337E178C" w14:textId="77777777" w:rsidR="004E6531" w:rsidRDefault="004E6531" w:rsidP="004E6531">
      <w:pPr>
        <w:pStyle w:val="Heading2"/>
        <w:spacing w:line="360" w:lineRule="auto"/>
      </w:pPr>
      <w:bookmarkStart w:id="4" w:name="_Toc192060576"/>
      <w:r>
        <w:rPr>
          <w:rStyle w:val="Strong"/>
          <w:b w:val="0"/>
        </w:rPr>
        <w:t>2.2 Corporate Culture and Its Influence on Operations</w:t>
      </w:r>
      <w:bookmarkEnd w:id="4"/>
    </w:p>
    <w:p w14:paraId="075A30D3" w14:textId="77777777" w:rsidR="004E6531" w:rsidRDefault="004E6531" w:rsidP="004E6531">
      <w:pPr>
        <w:spacing w:line="360" w:lineRule="auto"/>
      </w:pPr>
      <w:r w:rsidRPr="00361344">
        <w:t>The core values of Marriott International's culture are "Put People First," "Seeking Excellence," and "Act with Integrity" (Marriott International, 2015). These values have contributed to Marriott International's reputation as an employee-friendly organization by creating a culture that is customer service-driven, employee-centred, and ethical.</w:t>
      </w:r>
    </w:p>
    <w:p w14:paraId="2A0FD5C3" w14:textId="77777777" w:rsidR="004E6531" w:rsidRDefault="004E6531" w:rsidP="004E6531">
      <w:pPr>
        <w:pStyle w:val="Heading2"/>
        <w:spacing w:line="360" w:lineRule="auto"/>
      </w:pPr>
      <w:bookmarkStart w:id="5" w:name="_Toc192060577"/>
      <w:r>
        <w:t>2.3 Schein’s Cultural Model to Marriott International</w:t>
      </w:r>
      <w:bookmarkEnd w:id="5"/>
    </w:p>
    <w:p w14:paraId="3C885BC7" w14:textId="77777777" w:rsidR="004E6531" w:rsidRDefault="004E6531" w:rsidP="004E6531">
      <w:pPr>
        <w:spacing w:line="360" w:lineRule="auto"/>
      </w:pPr>
      <w:r>
        <w:rPr>
          <w:noProof/>
        </w:rPr>
        <w:drawing>
          <wp:inline distT="0" distB="0" distL="0" distR="0" wp14:anchorId="54174ED1" wp14:editId="1D379972">
            <wp:extent cx="5826642" cy="2987749"/>
            <wp:effectExtent l="0" t="0" r="0" b="222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635B523" w14:textId="77777777" w:rsidR="004E6531" w:rsidRDefault="004E6531" w:rsidP="004E6531">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7D33E9">
        <w:t>Schein’s Cultural Model to Marriott International</w:t>
      </w:r>
    </w:p>
    <w:p w14:paraId="6572E35E" w14:textId="77777777" w:rsidR="004E6531" w:rsidRDefault="004E6531" w:rsidP="004E6531">
      <w:pPr>
        <w:spacing w:line="360" w:lineRule="auto"/>
      </w:pPr>
      <w:r w:rsidRPr="00262BA5">
        <w:t>The culture at Marriott encourages employees to improve performance and rationalizes satisfaction, loyalty, and the strength of teamwork, inclusiveness, and long-term orientation</w:t>
      </w:r>
      <w:r>
        <w:t xml:space="preserve"> </w:t>
      </w:r>
      <w:r w:rsidRPr="00262BA5">
        <w:t xml:space="preserve">(Ghumiem et al., 2023). Ethical issues, diversity, and corporate social responsibility, such as </w:t>
      </w:r>
      <w:r w:rsidRPr="00262BA5">
        <w:lastRenderedPageBreak/>
        <w:t>reducing the carbon footprint and designing eco-friendly products, are in line with the company's overall sustainable business development</w:t>
      </w:r>
      <w:r>
        <w:t xml:space="preserve"> </w:t>
      </w:r>
      <w:r w:rsidRPr="00262BA5">
        <w:t>(Bolat and Korkmaz, 2021).</w:t>
      </w:r>
    </w:p>
    <w:p w14:paraId="03897D52" w14:textId="77777777" w:rsidR="004E6531" w:rsidRDefault="004E6531" w:rsidP="004E6531">
      <w:pPr>
        <w:pStyle w:val="Heading2"/>
        <w:spacing w:line="360" w:lineRule="auto"/>
      </w:pPr>
      <w:bookmarkStart w:id="6" w:name="_Toc192060578"/>
      <w:r>
        <w:rPr>
          <w:rStyle w:val="Strong"/>
          <w:b w:val="0"/>
        </w:rPr>
        <w:t>2.3 Organizational Goals at the Corporate and Hotel Level</w:t>
      </w:r>
      <w:bookmarkEnd w:id="6"/>
    </w:p>
    <w:p w14:paraId="4C99630B" w14:textId="77777777" w:rsidR="004E6531" w:rsidRDefault="004E6531" w:rsidP="004E6531">
      <w:pPr>
        <w:spacing w:line="360" w:lineRule="auto"/>
      </w:pPr>
      <w:r w:rsidRPr="00361344">
        <w:t>Marriott International has short-term and long-term strategic goals, the latter of which is progressive in nature and aligned with the corporate vision and operational performance.</w:t>
      </w:r>
    </w:p>
    <w:p w14:paraId="337975F0" w14:textId="77777777" w:rsidR="004E6531" w:rsidRDefault="004E6531" w:rsidP="004E6531">
      <w:pPr>
        <w:pStyle w:val="Caption"/>
      </w:pPr>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594D13">
        <w:t>Organizational Goals at the Corporate and Hotel Level</w:t>
      </w:r>
    </w:p>
    <w:tbl>
      <w:tblPr>
        <w:tblStyle w:val="GridTable4-Accent3"/>
        <w:tblW w:w="0" w:type="auto"/>
        <w:tblLook w:val="04A0" w:firstRow="1" w:lastRow="0" w:firstColumn="1" w:lastColumn="0" w:noHBand="0" w:noVBand="1"/>
      </w:tblPr>
      <w:tblGrid>
        <w:gridCol w:w="1555"/>
        <w:gridCol w:w="5384"/>
        <w:gridCol w:w="2411"/>
      </w:tblGrid>
      <w:tr w:rsidR="004E6531" w14:paraId="0B8454FC" w14:textId="77777777" w:rsidTr="001E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hideMark/>
          </w:tcPr>
          <w:p w14:paraId="55AE42F7" w14:textId="77777777" w:rsidR="004E6531" w:rsidRPr="00A962A4" w:rsidRDefault="004E6531" w:rsidP="001E74F1">
            <w:pPr>
              <w:spacing w:line="360" w:lineRule="auto"/>
            </w:pPr>
            <w:r w:rsidRPr="00A962A4">
              <w:t>Category</w:t>
            </w:r>
          </w:p>
        </w:tc>
        <w:tc>
          <w:tcPr>
            <w:tcW w:w="0" w:type="auto"/>
            <w:hideMark/>
          </w:tcPr>
          <w:p w14:paraId="194BE236" w14:textId="77777777" w:rsidR="004E6531" w:rsidRPr="00A962A4" w:rsidRDefault="004E6531" w:rsidP="001E74F1">
            <w:pPr>
              <w:spacing w:line="360" w:lineRule="auto"/>
              <w:cnfStyle w:val="100000000000" w:firstRow="1" w:lastRow="0" w:firstColumn="0" w:lastColumn="0" w:oddVBand="0" w:evenVBand="0" w:oddHBand="0" w:evenHBand="0" w:firstRowFirstColumn="0" w:firstRowLastColumn="0" w:lastRowFirstColumn="0" w:lastRowLastColumn="0"/>
            </w:pPr>
            <w:r w:rsidRPr="00A962A4">
              <w:t>Goals / Metrics</w:t>
            </w:r>
          </w:p>
        </w:tc>
        <w:tc>
          <w:tcPr>
            <w:tcW w:w="0" w:type="auto"/>
            <w:hideMark/>
          </w:tcPr>
          <w:p w14:paraId="0F31FB5A" w14:textId="77777777" w:rsidR="004E6531" w:rsidRPr="00A962A4" w:rsidRDefault="004E6531" w:rsidP="001E74F1">
            <w:pPr>
              <w:spacing w:line="360" w:lineRule="auto"/>
              <w:cnfStyle w:val="100000000000" w:firstRow="1" w:lastRow="0" w:firstColumn="0" w:lastColumn="0" w:oddVBand="0" w:evenVBand="0" w:oddHBand="0" w:evenHBand="0" w:firstRowFirstColumn="0" w:firstRowLastColumn="0" w:lastRowFirstColumn="0" w:lastRowLastColumn="0"/>
            </w:pPr>
            <w:r w:rsidRPr="00A962A4">
              <w:t>Reference</w:t>
            </w:r>
          </w:p>
        </w:tc>
      </w:tr>
      <w:tr w:rsidR="004E6531" w14:paraId="5FC12B4E" w14:textId="77777777" w:rsidTr="001E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vMerge w:val="restart"/>
            <w:hideMark/>
          </w:tcPr>
          <w:p w14:paraId="6EBCFE3E" w14:textId="77777777" w:rsidR="004E6531" w:rsidRPr="00A962A4" w:rsidRDefault="004E6531" w:rsidP="001E74F1">
            <w:pPr>
              <w:spacing w:line="360" w:lineRule="auto"/>
            </w:pPr>
            <w:r w:rsidRPr="00A962A4">
              <w:t>Short-Term Goals</w:t>
            </w:r>
          </w:p>
        </w:tc>
        <w:tc>
          <w:tcPr>
            <w:tcW w:w="0" w:type="auto"/>
            <w:hideMark/>
          </w:tcPr>
          <w:p w14:paraId="6372814A"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Enhancing customer satisfaction through improved service offerings</w:t>
            </w:r>
          </w:p>
        </w:tc>
        <w:tc>
          <w:tcPr>
            <w:tcW w:w="0" w:type="auto"/>
            <w:hideMark/>
          </w:tcPr>
          <w:p w14:paraId="3AD6DBF5"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Lee et al., 2021</w:t>
            </w:r>
          </w:p>
        </w:tc>
      </w:tr>
      <w:tr w:rsidR="004E6531" w14:paraId="1DEFED93" w14:textId="77777777" w:rsidTr="001E74F1">
        <w:tc>
          <w:tcPr>
            <w:cnfStyle w:val="001000000000" w:firstRow="0" w:lastRow="0" w:firstColumn="1" w:lastColumn="0" w:oddVBand="0" w:evenVBand="0" w:oddHBand="0" w:evenHBand="0" w:firstRowFirstColumn="0" w:firstRowLastColumn="0" w:lastRowFirstColumn="0" w:lastRowLastColumn="0"/>
            <w:tcW w:w="1555" w:type="dxa"/>
            <w:vMerge/>
            <w:hideMark/>
          </w:tcPr>
          <w:p w14:paraId="10A73F5B" w14:textId="77777777" w:rsidR="004E6531" w:rsidRPr="00A962A4" w:rsidRDefault="004E6531" w:rsidP="001E74F1">
            <w:pPr>
              <w:spacing w:line="360" w:lineRule="auto"/>
            </w:pPr>
          </w:p>
        </w:tc>
        <w:tc>
          <w:tcPr>
            <w:tcW w:w="0" w:type="auto"/>
            <w:hideMark/>
          </w:tcPr>
          <w:p w14:paraId="7B364EBC" w14:textId="77777777" w:rsidR="004E6531" w:rsidRPr="00A962A4" w:rsidRDefault="004E6531" w:rsidP="001E74F1">
            <w:pPr>
              <w:spacing w:line="360" w:lineRule="auto"/>
              <w:cnfStyle w:val="000000000000" w:firstRow="0" w:lastRow="0" w:firstColumn="0" w:lastColumn="0" w:oddVBand="0" w:evenVBand="0" w:oddHBand="0" w:evenHBand="0" w:firstRowFirstColumn="0" w:firstRowLastColumn="0" w:lastRowFirstColumn="0" w:lastRowLastColumn="0"/>
            </w:pPr>
            <w:r w:rsidRPr="00A962A4">
              <w:t>Increasing digital transformation, such as AI-powered chatbots for guest services</w:t>
            </w:r>
          </w:p>
        </w:tc>
        <w:tc>
          <w:tcPr>
            <w:tcW w:w="0" w:type="auto"/>
            <w:hideMark/>
          </w:tcPr>
          <w:p w14:paraId="6D7789D7" w14:textId="77777777" w:rsidR="004E6531" w:rsidRPr="00A962A4" w:rsidRDefault="004E6531" w:rsidP="001E74F1">
            <w:pPr>
              <w:spacing w:line="360" w:lineRule="auto"/>
              <w:cnfStyle w:val="000000000000" w:firstRow="0" w:lastRow="0" w:firstColumn="0" w:lastColumn="0" w:oddVBand="0" w:evenVBand="0" w:oddHBand="0" w:evenHBand="0" w:firstRowFirstColumn="0" w:firstRowLastColumn="0" w:lastRowFirstColumn="0" w:lastRowLastColumn="0"/>
            </w:pPr>
            <w:r w:rsidRPr="00A962A4">
              <w:t>Gunawan, Putri, and Meidia, 2020</w:t>
            </w:r>
          </w:p>
        </w:tc>
      </w:tr>
      <w:tr w:rsidR="004E6531" w14:paraId="6CE889E8" w14:textId="77777777" w:rsidTr="001E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vMerge/>
            <w:hideMark/>
          </w:tcPr>
          <w:p w14:paraId="1879EC9B" w14:textId="77777777" w:rsidR="004E6531" w:rsidRPr="00A962A4" w:rsidRDefault="004E6531" w:rsidP="001E74F1">
            <w:pPr>
              <w:spacing w:line="360" w:lineRule="auto"/>
            </w:pPr>
          </w:p>
        </w:tc>
        <w:tc>
          <w:tcPr>
            <w:tcW w:w="0" w:type="auto"/>
            <w:hideMark/>
          </w:tcPr>
          <w:p w14:paraId="1876C5BC"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Expanding loyalty programs to boost customer retention and repeat bookings</w:t>
            </w:r>
          </w:p>
        </w:tc>
        <w:tc>
          <w:tcPr>
            <w:tcW w:w="0" w:type="auto"/>
            <w:hideMark/>
          </w:tcPr>
          <w:p w14:paraId="1F8C8575"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Marriott International, 2025</w:t>
            </w:r>
          </w:p>
        </w:tc>
      </w:tr>
      <w:tr w:rsidR="004E6531" w14:paraId="1E4C5061" w14:textId="77777777" w:rsidTr="001E74F1">
        <w:tc>
          <w:tcPr>
            <w:cnfStyle w:val="001000000000" w:firstRow="0" w:lastRow="0" w:firstColumn="1" w:lastColumn="0" w:oddVBand="0" w:evenVBand="0" w:oddHBand="0" w:evenHBand="0" w:firstRowFirstColumn="0" w:firstRowLastColumn="0" w:lastRowFirstColumn="0" w:lastRowLastColumn="0"/>
            <w:tcW w:w="1555" w:type="dxa"/>
            <w:vMerge w:val="restart"/>
            <w:hideMark/>
          </w:tcPr>
          <w:p w14:paraId="2FFF7029" w14:textId="77777777" w:rsidR="004E6531" w:rsidRPr="00A962A4" w:rsidRDefault="004E6531" w:rsidP="001E74F1">
            <w:pPr>
              <w:spacing w:line="360" w:lineRule="auto"/>
            </w:pPr>
            <w:r w:rsidRPr="00A962A4">
              <w:t>Long-Term Goals</w:t>
            </w:r>
          </w:p>
        </w:tc>
        <w:tc>
          <w:tcPr>
            <w:tcW w:w="0" w:type="auto"/>
            <w:hideMark/>
          </w:tcPr>
          <w:p w14:paraId="757E9781" w14:textId="77777777" w:rsidR="004E6531" w:rsidRPr="00A962A4" w:rsidRDefault="004E6531" w:rsidP="001E74F1">
            <w:pPr>
              <w:spacing w:line="360" w:lineRule="auto"/>
              <w:cnfStyle w:val="000000000000" w:firstRow="0" w:lastRow="0" w:firstColumn="0" w:lastColumn="0" w:oddVBand="0" w:evenVBand="0" w:oddHBand="0" w:evenHBand="0" w:firstRowFirstColumn="0" w:firstRowLastColumn="0" w:lastRowFirstColumn="0" w:lastRowLastColumn="0"/>
            </w:pPr>
            <w:r w:rsidRPr="00A962A4">
              <w:t>Achieving sustainability targets, including carbon neutrality by 2050</w:t>
            </w:r>
          </w:p>
        </w:tc>
        <w:tc>
          <w:tcPr>
            <w:tcW w:w="0" w:type="auto"/>
            <w:hideMark/>
          </w:tcPr>
          <w:p w14:paraId="14871C10" w14:textId="77777777" w:rsidR="004E6531" w:rsidRPr="00A962A4" w:rsidRDefault="004E6531" w:rsidP="001E74F1">
            <w:pPr>
              <w:spacing w:line="360" w:lineRule="auto"/>
              <w:cnfStyle w:val="000000000000" w:firstRow="0" w:lastRow="0" w:firstColumn="0" w:lastColumn="0" w:oddVBand="0" w:evenVBand="0" w:oddHBand="0" w:evenHBand="0" w:firstRowFirstColumn="0" w:firstRowLastColumn="0" w:lastRowFirstColumn="0" w:lastRowLastColumn="0"/>
            </w:pPr>
            <w:r w:rsidRPr="00A962A4">
              <w:t>Marriott International, 2018</w:t>
            </w:r>
          </w:p>
        </w:tc>
      </w:tr>
      <w:tr w:rsidR="004E6531" w14:paraId="1FB90899" w14:textId="77777777" w:rsidTr="001E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vMerge/>
            <w:hideMark/>
          </w:tcPr>
          <w:p w14:paraId="70B46669" w14:textId="77777777" w:rsidR="004E6531" w:rsidRPr="00A962A4" w:rsidRDefault="004E6531" w:rsidP="001E74F1">
            <w:pPr>
              <w:spacing w:line="360" w:lineRule="auto"/>
            </w:pPr>
          </w:p>
        </w:tc>
        <w:tc>
          <w:tcPr>
            <w:tcW w:w="0" w:type="auto"/>
            <w:hideMark/>
          </w:tcPr>
          <w:p w14:paraId="53C9CDCB"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Expanding global presence, particularly in emerging markets</w:t>
            </w:r>
          </w:p>
        </w:tc>
        <w:tc>
          <w:tcPr>
            <w:tcW w:w="0" w:type="auto"/>
            <w:hideMark/>
          </w:tcPr>
          <w:p w14:paraId="7FE8C420"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Marriott International, Inc., 2025</w:t>
            </w:r>
          </w:p>
        </w:tc>
      </w:tr>
      <w:tr w:rsidR="004E6531" w14:paraId="414DE4F3" w14:textId="77777777" w:rsidTr="001E74F1">
        <w:tc>
          <w:tcPr>
            <w:cnfStyle w:val="001000000000" w:firstRow="0" w:lastRow="0" w:firstColumn="1" w:lastColumn="0" w:oddVBand="0" w:evenVBand="0" w:oddHBand="0" w:evenHBand="0" w:firstRowFirstColumn="0" w:firstRowLastColumn="0" w:lastRowFirstColumn="0" w:lastRowLastColumn="0"/>
            <w:tcW w:w="1555" w:type="dxa"/>
            <w:vMerge/>
            <w:hideMark/>
          </w:tcPr>
          <w:p w14:paraId="188B8A8F" w14:textId="77777777" w:rsidR="004E6531" w:rsidRPr="00A962A4" w:rsidRDefault="004E6531" w:rsidP="001E74F1">
            <w:pPr>
              <w:spacing w:line="360" w:lineRule="auto"/>
            </w:pPr>
          </w:p>
        </w:tc>
        <w:tc>
          <w:tcPr>
            <w:tcW w:w="0" w:type="auto"/>
            <w:hideMark/>
          </w:tcPr>
          <w:p w14:paraId="3C4F5389" w14:textId="77777777" w:rsidR="004E6531" w:rsidRPr="00A962A4" w:rsidRDefault="004E6531" w:rsidP="001E74F1">
            <w:pPr>
              <w:spacing w:line="360" w:lineRule="auto"/>
              <w:cnfStyle w:val="000000000000" w:firstRow="0" w:lastRow="0" w:firstColumn="0" w:lastColumn="0" w:oddVBand="0" w:evenVBand="0" w:oddHBand="0" w:evenHBand="0" w:firstRowFirstColumn="0" w:firstRowLastColumn="0" w:lastRowFirstColumn="0" w:lastRowLastColumn="0"/>
            </w:pPr>
            <w:r w:rsidRPr="00A962A4">
              <w:t>Strengthening technological integration to improve operational efficiency</w:t>
            </w:r>
          </w:p>
        </w:tc>
        <w:tc>
          <w:tcPr>
            <w:tcW w:w="0" w:type="auto"/>
            <w:hideMark/>
          </w:tcPr>
          <w:p w14:paraId="4A448277" w14:textId="77777777" w:rsidR="004E6531" w:rsidRPr="00A962A4" w:rsidRDefault="004E6531" w:rsidP="001E74F1">
            <w:pPr>
              <w:spacing w:line="360" w:lineRule="auto"/>
              <w:cnfStyle w:val="000000000000" w:firstRow="0" w:lastRow="0" w:firstColumn="0" w:lastColumn="0" w:oddVBand="0" w:evenVBand="0" w:oddHBand="0" w:evenHBand="0" w:firstRowFirstColumn="0" w:firstRowLastColumn="0" w:lastRowFirstColumn="0" w:lastRowLastColumn="0"/>
            </w:pPr>
            <w:r w:rsidRPr="00A962A4">
              <w:t>Truong et al., 2020</w:t>
            </w:r>
          </w:p>
        </w:tc>
      </w:tr>
      <w:tr w:rsidR="004E6531" w14:paraId="38678F19" w14:textId="77777777" w:rsidTr="001E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vMerge w:val="restart"/>
            <w:hideMark/>
          </w:tcPr>
          <w:p w14:paraId="64551052" w14:textId="77777777" w:rsidR="004E6531" w:rsidRPr="00A962A4" w:rsidRDefault="004E6531" w:rsidP="001E74F1">
            <w:pPr>
              <w:spacing w:line="360" w:lineRule="auto"/>
            </w:pPr>
            <w:r w:rsidRPr="00A962A4">
              <w:t>Key Performance Indicators (KPIs)</w:t>
            </w:r>
          </w:p>
        </w:tc>
        <w:tc>
          <w:tcPr>
            <w:tcW w:w="0" w:type="auto"/>
            <w:hideMark/>
          </w:tcPr>
          <w:p w14:paraId="2E601606"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Customer Satisfaction Index (CSI): Evaluates guest experiences through feedback and reviews</w:t>
            </w:r>
          </w:p>
        </w:tc>
        <w:tc>
          <w:tcPr>
            <w:tcW w:w="0" w:type="auto"/>
            <w:hideMark/>
          </w:tcPr>
          <w:p w14:paraId="37399DCD"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Khanna and Sharma, 2023</w:t>
            </w:r>
          </w:p>
        </w:tc>
      </w:tr>
      <w:tr w:rsidR="004E6531" w14:paraId="3603E99B" w14:textId="77777777" w:rsidTr="001E74F1">
        <w:tc>
          <w:tcPr>
            <w:cnfStyle w:val="001000000000" w:firstRow="0" w:lastRow="0" w:firstColumn="1" w:lastColumn="0" w:oddVBand="0" w:evenVBand="0" w:oddHBand="0" w:evenHBand="0" w:firstRowFirstColumn="0" w:firstRowLastColumn="0" w:lastRowFirstColumn="0" w:lastRowLastColumn="0"/>
            <w:tcW w:w="1555" w:type="dxa"/>
            <w:vMerge/>
            <w:hideMark/>
          </w:tcPr>
          <w:p w14:paraId="77E992D0" w14:textId="77777777" w:rsidR="004E6531" w:rsidRPr="00A962A4" w:rsidRDefault="004E6531" w:rsidP="001E74F1">
            <w:pPr>
              <w:spacing w:line="360" w:lineRule="auto"/>
            </w:pPr>
          </w:p>
        </w:tc>
        <w:tc>
          <w:tcPr>
            <w:tcW w:w="0" w:type="auto"/>
            <w:hideMark/>
          </w:tcPr>
          <w:p w14:paraId="56B22282" w14:textId="77777777" w:rsidR="004E6531" w:rsidRPr="00A962A4" w:rsidRDefault="004E6531" w:rsidP="001E74F1">
            <w:pPr>
              <w:spacing w:line="360" w:lineRule="auto"/>
              <w:cnfStyle w:val="000000000000" w:firstRow="0" w:lastRow="0" w:firstColumn="0" w:lastColumn="0" w:oddVBand="0" w:evenVBand="0" w:oddHBand="0" w:evenHBand="0" w:firstRowFirstColumn="0" w:firstRowLastColumn="0" w:lastRowFirstColumn="0" w:lastRowLastColumn="0"/>
            </w:pPr>
            <w:r w:rsidRPr="00A962A4">
              <w:t>Employee Engagement Scores: Tracks workforce satisfaction and productivity</w:t>
            </w:r>
          </w:p>
        </w:tc>
        <w:tc>
          <w:tcPr>
            <w:tcW w:w="0" w:type="auto"/>
            <w:hideMark/>
          </w:tcPr>
          <w:p w14:paraId="0AE2B344" w14:textId="77777777" w:rsidR="004E6531" w:rsidRPr="00A962A4" w:rsidRDefault="004E6531" w:rsidP="001E74F1">
            <w:pPr>
              <w:spacing w:line="360" w:lineRule="auto"/>
              <w:cnfStyle w:val="000000000000" w:firstRow="0" w:lastRow="0" w:firstColumn="0" w:lastColumn="0" w:oddVBand="0" w:evenVBand="0" w:oddHBand="0" w:evenHBand="0" w:firstRowFirstColumn="0" w:firstRowLastColumn="0" w:lastRowFirstColumn="0" w:lastRowLastColumn="0"/>
            </w:pPr>
            <w:r w:rsidRPr="00A962A4">
              <w:t>Mihai, Birchi, and Cojoacă, 2024</w:t>
            </w:r>
          </w:p>
        </w:tc>
      </w:tr>
      <w:tr w:rsidR="004E6531" w14:paraId="0EB52695" w14:textId="77777777" w:rsidTr="001E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vMerge/>
            <w:hideMark/>
          </w:tcPr>
          <w:p w14:paraId="4F25B819" w14:textId="77777777" w:rsidR="004E6531" w:rsidRPr="00A962A4" w:rsidRDefault="004E6531" w:rsidP="001E74F1">
            <w:pPr>
              <w:spacing w:line="360" w:lineRule="auto"/>
            </w:pPr>
          </w:p>
        </w:tc>
        <w:tc>
          <w:tcPr>
            <w:tcW w:w="0" w:type="auto"/>
            <w:hideMark/>
          </w:tcPr>
          <w:p w14:paraId="75147A49"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Revenue per Available Room (RevPAR): Measures financial performance per room</w:t>
            </w:r>
          </w:p>
        </w:tc>
        <w:tc>
          <w:tcPr>
            <w:tcW w:w="0" w:type="auto"/>
            <w:hideMark/>
          </w:tcPr>
          <w:p w14:paraId="2DA42F3E" w14:textId="77777777" w:rsidR="004E6531" w:rsidRPr="00A962A4" w:rsidRDefault="004E6531" w:rsidP="001E74F1">
            <w:pPr>
              <w:spacing w:line="360" w:lineRule="auto"/>
              <w:cnfStyle w:val="000000100000" w:firstRow="0" w:lastRow="0" w:firstColumn="0" w:lastColumn="0" w:oddVBand="0" w:evenVBand="0" w:oddHBand="1" w:evenHBand="0" w:firstRowFirstColumn="0" w:firstRowLastColumn="0" w:lastRowFirstColumn="0" w:lastRowLastColumn="0"/>
            </w:pPr>
            <w:r w:rsidRPr="00A962A4">
              <w:t>Gregory et al., 2023</w:t>
            </w:r>
          </w:p>
        </w:tc>
      </w:tr>
    </w:tbl>
    <w:p w14:paraId="5695D96D" w14:textId="77777777" w:rsidR="004E6531" w:rsidRDefault="004E6531" w:rsidP="004E6531">
      <w:pPr>
        <w:spacing w:line="360" w:lineRule="auto"/>
      </w:pPr>
    </w:p>
    <w:p w14:paraId="4DC30662" w14:textId="77777777" w:rsidR="004E6531" w:rsidRDefault="004E6531" w:rsidP="004E6531">
      <w:pPr>
        <w:spacing w:line="360" w:lineRule="auto"/>
      </w:pPr>
      <w:r>
        <w:t xml:space="preserve">Marriott uses training programs, performance incentives, quality assurance measures, and other means to ensure that individual hotel operations conform to corporate objectives. Because hotels need to follow brand standards and be flexible in their approach to the local markets (Wangsa et al., 2024), they face challenges in this business. This balance allows Marriott to have a consistent brand identity while meeting local customer needs </w:t>
      </w:r>
      <w:r w:rsidRPr="00262BA5">
        <w:t>(Ma, Li, and Tong, 2022)</w:t>
      </w:r>
      <w:r>
        <w:t>.</w:t>
      </w:r>
    </w:p>
    <w:p w14:paraId="4DD8CAFF" w14:textId="77777777" w:rsidR="004E6531" w:rsidRDefault="004E6531" w:rsidP="004E6531">
      <w:pPr>
        <w:spacing w:line="360" w:lineRule="auto"/>
      </w:pPr>
      <w:r>
        <w:t>Overall, Marriott International's leadership, culture, and goal-setting are structured and successful, contributing to its sustained success in the global hospitality industry. Marriott has effectively integrated strong corporate governance, a well-drawn-out cultural framework, and measurable objectives to set industry benchmarks for service excellence and business performance.</w:t>
      </w:r>
    </w:p>
    <w:p w14:paraId="10F079F9" w14:textId="77777777" w:rsidR="004E6531" w:rsidRDefault="004E6531" w:rsidP="004E6531">
      <w:pPr>
        <w:pStyle w:val="Heading1"/>
        <w:spacing w:line="360" w:lineRule="auto"/>
        <w:rPr>
          <w:sz w:val="27"/>
        </w:rPr>
      </w:pPr>
      <w:bookmarkStart w:id="7" w:name="_Toc192060579"/>
      <w:r>
        <w:rPr>
          <w:rStyle w:val="Strong"/>
          <w:b w:val="0"/>
        </w:rPr>
        <w:t>3. Recent Change Initiatives</w:t>
      </w:r>
      <w:bookmarkEnd w:id="7"/>
    </w:p>
    <w:p w14:paraId="7483F70F" w14:textId="77777777" w:rsidR="004E6531" w:rsidRDefault="004E6531" w:rsidP="004E6531">
      <w:pPr>
        <w:pStyle w:val="Heading2"/>
        <w:spacing w:line="360" w:lineRule="auto"/>
      </w:pPr>
      <w:bookmarkStart w:id="8" w:name="_Toc192060580"/>
      <w:r>
        <w:rPr>
          <w:rStyle w:val="Strong"/>
          <w:b w:val="0"/>
        </w:rPr>
        <w:t>3.1 Key Change Initiatives</w:t>
      </w:r>
      <w:bookmarkEnd w:id="8"/>
    </w:p>
    <w:p w14:paraId="05A9DDBC" w14:textId="77777777" w:rsidR="004E6531" w:rsidRDefault="004E6531" w:rsidP="004E6531">
      <w:pPr>
        <w:spacing w:line="360" w:lineRule="auto"/>
      </w:pPr>
      <w:r>
        <w:t>During the past decade, Marriott International has increasingly made strategic changes that allow it to enhance its global strength and operational effectiveness. They have remodelled the company's positioning in the market and improved customer engagement.</w:t>
      </w:r>
    </w:p>
    <w:p w14:paraId="60AC1C55" w14:textId="77777777" w:rsidR="004E6531" w:rsidRPr="00361344" w:rsidRDefault="004E6531" w:rsidP="004E6531">
      <w:pPr>
        <w:spacing w:line="360" w:lineRule="auto"/>
        <w:rPr>
          <w:b/>
          <w:bCs/>
        </w:rPr>
      </w:pPr>
      <w:r w:rsidRPr="00361344">
        <w:rPr>
          <w:b/>
          <w:bCs/>
        </w:rPr>
        <w:t>Marriott International’s acquisition of Starwood Hotels and Resorts:</w:t>
      </w:r>
      <w:r>
        <w:t xml:space="preserve"> Marriott's acquisitions of Starwood Hotels and Resorts increased its portfolio to more than 30 brands, making it the world's greatest hotel brand (Marriott International, 2018). Marriott's move into competition was also made possible with this integration; at the same time, this integration has brought new challenges to the integration of the Starwood workforce. To do this, Marriott then united the Starwood Preferred Guest (SPG) with its Bonvoy loyalty program for customers and brand loyalty (Lee et al., </w:t>
      </w:r>
      <w:r w:rsidRPr="00361344">
        <w:t>2021).</w:t>
      </w:r>
    </w:p>
    <w:p w14:paraId="45C7DB12" w14:textId="77777777" w:rsidR="004E6531" w:rsidRDefault="004E6531" w:rsidP="004E6531">
      <w:pPr>
        <w:spacing w:line="360" w:lineRule="auto"/>
      </w:pPr>
      <w:r w:rsidRPr="00361344">
        <w:rPr>
          <w:b/>
          <w:bCs/>
        </w:rPr>
        <w:t>Marriott Digital Transformation and AI Integration:</w:t>
      </w:r>
      <w:r>
        <w:t xml:space="preserve"> To provide an efficient and comfortable guest experience, Marriott has deployed AI-powered chatbots to reduce waiting time and speedy check-in systems (Gunawan, Putri, and Meidia 2020). The company also integrated AI-driven dynamic pricing for revenue management. For instance, Hilton's AI-based pricing policies </w:t>
      </w:r>
      <w:r>
        <w:lastRenderedPageBreak/>
        <w:t>(Marković et al., 2020) and Marriott's AI-built booking system recommend guests with personalized suggestions.</w:t>
      </w:r>
    </w:p>
    <w:p w14:paraId="1F2C147D" w14:textId="77777777" w:rsidR="004E6531" w:rsidRDefault="004E6531" w:rsidP="004E6531">
      <w:pPr>
        <w:spacing w:line="360" w:lineRule="auto"/>
      </w:pPr>
      <w:r w:rsidRPr="00361344">
        <w:rPr>
          <w:b/>
          <w:bCs/>
        </w:rPr>
        <w:t>Reduction in Marriott's Environmental Impact</w:t>
      </w:r>
      <w:r>
        <w:t>: Marriott has undertaken to minimize its effects on the environment by eliminating single-use plastics and boosting energy efficiency in all Marriott properties (Ma et al., 2022). In the case of The Ritz-Carlton, Geneva, for instance, the company has used LEED-certified hotel designs and smart energy systems to significantly cut down on carbon emissions. Accor's Planet 21 sustainability program (Silva et al., 2024) also fits Marriott's goal of becoming carbon neutral by 2050.</w:t>
      </w:r>
    </w:p>
    <w:p w14:paraId="791AB5CE" w14:textId="77777777" w:rsidR="004E6531" w:rsidRDefault="004E6531" w:rsidP="004E6531">
      <w:pPr>
        <w:spacing w:line="360" w:lineRule="auto"/>
      </w:pPr>
      <w:r w:rsidRPr="00361344">
        <w:rPr>
          <w:b/>
          <w:bCs/>
        </w:rPr>
        <w:t>Reaching into Emerging Markets</w:t>
      </w:r>
      <w:r>
        <w:t>: Marriott has proactively entered high-growth territories such as the Middle East, Africa, and the Asia Pacific (Marriott International, Inc., 2025). In 2023, Marriott opened more than 100 new hotels in China to boost its luxury and business travel presence. This type of expansion strategy dovetails with Marriott's demand to boost its global market share and take pressure off of revenues in North America.</w:t>
      </w:r>
    </w:p>
    <w:p w14:paraId="10BD9B19" w14:textId="77777777" w:rsidR="004E6531" w:rsidRDefault="004E6531" w:rsidP="004E6531">
      <w:pPr>
        <w:spacing w:line="360" w:lineRule="auto"/>
      </w:pPr>
      <w:r w:rsidRPr="009F5CFB">
        <w:rPr>
          <w:b/>
        </w:rPr>
        <w:t>Enhancing Customer Loyalty Programs:</w:t>
      </w:r>
      <w:r>
        <w:t xml:space="preserve"> </w:t>
      </w:r>
      <w:r w:rsidRPr="00361344">
        <w:t>In 2019, Marriott combined AI-derived insights to personalize the guest experience and created the Bonvoy loyalty program (Lee et al., 2021). Bonvoy offers another opportunity: customers can earn and redeem points through the entire portfolio of brands within the brand. This has truly boosted Marriott's loyalty membership to 180 million worldwide (Marriott International, 2025).</w:t>
      </w:r>
    </w:p>
    <w:p w14:paraId="54F3B9EA" w14:textId="77777777" w:rsidR="004E6531" w:rsidRDefault="004E6531" w:rsidP="004E6531">
      <w:pPr>
        <w:pStyle w:val="Heading2"/>
        <w:spacing w:line="360" w:lineRule="auto"/>
      </w:pPr>
      <w:bookmarkStart w:id="9" w:name="_Toc192060581"/>
      <w:r>
        <w:rPr>
          <w:rStyle w:val="Strong"/>
          <w:b w:val="0"/>
        </w:rPr>
        <w:t>3.2 Impact of These Changes</w:t>
      </w:r>
      <w:bookmarkEnd w:id="9"/>
      <w:r>
        <w:rPr>
          <w:rStyle w:val="Strong"/>
          <w:b w:val="0"/>
        </w:rPr>
        <w:tab/>
      </w:r>
    </w:p>
    <w:p w14:paraId="253029D0" w14:textId="77777777" w:rsidR="004E6531" w:rsidRDefault="004E6531" w:rsidP="004E6531">
      <w:pPr>
        <w:spacing w:line="360" w:lineRule="auto"/>
      </w:pPr>
      <w:r w:rsidRPr="00262BA5">
        <w:t>Employees and organizational customer service improved upon Marriott's acquisition of Starwood; this helped improve brand awareness but threatened cultural transformation</w:t>
      </w:r>
      <w:r>
        <w:t xml:space="preserve"> </w:t>
      </w:r>
      <w:r w:rsidRPr="00262BA5">
        <w:t>(Ghumiem et al., 2023). Technological advancement enhanced the procedure, aiding Bonvoy's membership and retention. Promoting sustainability was favourable to brand image and decreased housekeeping expenses, which consumers with an interest in sustainability would appreciate</w:t>
      </w:r>
      <w:r>
        <w:t xml:space="preserve"> </w:t>
      </w:r>
      <w:r w:rsidRPr="00262BA5">
        <w:t>(Khanna &amp; Sharma, 2023).</w:t>
      </w:r>
    </w:p>
    <w:p w14:paraId="43C0E84E" w14:textId="77777777" w:rsidR="004E6531" w:rsidRDefault="004E6531" w:rsidP="004E6531">
      <w:pPr>
        <w:pStyle w:val="Heading2"/>
        <w:spacing w:line="360" w:lineRule="auto"/>
      </w:pPr>
      <w:bookmarkStart w:id="10" w:name="_Toc192060582"/>
      <w:r>
        <w:rPr>
          <w:rStyle w:val="Strong"/>
          <w:b w:val="0"/>
        </w:rPr>
        <w:t>3.3 Change Management Evaluation</w:t>
      </w:r>
      <w:bookmarkEnd w:id="10"/>
    </w:p>
    <w:p w14:paraId="5A9CC6B6" w14:textId="77777777" w:rsidR="004E6531" w:rsidRDefault="004E6531" w:rsidP="004E6531">
      <w:pPr>
        <w:spacing w:line="360" w:lineRule="auto"/>
      </w:pPr>
      <w:r w:rsidRPr="00361344">
        <w:t xml:space="preserve">Marriott's change initiatives are consistent with key change management theories, such as Kotter's 8-Step Model (seeking urgency, vision, and stakeholder buy-in) (Buick, 2023). The company's </w:t>
      </w:r>
      <w:r w:rsidRPr="00361344">
        <w:lastRenderedPageBreak/>
        <w:t>strategic acquisitions and digital shifts depict Kotter's principle of short-term wins to long-term transformation. Despite these challenges, Lewin's Change Theory presents difficulties in unfreezing and refreezing new organizational structures as outlined in his work (Hameli, 2024), particularly in cultural integration and adapting to new staff, as seen in this work.</w:t>
      </w:r>
    </w:p>
    <w:p w14:paraId="4B800DCE" w14:textId="77777777" w:rsidR="004E6531" w:rsidRDefault="004E6531" w:rsidP="004E6531">
      <w:pPr>
        <w:pStyle w:val="Heading1"/>
        <w:spacing w:line="360" w:lineRule="auto"/>
      </w:pPr>
      <w:bookmarkStart w:id="11" w:name="_Toc192060583"/>
      <w:r>
        <w:rPr>
          <w:rStyle w:val="Strong"/>
          <w:b w:val="0"/>
        </w:rPr>
        <w:t>4. Strategic Direction</w:t>
      </w:r>
      <w:bookmarkEnd w:id="11"/>
    </w:p>
    <w:p w14:paraId="0A9E81F0" w14:textId="77777777" w:rsidR="004E6531" w:rsidRDefault="004E6531" w:rsidP="004E6531">
      <w:pPr>
        <w:pStyle w:val="Heading2"/>
        <w:spacing w:line="360" w:lineRule="auto"/>
      </w:pPr>
      <w:bookmarkStart w:id="12" w:name="_Toc192060584"/>
      <w:r>
        <w:rPr>
          <w:rStyle w:val="Strong"/>
          <w:b w:val="0"/>
        </w:rPr>
        <w:t>4.1 Strategic Vision and Long-Term Goals</w:t>
      </w:r>
      <w:bookmarkEnd w:id="12"/>
    </w:p>
    <w:p w14:paraId="7DEB8F74" w14:textId="77777777" w:rsidR="004E6531" w:rsidRDefault="004E6531" w:rsidP="004E6531">
      <w:pPr>
        <w:spacing w:line="360" w:lineRule="auto"/>
      </w:pPr>
      <w:r>
        <w:rPr>
          <w:noProof/>
        </w:rPr>
        <w:drawing>
          <wp:inline distT="0" distB="0" distL="0" distR="0" wp14:anchorId="79066501" wp14:editId="055DD938">
            <wp:extent cx="5910565" cy="2923954"/>
            <wp:effectExtent l="0" t="0" r="1460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0EB48FB" w14:textId="77777777" w:rsidR="004E6531" w:rsidRDefault="004E6531" w:rsidP="004E6531">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69648C">
        <w:t>Strategic Vision and Long-Term Goals</w:t>
      </w:r>
    </w:p>
    <w:p w14:paraId="6D5B9820" w14:textId="77777777" w:rsidR="004E6531" w:rsidRDefault="004E6531" w:rsidP="004E6531">
      <w:pPr>
        <w:pStyle w:val="Heading2"/>
        <w:spacing w:line="360" w:lineRule="auto"/>
      </w:pPr>
      <w:bookmarkStart w:id="13" w:name="_Toc192060585"/>
      <w:r>
        <w:rPr>
          <w:rStyle w:val="Strong"/>
          <w:b w:val="0"/>
        </w:rPr>
        <w:t>4.2 Strategies for Achieving Long-Term Objectives</w:t>
      </w:r>
      <w:bookmarkEnd w:id="13"/>
    </w:p>
    <w:p w14:paraId="6DE806BF" w14:textId="77777777" w:rsidR="004E6531" w:rsidRDefault="004E6531" w:rsidP="004E6531">
      <w:pPr>
        <w:spacing w:line="360" w:lineRule="auto"/>
      </w:pPr>
      <w:r w:rsidRPr="00667C8E">
        <w:t>Marriott has adopted a multi-dimensional approach to its long-term objectives. The company uses AI and data analytics to personalize guest experiences, optimize prices, and improve operational efficiency (Marković et al., 2020). For example, Marriott manages to integrate sustainability projects of eco-friendly construction in eco-efficient hotels that contribute to global sustainability targets (Silva et al., 2024). Brand storytelling, digital engagement, and investor marketing are prioritized by the company's marketing strategy, which is outlined in partnership with airlines and travel platforms (Truong et al., 2020).</w:t>
      </w:r>
    </w:p>
    <w:p w14:paraId="7957C8CA" w14:textId="77777777" w:rsidR="004E6531" w:rsidRDefault="004E6531" w:rsidP="004E6531">
      <w:pPr>
        <w:spacing w:line="360" w:lineRule="auto"/>
      </w:pPr>
      <w:r>
        <w:rPr>
          <w:noProof/>
        </w:rPr>
        <w:lastRenderedPageBreak/>
        <w:drawing>
          <wp:inline distT="0" distB="0" distL="0" distR="0" wp14:anchorId="7C62E493" wp14:editId="78E7D42F">
            <wp:extent cx="5868538" cy="2811438"/>
            <wp:effectExtent l="38100" t="0" r="3746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7BEF3E1" w14:textId="77777777" w:rsidR="004E6531" w:rsidRDefault="004E6531" w:rsidP="004E6531">
      <w:pPr>
        <w:pStyle w:val="Caption"/>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C440CA">
        <w:t>Strategies for Achieving Long-Term Objectives</w:t>
      </w:r>
    </w:p>
    <w:p w14:paraId="339EDA60" w14:textId="77777777" w:rsidR="004E6531" w:rsidRPr="009F5CFB" w:rsidRDefault="004E6531" w:rsidP="004E6531">
      <w:pPr>
        <w:spacing w:before="100" w:beforeAutospacing="1" w:after="100" w:afterAutospacing="1" w:line="360" w:lineRule="auto"/>
        <w:jc w:val="left"/>
        <w:rPr>
          <w:rFonts w:eastAsia="Times New Roman" w:cs="Times New Roman"/>
          <w:szCs w:val="24"/>
        </w:rPr>
      </w:pPr>
      <w:r w:rsidRPr="00667C8E">
        <w:rPr>
          <w:rFonts w:eastAsia="Times New Roman" w:cs="Times New Roman"/>
          <w:szCs w:val="24"/>
        </w:rPr>
        <w:t>Technology, sustainability, and strategic partnerships achieve Marriott's long-term industry leadership and customer satisfaction</w:t>
      </w:r>
      <w:r w:rsidRPr="009F5CFB">
        <w:rPr>
          <w:rFonts w:ascii="Arial" w:eastAsia="Times New Roman" w:hAnsi="Arial" w:cs="Arial"/>
          <w:vanish/>
          <w:sz w:val="16"/>
          <w:szCs w:val="16"/>
        </w:rPr>
        <w:t>. Top of FormBottom of Form</w:t>
      </w:r>
    </w:p>
    <w:p w14:paraId="702C7455" w14:textId="77777777" w:rsidR="004E6531" w:rsidRDefault="004E6531" w:rsidP="004E6531">
      <w:pPr>
        <w:pStyle w:val="Heading1"/>
        <w:spacing w:line="360" w:lineRule="auto"/>
      </w:pPr>
      <w:bookmarkStart w:id="14" w:name="_Toc192060586"/>
      <w:r>
        <w:rPr>
          <w:rStyle w:val="Strong"/>
          <w:b w:val="0"/>
        </w:rPr>
        <w:t>5. Conclusion</w:t>
      </w:r>
      <w:bookmarkEnd w:id="14"/>
    </w:p>
    <w:p w14:paraId="7477CA73" w14:textId="77777777" w:rsidR="004E6531" w:rsidRDefault="004E6531" w:rsidP="004E6531">
      <w:pPr>
        <w:pStyle w:val="NormalWeb"/>
        <w:spacing w:line="360" w:lineRule="auto"/>
        <w:jc w:val="both"/>
        <w:rPr>
          <w:rFonts w:eastAsiaTheme="minorHAnsi" w:cstheme="minorBidi"/>
          <w:szCs w:val="22"/>
        </w:rPr>
      </w:pPr>
      <w:r w:rsidRPr="00667C8E">
        <w:rPr>
          <w:rFonts w:eastAsiaTheme="minorHAnsi" w:cstheme="minorBidi"/>
          <w:szCs w:val="22"/>
        </w:rPr>
        <w:t>To the executive leadership team to foster strategic relationships with the real estate investors focusing on areas like the Asia-Pacific and Middle-East that are expensive real estate markets. Looking at the activities that Hilton has achieved, best practices on how Marriott can also successfully duplicate asset-light growth can be identified. Over the next five years, this Model should be implemented to gradually decrease capital intensity and raise the ratio of returns on investment (Yiannaku, 2024).</w:t>
      </w:r>
      <w:r>
        <w:rPr>
          <w:rFonts w:eastAsiaTheme="minorHAnsi" w:cstheme="minorBidi"/>
          <w:szCs w:val="22"/>
        </w:rPr>
        <w:t xml:space="preserve"> </w:t>
      </w:r>
      <w:r w:rsidRPr="00667C8E">
        <w:rPr>
          <w:rFonts w:eastAsiaTheme="minorHAnsi" w:cstheme="minorBidi"/>
          <w:szCs w:val="22"/>
        </w:rPr>
        <w:t>These are some of the ways through which Marriott can be in a position to improve its operations, creating customer satisfaction and long-term strategic change within the hospitality industry.</w:t>
      </w:r>
    </w:p>
    <w:p w14:paraId="329E9B6F" w14:textId="77777777" w:rsidR="004E6531" w:rsidRDefault="004E6531" w:rsidP="004E6531">
      <w:pPr>
        <w:pStyle w:val="Heading1"/>
        <w:spacing w:line="360" w:lineRule="auto"/>
      </w:pPr>
      <w:bookmarkStart w:id="15" w:name="_Toc192060587"/>
      <w:r>
        <w:rPr>
          <w:rStyle w:val="Strong"/>
          <w:b w:val="0"/>
        </w:rPr>
        <w:lastRenderedPageBreak/>
        <w:t>6. Recommendations</w:t>
      </w:r>
      <w:bookmarkEnd w:id="15"/>
    </w:p>
    <w:p w14:paraId="09BDBC55" w14:textId="77777777" w:rsidR="004E6531" w:rsidRDefault="004E6531" w:rsidP="004E6531">
      <w:pPr>
        <w:pStyle w:val="Heading2"/>
        <w:spacing w:line="360" w:lineRule="auto"/>
      </w:pPr>
      <w:bookmarkStart w:id="16" w:name="_Toc192060588"/>
      <w:r>
        <w:rPr>
          <w:rStyle w:val="Strong"/>
          <w:b w:val="0"/>
        </w:rPr>
        <w:t>6.1 Enhancing Digital Transformation and AI Integration</w:t>
      </w:r>
      <w:bookmarkEnd w:id="16"/>
    </w:p>
    <w:p w14:paraId="4EEEB589" w14:textId="77777777" w:rsidR="004E6531" w:rsidRDefault="004E6531" w:rsidP="004E6531">
      <w:pPr>
        <w:spacing w:line="360" w:lineRule="auto"/>
      </w:pPr>
      <w:r w:rsidRPr="00667C8E">
        <w:t>To enhance the ways through which it enhances the guests' satisfaction and productivity, Marriott should consider an increase in the utilization of the new generation of technologies based on artificial intelligence, for instance, chatbots, check-in by voice, and predictive analysis (Gunawan et al., 2020; Marković et al., 2020). Front desk services may be made more efficient, accelerated response time, and personalized services will be provided for guests through AI.</w:t>
      </w:r>
    </w:p>
    <w:p w14:paraId="36B72C80" w14:textId="77777777" w:rsidR="004E6531" w:rsidRDefault="004E6531" w:rsidP="004E6531">
      <w:pPr>
        <w:spacing w:line="360" w:lineRule="auto"/>
      </w:pPr>
      <w:r>
        <w:rPr>
          <w:rStyle w:val="Strong"/>
          <w:rFonts w:eastAsiaTheme="majorEastAsia"/>
        </w:rPr>
        <w:t>Implementation:</w:t>
      </w:r>
      <w:r>
        <w:t xml:space="preserve"> </w:t>
      </w:r>
      <w:r w:rsidRPr="00667C8E">
        <w:t>This is a crucial area where Marriott should ensure that its technology and operations market with AI solutions providers in the development and testing processes. It may be initially deployed in areas where demand is high, such as metropolitan hotels and airports, with the expansion into other regions to occur within three years. To grow, investments should be devoted to further developing the Bonvoy app alongside AI recommendations, as in the case of Hilton companies (Truong et al., 2020).</w:t>
      </w:r>
    </w:p>
    <w:p w14:paraId="2C32FB46" w14:textId="77777777" w:rsidR="004E6531" w:rsidRDefault="004E6531" w:rsidP="004E6531">
      <w:pPr>
        <w:pStyle w:val="Heading2"/>
        <w:spacing w:line="360" w:lineRule="auto"/>
      </w:pPr>
      <w:bookmarkStart w:id="17" w:name="_Toc192060589"/>
      <w:r>
        <w:rPr>
          <w:rStyle w:val="Strong"/>
          <w:b w:val="0"/>
        </w:rPr>
        <w:t>6.2 Strengthening Sustainability Commitments</w:t>
      </w:r>
      <w:bookmarkEnd w:id="17"/>
    </w:p>
    <w:p w14:paraId="3ADE7EED" w14:textId="77777777" w:rsidR="004E6531" w:rsidRDefault="004E6531" w:rsidP="004E6531">
      <w:pPr>
        <w:spacing w:line="360" w:lineRule="auto"/>
      </w:pPr>
      <w:r w:rsidRPr="00667C8E">
        <w:t>Marriott must make sustainability a business imperative by adopting new concepts in renewable energy, green building, and waste management. Sustainable practices go beyond merely meeting legal obligations and furthering the business's image while triggering a positive response from consumers who relate to sustainability (Wangsa et al., 2024; Ma et al., 2022).</w:t>
      </w:r>
    </w:p>
    <w:p w14:paraId="04B8236B" w14:textId="77777777" w:rsidR="004E6531" w:rsidRPr="00667C8E" w:rsidRDefault="004E6531" w:rsidP="004E6531">
      <w:pPr>
        <w:spacing w:line="360" w:lineRule="auto"/>
        <w:rPr>
          <w:b/>
          <w:bCs/>
        </w:rPr>
      </w:pPr>
      <w:r>
        <w:rPr>
          <w:rStyle w:val="Strong"/>
          <w:rFonts w:eastAsiaTheme="majorEastAsia"/>
        </w:rPr>
        <w:t>Implementation</w:t>
      </w:r>
      <w:r w:rsidRPr="00667C8E">
        <w:rPr>
          <w:rStyle w:val="Strong"/>
          <w:rFonts w:eastAsiaTheme="majorEastAsia"/>
        </w:rPr>
        <w:t xml:space="preserve">: The fourth recommendation is to </w:t>
      </w:r>
      <w:r>
        <w:rPr>
          <w:rStyle w:val="Strong"/>
          <w:rFonts w:eastAsiaTheme="majorEastAsia"/>
        </w:rPr>
        <w:t>ask property managers and environmental agencies for assistance in installing energy-efficient</w:t>
      </w:r>
      <w:r w:rsidRPr="00667C8E">
        <w:rPr>
          <w:rStyle w:val="Strong"/>
          <w:rFonts w:eastAsiaTheme="majorEastAsia"/>
        </w:rPr>
        <w:t xml:space="preserve"> technologies. They suggested that all new buildings utilize solar panels, water-saving devices and equipment, and environmentally </w:t>
      </w:r>
      <w:r>
        <w:rPr>
          <w:rStyle w:val="Strong"/>
          <w:rFonts w:eastAsiaTheme="majorEastAsia"/>
        </w:rPr>
        <w:t>friendly</w:t>
      </w:r>
      <w:r w:rsidRPr="00667C8E">
        <w:rPr>
          <w:rStyle w:val="Strong"/>
          <w:rFonts w:eastAsiaTheme="majorEastAsia"/>
        </w:rPr>
        <w:t xml:space="preserve"> materials. Marriott can embrace such green </w:t>
      </w:r>
      <w:r>
        <w:rPr>
          <w:rStyle w:val="Strong"/>
          <w:rFonts w:eastAsiaTheme="majorEastAsia"/>
        </w:rPr>
        <w:t>certifications</w:t>
      </w:r>
      <w:r w:rsidRPr="00667C8E">
        <w:rPr>
          <w:rStyle w:val="Strong"/>
          <w:rFonts w:eastAsiaTheme="majorEastAsia"/>
        </w:rPr>
        <w:t xml:space="preserve"> as Accor's Planet 21 as a sign of the company's sustainability efforts (Silva et al., 2024).</w:t>
      </w:r>
    </w:p>
    <w:p w14:paraId="273360C4" w14:textId="77777777" w:rsidR="004E6531" w:rsidRDefault="004E6531" w:rsidP="004E6531">
      <w:pPr>
        <w:pStyle w:val="Heading2"/>
        <w:spacing w:line="360" w:lineRule="auto"/>
      </w:pPr>
      <w:bookmarkStart w:id="18" w:name="_Toc192060590"/>
      <w:r>
        <w:rPr>
          <w:rStyle w:val="Strong"/>
          <w:b w:val="0"/>
        </w:rPr>
        <w:t>6.3 Improving Organizational and Employee Engagement</w:t>
      </w:r>
      <w:bookmarkEnd w:id="18"/>
    </w:p>
    <w:p w14:paraId="79140F13" w14:textId="77777777" w:rsidR="004E6531" w:rsidRDefault="004E6531" w:rsidP="004E6531">
      <w:pPr>
        <w:spacing w:line="360" w:lineRule="auto"/>
      </w:pPr>
      <w:r w:rsidRPr="00667C8E">
        <w:t xml:space="preserve">A strong corporate culture and engaged workforce increase service quality and employee retention. Specifically, leadership development should be improved, organizational communication should </w:t>
      </w:r>
      <w:r w:rsidRPr="00667C8E">
        <w:lastRenderedPageBreak/>
        <w:t>be improved and promoted, and the company must embrace diversity and inclusion (Ghumiem et al., 2023; Hameli, 2024).</w:t>
      </w:r>
    </w:p>
    <w:p w14:paraId="11933DDF" w14:textId="77777777" w:rsidR="004E6531" w:rsidRDefault="004E6531" w:rsidP="004E6531">
      <w:pPr>
        <w:spacing w:line="360" w:lineRule="auto"/>
      </w:pPr>
      <w:r>
        <w:rPr>
          <w:rStyle w:val="Strong"/>
          <w:rFonts w:eastAsiaTheme="majorEastAsia"/>
        </w:rPr>
        <w:t>Implementation:</w:t>
      </w:r>
      <w:r>
        <w:t xml:space="preserve"> </w:t>
      </w:r>
      <w:r w:rsidRPr="00667C8E">
        <w:t xml:space="preserve">Human resources should encourage the </w:t>
      </w:r>
      <w:r>
        <w:t>organisation to use</w:t>
      </w:r>
      <w:r w:rsidRPr="00667C8E">
        <w:t xml:space="preserve"> digital engagement platforms and establish a mentorship program to develop leadership. Therefore, it is strongly recommended that Marriott should arrange career advancement and workplace wellness training seminars at least once a year. Adopting the Ritz-Carlton Gold Standards option for the training of employees enables one to align service excellence with that of the corporate culture (Mugo &amp; Namusonge, 2023).</w:t>
      </w:r>
    </w:p>
    <w:p w14:paraId="58B95220" w14:textId="77777777" w:rsidR="004E6531" w:rsidRDefault="004E6531" w:rsidP="004E6531">
      <w:pPr>
        <w:pStyle w:val="Heading2"/>
        <w:spacing w:line="360" w:lineRule="auto"/>
      </w:pPr>
      <w:bookmarkStart w:id="19" w:name="_Toc192060591"/>
      <w:r>
        <w:rPr>
          <w:rStyle w:val="Strong"/>
          <w:b w:val="0"/>
        </w:rPr>
        <w:t>6.4 Expanding Personalization and Customer Loyalty Strategies</w:t>
      </w:r>
      <w:bookmarkEnd w:id="19"/>
    </w:p>
    <w:p w14:paraId="589085B7" w14:textId="77777777" w:rsidR="004E6531" w:rsidRDefault="004E6531" w:rsidP="004E6531">
      <w:pPr>
        <w:spacing w:line="360" w:lineRule="auto"/>
      </w:pPr>
      <w:r w:rsidRPr="00667C8E">
        <w:t>Whenever a guest is treated as a unique individual, he or she becomes more loyal to that establishment. Marriott needs to improve the current form of its loyalty program by incorporating and integrating artificial intelligence and data analysis to increase the chances of advancing the promotion of the loyalty program by offering an excellent digital experience to its guests (Lee et al., 2021).</w:t>
      </w:r>
    </w:p>
    <w:p w14:paraId="3B66B37E" w14:textId="77777777" w:rsidR="004E6531" w:rsidRDefault="004E6531" w:rsidP="004E6531">
      <w:pPr>
        <w:spacing w:line="360" w:lineRule="auto"/>
      </w:pPr>
      <w:r>
        <w:rPr>
          <w:rStyle w:val="Strong"/>
          <w:rFonts w:eastAsiaTheme="majorEastAsia"/>
        </w:rPr>
        <w:t>Implementation:</w:t>
      </w:r>
      <w:r>
        <w:t xml:space="preserve"> </w:t>
      </w:r>
      <w:r w:rsidRPr="00667C8E">
        <w:t xml:space="preserve">The marketing and data analytics departments should implement AI into the Bonvoy app by providing customers with tailored tips and bonuses. Marriott should compare its program with Amazon's and Hilton's </w:t>
      </w:r>
      <w:r>
        <w:t>personalised programs</w:t>
      </w:r>
      <w:r w:rsidRPr="00667C8E">
        <w:t>. Thus, an effort will be made to constantly update the Model based on user feedback (Khanna &amp; Sharma, 2023).</w:t>
      </w:r>
    </w:p>
    <w:p w14:paraId="6E00C5D5" w14:textId="77777777" w:rsidR="004E6531" w:rsidRDefault="004E6531" w:rsidP="004E6531">
      <w:pPr>
        <w:pStyle w:val="Heading2"/>
        <w:spacing w:line="360" w:lineRule="auto"/>
      </w:pPr>
      <w:bookmarkStart w:id="20" w:name="_Toc192060592"/>
      <w:r>
        <w:rPr>
          <w:rStyle w:val="Strong"/>
          <w:b w:val="0"/>
        </w:rPr>
        <w:t>6.5 Adopting a More Flexible Business Model</w:t>
      </w:r>
      <w:bookmarkEnd w:id="20"/>
    </w:p>
    <w:p w14:paraId="2EB26D26" w14:textId="565E63A9" w:rsidR="004E6531" w:rsidRDefault="004E6531" w:rsidP="004E6531">
      <w:pPr>
        <w:spacing w:line="360" w:lineRule="auto"/>
      </w:pPr>
      <w:r w:rsidRPr="00667C8E">
        <w:t xml:space="preserve">This </w:t>
      </w:r>
      <w:bookmarkStart w:id="21" w:name="_Hlk192060242"/>
      <w:r w:rsidR="008315AE" w:rsidRPr="00667C8E">
        <w:t>organizational</w:t>
      </w:r>
      <w:bookmarkEnd w:id="21"/>
      <w:r w:rsidRPr="00667C8E">
        <w:t xml:space="preserve"> change may help enhance strategic financial management and operating profit and decrease operational threats. Marriott should concentrate more on franchise and management companies than owning many physical properties (Kitsios &amp; Grigoroudis, 2020).</w:t>
      </w:r>
    </w:p>
    <w:p w14:paraId="0E120C85" w14:textId="77777777" w:rsidR="004E6531" w:rsidRDefault="004E6531" w:rsidP="004E6531">
      <w:pPr>
        <w:spacing w:line="360" w:lineRule="auto"/>
      </w:pPr>
      <w:r>
        <w:rPr>
          <w:rStyle w:val="Strong"/>
          <w:rFonts w:eastAsiaTheme="majorEastAsia"/>
        </w:rPr>
        <w:t>Implementation:</w:t>
      </w:r>
      <w:r>
        <w:t xml:space="preserve"> </w:t>
      </w:r>
      <w:r w:rsidRPr="00262BA5">
        <w:t>Marriott should seek to partner with more real estate investors in expensive geographies such as Asia-Pacific and the Middle East. After evaluating Hilton's asset-light Model, Marriott can implement the approach for five years to successfully implement minimal capital investment and improve ROI and operation</w:t>
      </w:r>
      <w:r>
        <w:t xml:space="preserve"> (</w:t>
      </w:r>
      <w:r w:rsidRPr="00262BA5">
        <w:t>Yenigu, 2024).</w:t>
      </w:r>
    </w:p>
    <w:p w14:paraId="65770941" w14:textId="77777777" w:rsidR="004E6531" w:rsidRPr="00262BA5" w:rsidRDefault="004E6531" w:rsidP="004E6531">
      <w:pPr>
        <w:pStyle w:val="NormalWeb"/>
        <w:spacing w:line="360" w:lineRule="auto"/>
        <w:rPr>
          <w:rFonts w:eastAsiaTheme="minorHAnsi" w:cstheme="minorBidi"/>
          <w:szCs w:val="22"/>
        </w:rPr>
      </w:pPr>
    </w:p>
    <w:p w14:paraId="132AF989" w14:textId="461A103D" w:rsidR="004E6531" w:rsidRPr="004E6531" w:rsidRDefault="004E6531" w:rsidP="004E6531">
      <w:pPr>
        <w:spacing w:before="0" w:after="160" w:line="360" w:lineRule="auto"/>
        <w:jc w:val="left"/>
        <w:rPr>
          <w:rFonts w:eastAsiaTheme="majorEastAsia" w:cstheme="majorBidi"/>
          <w:b/>
          <w:sz w:val="28"/>
          <w:szCs w:val="32"/>
        </w:rPr>
      </w:pPr>
      <w:r>
        <w:br w:type="page"/>
      </w:r>
      <w:r>
        <w:lastRenderedPageBreak/>
        <w:t>References</w:t>
      </w:r>
    </w:p>
    <w:p w14:paraId="7396E5E2" w14:textId="2F7B8D52" w:rsidR="004E6531" w:rsidRDefault="004E6531" w:rsidP="004E6531">
      <w:pPr>
        <w:pStyle w:val="NormalWeb"/>
        <w:spacing w:line="360" w:lineRule="auto"/>
        <w:jc w:val="both"/>
      </w:pPr>
      <w:r>
        <w:t xml:space="preserve">Bolat, Y. and Korkmaz, C. (2021) 'Social values and life skills as predictors of </w:t>
      </w:r>
      <w:r w:rsidR="008315AE" w:rsidRPr="00667C8E">
        <w:t>organizational</w:t>
      </w:r>
      <w:r>
        <w:t xml:space="preserve">: a study on teachers', </w:t>
      </w:r>
      <w:r>
        <w:rPr>
          <w:rStyle w:val="Emphasis"/>
          <w:rFonts w:eastAsiaTheme="majorEastAsia"/>
        </w:rPr>
        <w:t>Sage Open</w:t>
      </w:r>
      <w:r>
        <w:t xml:space="preserve">, 11(2). Available at: </w:t>
      </w:r>
      <w:hyperlink r:id="rId22" w:tgtFrame="_new" w:history="1">
        <w:r>
          <w:rPr>
            <w:rStyle w:val="Hyperlink"/>
            <w:rFonts w:eastAsiaTheme="majorEastAsia"/>
          </w:rPr>
          <w:t>https://doi.org/10</w:t>
        </w:r>
        <w:r>
          <w:rPr>
            <w:rStyle w:val="Hyperlink"/>
            <w:rFonts w:eastAsiaTheme="majorEastAsia"/>
          </w:rPr>
          <w:t>.</w:t>
        </w:r>
        <w:r>
          <w:rPr>
            <w:rStyle w:val="Hyperlink"/>
            <w:rFonts w:eastAsiaTheme="majorEastAsia"/>
          </w:rPr>
          <w:t>1</w:t>
        </w:r>
        <w:r>
          <w:rPr>
            <w:rStyle w:val="Hyperlink"/>
            <w:rFonts w:eastAsiaTheme="majorEastAsia"/>
          </w:rPr>
          <w:t>1</w:t>
        </w:r>
        <w:r>
          <w:rPr>
            <w:rStyle w:val="Hyperlink"/>
            <w:rFonts w:eastAsiaTheme="majorEastAsia"/>
          </w:rPr>
          <w:t>77/215824</w:t>
        </w:r>
        <w:r>
          <w:rPr>
            <w:rStyle w:val="Hyperlink"/>
            <w:rFonts w:eastAsiaTheme="majorEastAsia"/>
          </w:rPr>
          <w:t>4</w:t>
        </w:r>
        <w:r>
          <w:rPr>
            <w:rStyle w:val="Hyperlink"/>
            <w:rFonts w:eastAsiaTheme="majorEastAsia"/>
          </w:rPr>
          <w:t>0</w:t>
        </w:r>
        <w:r>
          <w:rPr>
            <w:rStyle w:val="Hyperlink"/>
            <w:rFonts w:eastAsiaTheme="majorEastAsia"/>
          </w:rPr>
          <w:t>211023179</w:t>
        </w:r>
      </w:hyperlink>
      <w:r>
        <w:t>.</w:t>
      </w:r>
    </w:p>
    <w:p w14:paraId="7EFDFA9F" w14:textId="77777777" w:rsidR="004E6531" w:rsidRDefault="004E6531" w:rsidP="004E6531">
      <w:pPr>
        <w:pStyle w:val="NormalWeb"/>
        <w:spacing w:line="360" w:lineRule="auto"/>
        <w:jc w:val="both"/>
      </w:pPr>
      <w:r>
        <w:t xml:space="preserve">Buick, F. (2023) ‘Behavioural change and cultural evolution, rather than cultural change: insights for Australian public service reform’, </w:t>
      </w:r>
      <w:r>
        <w:rPr>
          <w:rStyle w:val="Emphasis"/>
          <w:rFonts w:eastAsiaTheme="majorEastAsia"/>
        </w:rPr>
        <w:t>Australian Journal of Public Administration</w:t>
      </w:r>
      <w:r>
        <w:t xml:space="preserve">, 83(3), pp. 502-509. Available at: </w:t>
      </w:r>
      <w:hyperlink r:id="rId23" w:tgtFrame="_new" w:history="1">
        <w:r>
          <w:rPr>
            <w:rStyle w:val="Hyperlink"/>
            <w:rFonts w:eastAsiaTheme="majorEastAsia"/>
          </w:rPr>
          <w:t>https://doi.or</w:t>
        </w:r>
        <w:r>
          <w:rPr>
            <w:rStyle w:val="Hyperlink"/>
            <w:rFonts w:eastAsiaTheme="majorEastAsia"/>
          </w:rPr>
          <w:t>g</w:t>
        </w:r>
        <w:r>
          <w:rPr>
            <w:rStyle w:val="Hyperlink"/>
            <w:rFonts w:eastAsiaTheme="majorEastAsia"/>
          </w:rPr>
          <w:t>/10.1111/1467-8500.12605</w:t>
        </w:r>
      </w:hyperlink>
      <w:r>
        <w:t>.</w:t>
      </w:r>
    </w:p>
    <w:p w14:paraId="708498C6" w14:textId="77777777" w:rsidR="004E6531" w:rsidRDefault="004E6531" w:rsidP="004E6531">
      <w:pPr>
        <w:pStyle w:val="NormalWeb"/>
        <w:spacing w:line="360" w:lineRule="auto"/>
        <w:jc w:val="both"/>
      </w:pPr>
      <w:r>
        <w:t xml:space="preserve">Fu, W., Senathirajah, A., Connie, G., Sheng, L. and San, L. (2022) ‘Modeling consumers’ perceptions of service quality’, </w:t>
      </w:r>
      <w:r>
        <w:rPr>
          <w:rStyle w:val="Emphasis"/>
          <w:rFonts w:eastAsiaTheme="majorEastAsia"/>
        </w:rPr>
        <w:t>International Journal of Health Sciences</w:t>
      </w:r>
      <w:r>
        <w:t xml:space="preserve">, 6(5), pp. 10776-10793. Available at: </w:t>
      </w:r>
      <w:hyperlink r:id="rId24" w:tgtFrame="_new" w:history="1">
        <w:r>
          <w:rPr>
            <w:rStyle w:val="Hyperlink"/>
            <w:rFonts w:eastAsiaTheme="majorEastAsia"/>
          </w:rPr>
          <w:t>https://doi.org/10.53730</w:t>
        </w:r>
        <w:r>
          <w:rPr>
            <w:rStyle w:val="Hyperlink"/>
            <w:rFonts w:eastAsiaTheme="majorEastAsia"/>
          </w:rPr>
          <w:t>/</w:t>
        </w:r>
        <w:r>
          <w:rPr>
            <w:rStyle w:val="Hyperlink"/>
            <w:rFonts w:eastAsiaTheme="majorEastAsia"/>
          </w:rPr>
          <w:t>ijhs.v6ns5.10883</w:t>
        </w:r>
      </w:hyperlink>
      <w:r>
        <w:t>.</w:t>
      </w:r>
    </w:p>
    <w:p w14:paraId="2174A5B3" w14:textId="77777777" w:rsidR="008315AE" w:rsidRDefault="008315AE" w:rsidP="008315AE">
      <w:pPr>
        <w:pStyle w:val="NormalWeb"/>
        <w:spacing w:line="360" w:lineRule="auto"/>
        <w:jc w:val="both"/>
      </w:pPr>
      <w:r>
        <w:t xml:space="preserve">Araújo, A., Alves, A. and Romero, F. (2023) 'A conceptual model for pull implementation based on the dimensions leadership, organisation and people', </w:t>
      </w:r>
      <w:r>
        <w:rPr>
          <w:rStyle w:val="Emphasis"/>
          <w:rFonts w:eastAsiaTheme="majorEastAsia"/>
        </w:rPr>
        <w:t>International Journal of Lean Six Sigma</w:t>
      </w:r>
      <w:r>
        <w:t xml:space="preserve">, 15(2), pp. 295-325. Available at: </w:t>
      </w:r>
      <w:hyperlink r:id="rId25" w:tgtFrame="_new" w:history="1">
        <w:r>
          <w:rPr>
            <w:rStyle w:val="Hyperlink"/>
            <w:rFonts w:eastAsiaTheme="majorEastAsia"/>
          </w:rPr>
          <w:t>https://d</w:t>
        </w:r>
        <w:r>
          <w:rPr>
            <w:rStyle w:val="Hyperlink"/>
            <w:rFonts w:eastAsiaTheme="majorEastAsia"/>
          </w:rPr>
          <w:t>o</w:t>
        </w:r>
        <w:r>
          <w:rPr>
            <w:rStyle w:val="Hyperlink"/>
            <w:rFonts w:eastAsiaTheme="majorEastAsia"/>
          </w:rPr>
          <w:t>i.org/</w:t>
        </w:r>
        <w:r>
          <w:rPr>
            <w:rStyle w:val="Hyperlink"/>
            <w:rFonts w:eastAsiaTheme="majorEastAsia"/>
          </w:rPr>
          <w:t>1</w:t>
        </w:r>
        <w:r>
          <w:rPr>
            <w:rStyle w:val="Hyperlink"/>
            <w:rFonts w:eastAsiaTheme="majorEastAsia"/>
          </w:rPr>
          <w:t>0.1108/ijlss-12-2022-0253</w:t>
        </w:r>
      </w:hyperlink>
      <w:r>
        <w:t>.</w:t>
      </w:r>
    </w:p>
    <w:p w14:paraId="29E5DD3E" w14:textId="720F355E" w:rsidR="004E6531" w:rsidRDefault="004E6531" w:rsidP="004E6531">
      <w:pPr>
        <w:pStyle w:val="NormalWeb"/>
        <w:spacing w:line="360" w:lineRule="auto"/>
        <w:jc w:val="both"/>
      </w:pPr>
      <w:r>
        <w:t xml:space="preserve">Ghumiem, S., Alawi, N., Al-Refaei, A. and Masaud, K. (2023) 'Corporate culture and its effects on </w:t>
      </w:r>
      <w:r w:rsidR="00CC4024">
        <w:t>organisational</w:t>
      </w:r>
      <w:r>
        <w:t xml:space="preserve">: multi-group analysis evidence from developing countries', </w:t>
      </w:r>
      <w:r>
        <w:rPr>
          <w:rStyle w:val="Emphasis"/>
          <w:rFonts w:eastAsiaTheme="majorEastAsia"/>
        </w:rPr>
        <w:t>European Journal of Business Management and Research</w:t>
      </w:r>
      <w:r>
        <w:t xml:space="preserve">, 8(2), pp. 142-148. Available at: </w:t>
      </w:r>
      <w:hyperlink r:id="rId26" w:tgtFrame="_new" w:history="1">
        <w:r>
          <w:rPr>
            <w:rStyle w:val="Hyperlink"/>
            <w:rFonts w:eastAsiaTheme="majorEastAsia"/>
          </w:rPr>
          <w:t>https://doi.org/10.24018/ej</w:t>
        </w:r>
        <w:r>
          <w:rPr>
            <w:rStyle w:val="Hyperlink"/>
            <w:rFonts w:eastAsiaTheme="majorEastAsia"/>
          </w:rPr>
          <w:t>b</w:t>
        </w:r>
        <w:r>
          <w:rPr>
            <w:rStyle w:val="Hyperlink"/>
            <w:rFonts w:eastAsiaTheme="majorEastAsia"/>
          </w:rPr>
          <w:t>mr.2023.8.2.1890</w:t>
        </w:r>
      </w:hyperlink>
      <w:r>
        <w:t>.</w:t>
      </w:r>
    </w:p>
    <w:p w14:paraId="726549FE" w14:textId="77777777" w:rsidR="004E6531" w:rsidRDefault="004E6531" w:rsidP="004E6531">
      <w:pPr>
        <w:pStyle w:val="NormalWeb"/>
        <w:spacing w:line="360" w:lineRule="auto"/>
        <w:jc w:val="both"/>
      </w:pPr>
      <w:r>
        <w:t xml:space="preserve">Gregory, M., Yacob, Y., Abdullah, M., Shamsuddin, N. and Pakasa, U. (2023) ‘The effect of entrepreneurial orientation, service innovation on firm performance: a perspective of star rating hotel in Sarawak’, </w:t>
      </w:r>
      <w:r>
        <w:rPr>
          <w:rStyle w:val="Emphasis"/>
          <w:rFonts w:eastAsiaTheme="majorEastAsia"/>
        </w:rPr>
        <w:t>International Journal of Academic Research in Business and Social Sciences</w:t>
      </w:r>
      <w:r>
        <w:t xml:space="preserve">, 13(1). Available at: </w:t>
      </w:r>
      <w:hyperlink r:id="rId27" w:tgtFrame="_new" w:history="1">
        <w:r>
          <w:rPr>
            <w:rStyle w:val="Hyperlink"/>
            <w:rFonts w:eastAsiaTheme="majorEastAsia"/>
          </w:rPr>
          <w:t>https://doi.org/1</w:t>
        </w:r>
        <w:r>
          <w:rPr>
            <w:rStyle w:val="Hyperlink"/>
            <w:rFonts w:eastAsiaTheme="majorEastAsia"/>
          </w:rPr>
          <w:t>0</w:t>
        </w:r>
        <w:r>
          <w:rPr>
            <w:rStyle w:val="Hyperlink"/>
            <w:rFonts w:eastAsiaTheme="majorEastAsia"/>
          </w:rPr>
          <w:t>.6007/ijarbss/v13-i1/16235</w:t>
        </w:r>
      </w:hyperlink>
      <w:r>
        <w:t>.</w:t>
      </w:r>
    </w:p>
    <w:p w14:paraId="32D49780" w14:textId="77777777" w:rsidR="004E6531" w:rsidRDefault="004E6531" w:rsidP="004E6531">
      <w:pPr>
        <w:pStyle w:val="NormalWeb"/>
        <w:spacing w:line="360" w:lineRule="auto"/>
        <w:jc w:val="both"/>
      </w:pPr>
      <w:r>
        <w:t xml:space="preserve">Gunawan, D., Putri, F. and Meidia, H. (2020) ‘Bershca: bringing chatbot into hotel industry in Indonesia’, </w:t>
      </w:r>
      <w:r>
        <w:rPr>
          <w:rStyle w:val="Emphasis"/>
          <w:rFonts w:eastAsiaTheme="majorEastAsia"/>
        </w:rPr>
        <w:t>Telkomnika (Telecommunication Computing Electronics and Control)</w:t>
      </w:r>
      <w:r>
        <w:t xml:space="preserve">, 18(2), p. 839. Available at: </w:t>
      </w:r>
      <w:hyperlink r:id="rId28" w:tgtFrame="_new" w:history="1">
        <w:r>
          <w:rPr>
            <w:rStyle w:val="Hyperlink"/>
            <w:rFonts w:eastAsiaTheme="majorEastAsia"/>
          </w:rPr>
          <w:t>https://doi.org/10.12928/t</w:t>
        </w:r>
        <w:r>
          <w:rPr>
            <w:rStyle w:val="Hyperlink"/>
            <w:rFonts w:eastAsiaTheme="majorEastAsia"/>
          </w:rPr>
          <w:t>e</w:t>
        </w:r>
        <w:r>
          <w:rPr>
            <w:rStyle w:val="Hyperlink"/>
            <w:rFonts w:eastAsiaTheme="majorEastAsia"/>
          </w:rPr>
          <w:t>lkomnika.v18i2.14841</w:t>
        </w:r>
      </w:hyperlink>
      <w:r>
        <w:t>.</w:t>
      </w:r>
    </w:p>
    <w:p w14:paraId="20C4D7A7" w14:textId="4883DEAF" w:rsidR="004E6531" w:rsidRDefault="004E6531" w:rsidP="004E6531">
      <w:pPr>
        <w:pStyle w:val="NormalWeb"/>
        <w:spacing w:line="360" w:lineRule="auto"/>
        <w:jc w:val="both"/>
      </w:pPr>
      <w:r>
        <w:t xml:space="preserve">Hameli, K. (2024) 'Foundations of </w:t>
      </w:r>
      <w:r w:rsidR="008315AE">
        <w:t>organization</w:t>
      </w:r>
      <w:r>
        <w:t xml:space="preserve"> a comprehensive review', </w:t>
      </w:r>
      <w:r>
        <w:rPr>
          <w:rStyle w:val="Emphasis"/>
          <w:rFonts w:eastAsiaTheme="majorEastAsia"/>
        </w:rPr>
        <w:t>JBEM</w:t>
      </w:r>
      <w:r>
        <w:t xml:space="preserve">, 1(1), pp. 53-65. Available at: </w:t>
      </w:r>
      <w:hyperlink r:id="rId29" w:tgtFrame="_new" w:history="1">
        <w:r>
          <w:rPr>
            <w:rStyle w:val="Hyperlink"/>
            <w:rFonts w:eastAsiaTheme="majorEastAsia"/>
          </w:rPr>
          <w:t>https://doi.</w:t>
        </w:r>
        <w:r>
          <w:rPr>
            <w:rStyle w:val="Hyperlink"/>
            <w:rFonts w:eastAsiaTheme="majorEastAsia"/>
          </w:rPr>
          <w:t>o</w:t>
        </w:r>
        <w:r>
          <w:rPr>
            <w:rStyle w:val="Hyperlink"/>
            <w:rFonts w:eastAsiaTheme="majorEastAsia"/>
          </w:rPr>
          <w:t>r</w:t>
        </w:r>
        <w:r>
          <w:rPr>
            <w:rStyle w:val="Hyperlink"/>
            <w:rFonts w:eastAsiaTheme="majorEastAsia"/>
          </w:rPr>
          <w:t>g</w:t>
        </w:r>
        <w:r>
          <w:rPr>
            <w:rStyle w:val="Hyperlink"/>
            <w:rFonts w:eastAsiaTheme="majorEastAsia"/>
          </w:rPr>
          <w:t>/10.51331/bema03</w:t>
        </w:r>
      </w:hyperlink>
      <w:r>
        <w:t>.</w:t>
      </w:r>
    </w:p>
    <w:p w14:paraId="3A91E674" w14:textId="77777777" w:rsidR="004E6531" w:rsidRDefault="004E6531" w:rsidP="004E6531">
      <w:pPr>
        <w:pStyle w:val="NormalWeb"/>
        <w:spacing w:line="360" w:lineRule="auto"/>
        <w:jc w:val="both"/>
      </w:pPr>
      <w:r>
        <w:lastRenderedPageBreak/>
        <w:t xml:space="preserve">Khanna, S. and Sharma, A. (2023) ‘Factors affecting the decision of a customer while booking a hotel using the SERVPERF scale’, </w:t>
      </w:r>
      <w:r>
        <w:rPr>
          <w:rStyle w:val="Emphasis"/>
          <w:rFonts w:eastAsiaTheme="majorEastAsia"/>
        </w:rPr>
        <w:t>CM</w:t>
      </w:r>
      <w:r>
        <w:t xml:space="preserve">, (25), pp. 657-666. Available at: </w:t>
      </w:r>
      <w:hyperlink r:id="rId30" w:tgtFrame="_new" w:history="1">
        <w:r>
          <w:rPr>
            <w:rStyle w:val="Hyperlink"/>
            <w:rFonts w:eastAsiaTheme="majorEastAsia"/>
          </w:rPr>
          <w:t>https://doi</w:t>
        </w:r>
        <w:r>
          <w:rPr>
            <w:rStyle w:val="Hyperlink"/>
            <w:rFonts w:eastAsiaTheme="majorEastAsia"/>
          </w:rPr>
          <w:t>.</w:t>
        </w:r>
        <w:r>
          <w:rPr>
            <w:rStyle w:val="Hyperlink"/>
            <w:rFonts w:eastAsiaTheme="majorEastAsia"/>
          </w:rPr>
          <w:t>org/10.18137/card</w:t>
        </w:r>
        <w:r>
          <w:rPr>
            <w:rStyle w:val="Hyperlink"/>
            <w:rFonts w:eastAsiaTheme="majorEastAsia"/>
          </w:rPr>
          <w:t>i</w:t>
        </w:r>
        <w:r>
          <w:rPr>
            <w:rStyle w:val="Hyperlink"/>
            <w:rFonts w:eastAsiaTheme="majorEastAsia"/>
          </w:rPr>
          <w:t>ometry.2022.25.657666</w:t>
        </w:r>
      </w:hyperlink>
      <w:r>
        <w:t>.</w:t>
      </w:r>
    </w:p>
    <w:p w14:paraId="0A42C03E" w14:textId="77777777" w:rsidR="004E6531" w:rsidRDefault="004E6531" w:rsidP="004E6531">
      <w:pPr>
        <w:pStyle w:val="NormalWeb"/>
        <w:spacing w:line="360" w:lineRule="auto"/>
        <w:jc w:val="both"/>
      </w:pPr>
      <w:r>
        <w:t xml:space="preserve">Kitsios, F. and Grigoroudis, E. (2020) ‘Evaluating service innovation and business performance in tourism: a multicriteria decision analysis approach’, </w:t>
      </w:r>
      <w:r>
        <w:rPr>
          <w:rStyle w:val="Emphasis"/>
          <w:rFonts w:eastAsiaTheme="majorEastAsia"/>
        </w:rPr>
        <w:t>Management Decision</w:t>
      </w:r>
      <w:r>
        <w:t xml:space="preserve">, 58(11), pp. 2429-2453. Available at: </w:t>
      </w:r>
      <w:hyperlink r:id="rId31" w:tgtFrame="_new" w:history="1">
        <w:r>
          <w:rPr>
            <w:rStyle w:val="Hyperlink"/>
            <w:rFonts w:eastAsiaTheme="majorEastAsia"/>
          </w:rPr>
          <w:t>https://doi.or</w:t>
        </w:r>
        <w:r>
          <w:rPr>
            <w:rStyle w:val="Hyperlink"/>
            <w:rFonts w:eastAsiaTheme="majorEastAsia"/>
          </w:rPr>
          <w:t>g</w:t>
        </w:r>
        <w:r>
          <w:rPr>
            <w:rStyle w:val="Hyperlink"/>
            <w:rFonts w:eastAsiaTheme="majorEastAsia"/>
          </w:rPr>
          <w:t>/10.1108/md-09-2019-1326</w:t>
        </w:r>
      </w:hyperlink>
      <w:r>
        <w:t>.</w:t>
      </w:r>
    </w:p>
    <w:p w14:paraId="3DD5C4AB" w14:textId="77777777" w:rsidR="004E6531" w:rsidRDefault="004E6531" w:rsidP="004E6531">
      <w:pPr>
        <w:pStyle w:val="NormalWeb"/>
        <w:spacing w:line="360" w:lineRule="auto"/>
        <w:jc w:val="both"/>
      </w:pPr>
      <w:r>
        <w:t xml:space="preserve">Lee, S., Yun, J., Díaz, M. and Duque, C. (2021) ‘Open innovation through customer satisfaction: a logit model to explain customer recommendations in the hotel sector’, </w:t>
      </w:r>
      <w:r>
        <w:rPr>
          <w:rStyle w:val="Emphasis"/>
          <w:rFonts w:eastAsiaTheme="majorEastAsia"/>
        </w:rPr>
        <w:t>Journal of Open Innovation Technology Market and Complexity</w:t>
      </w:r>
      <w:r>
        <w:t xml:space="preserve">, 7(3), p. 180. Available at: </w:t>
      </w:r>
      <w:hyperlink r:id="rId32" w:tgtFrame="_new" w:history="1">
        <w:r>
          <w:rPr>
            <w:rStyle w:val="Hyperlink"/>
            <w:rFonts w:eastAsiaTheme="majorEastAsia"/>
          </w:rPr>
          <w:t>https://doi.org/10.3390/joitmc7030180</w:t>
        </w:r>
      </w:hyperlink>
      <w:r>
        <w:t>.</w:t>
      </w:r>
    </w:p>
    <w:p w14:paraId="4CE6AC29" w14:textId="77777777" w:rsidR="004E6531" w:rsidRDefault="004E6531" w:rsidP="004E6531">
      <w:pPr>
        <w:pStyle w:val="NormalWeb"/>
        <w:spacing w:line="360" w:lineRule="auto"/>
        <w:jc w:val="both"/>
      </w:pPr>
      <w:r>
        <w:t xml:space="preserve">Ma, Y., Li, H. and Tong, Y. (2022) ‘Distribution differentiation and influencing factors of the high-quality development of the hotel industry from the perspective of customer satisfaction: a case study of Sanya’, </w:t>
      </w:r>
      <w:r>
        <w:rPr>
          <w:rStyle w:val="Emphasis"/>
          <w:rFonts w:eastAsiaTheme="majorEastAsia"/>
        </w:rPr>
        <w:t>Sustainability</w:t>
      </w:r>
      <w:r>
        <w:t xml:space="preserve">, 14(11), p. 6476. Available at: </w:t>
      </w:r>
      <w:hyperlink r:id="rId33" w:tgtFrame="_new" w:history="1">
        <w:r>
          <w:rPr>
            <w:rStyle w:val="Hyperlink"/>
            <w:rFonts w:eastAsiaTheme="majorEastAsia"/>
          </w:rPr>
          <w:t>https://doi.org/10.3390/su14116476</w:t>
        </w:r>
      </w:hyperlink>
      <w:r>
        <w:t>.</w:t>
      </w:r>
    </w:p>
    <w:p w14:paraId="48678B25" w14:textId="77777777" w:rsidR="004E6531" w:rsidRDefault="004E6531" w:rsidP="004E6531">
      <w:pPr>
        <w:pStyle w:val="NormalWeb"/>
        <w:spacing w:line="360" w:lineRule="auto"/>
        <w:jc w:val="both"/>
      </w:pPr>
      <w:r>
        <w:t xml:space="preserve">Marković, S., Raspor, S. and Zubović, V. (2020) ‘The impacts of robots and artificial intelligence on service quality in the hotel industry’, </w:t>
      </w:r>
      <w:r>
        <w:rPr>
          <w:rStyle w:val="Emphasis"/>
          <w:rFonts w:eastAsiaTheme="majorEastAsia"/>
        </w:rPr>
        <w:t>Balkans Journal of Emerging Trends in Social Sciences</w:t>
      </w:r>
      <w:r>
        <w:t xml:space="preserve">, 3(2), pp. 163-170. Available at: </w:t>
      </w:r>
      <w:hyperlink r:id="rId34" w:tgtFrame="_new" w:history="1">
        <w:r>
          <w:rPr>
            <w:rStyle w:val="Hyperlink"/>
            <w:rFonts w:eastAsiaTheme="majorEastAsia"/>
          </w:rPr>
          <w:t>https://doi.org</w:t>
        </w:r>
        <w:r>
          <w:rPr>
            <w:rStyle w:val="Hyperlink"/>
            <w:rFonts w:eastAsiaTheme="majorEastAsia"/>
          </w:rPr>
          <w:t>/</w:t>
        </w:r>
        <w:r>
          <w:rPr>
            <w:rStyle w:val="Hyperlink"/>
            <w:rFonts w:eastAsiaTheme="majorEastAsia"/>
          </w:rPr>
          <w:t>10.31410/balkans.jetss.2020.3.2.163-170</w:t>
        </w:r>
      </w:hyperlink>
      <w:r>
        <w:t>.</w:t>
      </w:r>
    </w:p>
    <w:p w14:paraId="4751D3A5" w14:textId="77777777" w:rsidR="004E6531" w:rsidRDefault="004E6531" w:rsidP="004E6531">
      <w:pPr>
        <w:pStyle w:val="NormalWeb"/>
        <w:spacing w:line="360" w:lineRule="auto"/>
        <w:jc w:val="both"/>
      </w:pPr>
      <w:r>
        <w:t xml:space="preserve">Marriott International (2015) </w:t>
      </w:r>
      <w:r>
        <w:rPr>
          <w:rStyle w:val="Emphasis"/>
          <w:rFonts w:eastAsiaTheme="majorEastAsia"/>
        </w:rPr>
        <w:t>Investor Relations | Marriott International</w:t>
      </w:r>
      <w:r>
        <w:t xml:space="preserve">. Available at: </w:t>
      </w:r>
      <w:hyperlink r:id="rId35" w:tgtFrame="_new" w:history="1">
        <w:r>
          <w:rPr>
            <w:rStyle w:val="Hyperlink"/>
            <w:rFonts w:eastAsiaTheme="majorEastAsia"/>
          </w:rPr>
          <w:t>https://marriott.gcs-we</w:t>
        </w:r>
        <w:r>
          <w:rPr>
            <w:rStyle w:val="Hyperlink"/>
            <w:rFonts w:eastAsiaTheme="majorEastAsia"/>
          </w:rPr>
          <w:t>b</w:t>
        </w:r>
        <w:r>
          <w:rPr>
            <w:rStyle w:val="Hyperlink"/>
            <w:rFonts w:eastAsiaTheme="majorEastAsia"/>
          </w:rPr>
          <w:t>.com/</w:t>
        </w:r>
      </w:hyperlink>
      <w:r>
        <w:t>.</w:t>
      </w:r>
    </w:p>
    <w:p w14:paraId="29314C8A" w14:textId="77777777" w:rsidR="004E6531" w:rsidRDefault="004E6531" w:rsidP="004E6531">
      <w:pPr>
        <w:pStyle w:val="NormalWeb"/>
        <w:spacing w:line="360" w:lineRule="auto"/>
        <w:jc w:val="both"/>
      </w:pPr>
      <w:r>
        <w:t xml:space="preserve">Marriott International (2018) </w:t>
      </w:r>
      <w:r>
        <w:rPr>
          <w:rStyle w:val="Emphasis"/>
          <w:rFonts w:eastAsiaTheme="majorEastAsia"/>
        </w:rPr>
        <w:t>Annual Report</w:t>
      </w:r>
      <w:r>
        <w:t xml:space="preserve">. Available at: </w:t>
      </w:r>
      <w:hyperlink r:id="rId36" w:tgtFrame="_new" w:history="1">
        <w:r>
          <w:rPr>
            <w:rStyle w:val="Hyperlink"/>
            <w:rFonts w:eastAsiaTheme="majorEastAsia"/>
          </w:rPr>
          <w:t>https://marri</w:t>
        </w:r>
        <w:r>
          <w:rPr>
            <w:rStyle w:val="Hyperlink"/>
            <w:rFonts w:eastAsiaTheme="majorEastAsia"/>
          </w:rPr>
          <w:t>o</w:t>
        </w:r>
        <w:r>
          <w:rPr>
            <w:rStyle w:val="Hyperlink"/>
            <w:rFonts w:eastAsiaTheme="majorEastAsia"/>
          </w:rPr>
          <w:t>tt.gcs-web.com/annual</w:t>
        </w:r>
      </w:hyperlink>
      <w:r>
        <w:t>.</w:t>
      </w:r>
    </w:p>
    <w:p w14:paraId="63521DAD" w14:textId="77777777" w:rsidR="004E6531" w:rsidRDefault="004E6531" w:rsidP="004E6531">
      <w:pPr>
        <w:pStyle w:val="NormalWeb"/>
        <w:spacing w:line="360" w:lineRule="auto"/>
        <w:jc w:val="both"/>
      </w:pPr>
      <w:r>
        <w:t xml:space="preserve">Marriott International (2025) </w:t>
      </w:r>
      <w:r>
        <w:rPr>
          <w:rStyle w:val="Emphasis"/>
          <w:rFonts w:eastAsiaTheme="majorEastAsia"/>
        </w:rPr>
        <w:t>About Marriott International | Corporate Information</w:t>
      </w:r>
      <w:r>
        <w:t xml:space="preserve">. Available at: </w:t>
      </w:r>
      <w:hyperlink r:id="rId37" w:tgtFrame="_new" w:history="1">
        <w:r>
          <w:rPr>
            <w:rStyle w:val="Hyperlink"/>
            <w:rFonts w:eastAsiaTheme="majorEastAsia"/>
          </w:rPr>
          <w:t>https://www.marriott.com/marriott/aboutmarriott.mi</w:t>
        </w:r>
      </w:hyperlink>
      <w:r>
        <w:t>.</w:t>
      </w:r>
    </w:p>
    <w:p w14:paraId="604963FE" w14:textId="77777777" w:rsidR="004E6531" w:rsidRDefault="004E6531" w:rsidP="004E6531">
      <w:pPr>
        <w:pStyle w:val="NormalWeb"/>
        <w:spacing w:line="360" w:lineRule="auto"/>
        <w:jc w:val="both"/>
      </w:pPr>
      <w:r>
        <w:t xml:space="preserve">Marriott International, Inc. (2025) </w:t>
      </w:r>
      <w:r>
        <w:rPr>
          <w:rStyle w:val="Emphasis"/>
          <w:rFonts w:eastAsiaTheme="majorEastAsia"/>
        </w:rPr>
        <w:t>Marriott International Reports Fourth Quarter and Full Year 2024 Results</w:t>
      </w:r>
      <w:r>
        <w:t xml:space="preserve">. Available at: </w:t>
      </w:r>
      <w:hyperlink r:id="rId38" w:tgtFrame="_new" w:history="1">
        <w:r>
          <w:rPr>
            <w:rStyle w:val="Hyperlink"/>
            <w:rFonts w:eastAsiaTheme="majorEastAsia"/>
          </w:rPr>
          <w:t>https://www.prnew</w:t>
        </w:r>
        <w:r>
          <w:rPr>
            <w:rStyle w:val="Hyperlink"/>
            <w:rFonts w:eastAsiaTheme="majorEastAsia"/>
          </w:rPr>
          <w:t>s</w:t>
        </w:r>
        <w:r>
          <w:rPr>
            <w:rStyle w:val="Hyperlink"/>
            <w:rFonts w:eastAsiaTheme="majorEastAsia"/>
          </w:rPr>
          <w:t>wire.com/news-releases/marriott-international-reports-fourth-quarter-and-full-year-2024-results-302372780.html</w:t>
        </w:r>
      </w:hyperlink>
      <w:r>
        <w:t>.</w:t>
      </w:r>
    </w:p>
    <w:p w14:paraId="7A8DE18F" w14:textId="5F70295C" w:rsidR="004E6531" w:rsidRDefault="004E6531" w:rsidP="004E6531">
      <w:pPr>
        <w:pStyle w:val="NormalWeb"/>
        <w:spacing w:line="360" w:lineRule="auto"/>
        <w:jc w:val="both"/>
      </w:pPr>
      <w:r>
        <w:lastRenderedPageBreak/>
        <w:t xml:space="preserve">Mihai, L., Birchi, F. and Cojoacă, D. (2024) ‘An empirical analysis of transformational leadership, </w:t>
      </w:r>
      <w:r w:rsidR="008315AE">
        <w:t>organizational</w:t>
      </w:r>
      <w:r>
        <w:t xml:space="preserve"> and employee performance in the hospitality industry of Southern Romania'. Available at: </w:t>
      </w:r>
      <w:hyperlink r:id="rId39" w:tgtFrame="_new" w:history="1">
        <w:r>
          <w:rPr>
            <w:rStyle w:val="Hyperlink"/>
            <w:rFonts w:eastAsiaTheme="majorEastAsia"/>
          </w:rPr>
          <w:t>https://doi.org/10.24818/imc/2023/04.08</w:t>
        </w:r>
      </w:hyperlink>
      <w:r>
        <w:t>.</w:t>
      </w:r>
    </w:p>
    <w:p w14:paraId="3013266F" w14:textId="1698645D" w:rsidR="004E6531" w:rsidRDefault="004E6531" w:rsidP="004E6531">
      <w:pPr>
        <w:pStyle w:val="NormalWeb"/>
        <w:spacing w:line="360" w:lineRule="auto"/>
        <w:jc w:val="both"/>
      </w:pPr>
      <w:r>
        <w:t>Mugo, C. and Namusonge, M. (2023) '</w:t>
      </w:r>
      <w:r w:rsidR="008315AE">
        <w:t>Organization</w:t>
      </w:r>
      <w:r>
        <w:t xml:space="preserve"> and strategy implementation choices in the ministry of East Africa community and regional development, Nairobi City County, Kenya', </w:t>
      </w:r>
      <w:r>
        <w:rPr>
          <w:rStyle w:val="Emphasis"/>
          <w:rFonts w:eastAsiaTheme="majorEastAsia"/>
        </w:rPr>
        <w:t>International Journal of Business Management Entrepreneurship and Innovation</w:t>
      </w:r>
      <w:r>
        <w:t xml:space="preserve">, 5(4), pp. 36-50. Available at: </w:t>
      </w:r>
      <w:hyperlink r:id="rId40" w:tgtFrame="_new" w:history="1">
        <w:r>
          <w:rPr>
            <w:rStyle w:val="Hyperlink"/>
            <w:rFonts w:eastAsiaTheme="majorEastAsia"/>
          </w:rPr>
          <w:t>https://doi.org/10.35942/py3yvf18</w:t>
        </w:r>
      </w:hyperlink>
      <w:r>
        <w:t>.</w:t>
      </w:r>
    </w:p>
    <w:p w14:paraId="69B630FC" w14:textId="787AFED2" w:rsidR="004E6531" w:rsidRDefault="004E6531" w:rsidP="004E6531">
      <w:pPr>
        <w:pStyle w:val="NormalWeb"/>
        <w:spacing w:line="360" w:lineRule="auto"/>
        <w:jc w:val="both"/>
      </w:pPr>
      <w:r>
        <w:t>Pratama, A., Syamsuddin, R., Oktora, J. and Sunarsi, D. (2021)</w:t>
      </w:r>
      <w:r w:rsidR="008315AE">
        <w:t xml:space="preserve"> Organizational</w:t>
      </w:r>
      <w:r>
        <w:t xml:space="preserve">, transformational leadership and the impact on knowledge sharing in selected research </w:t>
      </w:r>
      <w:r w:rsidR="008315AE">
        <w:t>organizational</w:t>
      </w:r>
      <w:r>
        <w:t xml:space="preserve"> at: </w:t>
      </w:r>
      <w:hyperlink r:id="rId41" w:tgtFrame="_new" w:history="1">
        <w:r>
          <w:rPr>
            <w:rStyle w:val="Hyperlink"/>
            <w:rFonts w:eastAsiaTheme="majorEastAsia"/>
          </w:rPr>
          <w:t>https://doi.org/10.4108/eai.17-7-2020.2302998</w:t>
        </w:r>
      </w:hyperlink>
      <w:r>
        <w:t>.</w:t>
      </w:r>
    </w:p>
    <w:p w14:paraId="0D822A63" w14:textId="77777777" w:rsidR="004E6531" w:rsidRDefault="004E6531" w:rsidP="004E6531">
      <w:pPr>
        <w:pStyle w:val="NormalWeb"/>
        <w:spacing w:line="360" w:lineRule="auto"/>
        <w:jc w:val="both"/>
      </w:pPr>
      <w:r>
        <w:t xml:space="preserve">Reimer, R. and O'Neal, C. (2024) ‘Developmental conversations: mentoring as a pervasive cultural practice’, </w:t>
      </w:r>
      <w:r>
        <w:rPr>
          <w:rStyle w:val="Emphasis"/>
          <w:rFonts w:eastAsiaTheme="majorEastAsia"/>
        </w:rPr>
        <w:t>Journal of Character and Leadership Development</w:t>
      </w:r>
      <w:r>
        <w:t xml:space="preserve">, 11(2), pp. 75-83. Available at: </w:t>
      </w:r>
      <w:hyperlink r:id="rId42" w:tgtFrame="_new" w:history="1">
        <w:r>
          <w:rPr>
            <w:rStyle w:val="Hyperlink"/>
            <w:rFonts w:eastAsiaTheme="majorEastAsia"/>
          </w:rPr>
          <w:t>https://doi.org/10.58315/jcld.v11.300</w:t>
        </w:r>
      </w:hyperlink>
      <w:r>
        <w:t>.</w:t>
      </w:r>
    </w:p>
    <w:p w14:paraId="55A0CE96" w14:textId="77777777" w:rsidR="004E6531" w:rsidRDefault="004E6531" w:rsidP="004E6531">
      <w:pPr>
        <w:pStyle w:val="NormalWeb"/>
        <w:spacing w:line="360" w:lineRule="auto"/>
        <w:jc w:val="both"/>
      </w:pPr>
      <w:r>
        <w:t xml:space="preserve">Silva, F., Oliveira, V., Balbino, C., Silva, E. and Oliveira, D. (2024) ‘The relationship between leadership and culture from the perspective of Edgard Schein and awareness: a reflective analysis’, </w:t>
      </w:r>
      <w:r>
        <w:rPr>
          <w:rStyle w:val="Emphasis"/>
          <w:rFonts w:eastAsiaTheme="majorEastAsia"/>
        </w:rPr>
        <w:t>Cuadernos De Educación Y Desarrollo</w:t>
      </w:r>
      <w:r>
        <w:t xml:space="preserve">, 16(4), p. e3928. Available at: </w:t>
      </w:r>
      <w:hyperlink r:id="rId43" w:tgtFrame="_new" w:history="1">
        <w:r>
          <w:rPr>
            <w:rStyle w:val="Hyperlink"/>
            <w:rFonts w:eastAsiaTheme="majorEastAsia"/>
          </w:rPr>
          <w:t>https://doi.org/10.55905/cuadv16n4-082</w:t>
        </w:r>
      </w:hyperlink>
      <w:r>
        <w:t>.</w:t>
      </w:r>
    </w:p>
    <w:p w14:paraId="15223A4B" w14:textId="77777777" w:rsidR="004E6531" w:rsidRDefault="004E6531" w:rsidP="004E6531">
      <w:pPr>
        <w:pStyle w:val="NormalWeb"/>
        <w:spacing w:line="360" w:lineRule="auto"/>
        <w:jc w:val="both"/>
      </w:pPr>
      <w:r>
        <w:t xml:space="preserve">Truong, N., Dang-Pham, D., McClelland, R. and Nkhoma, M. (2020) ‘Exploring the impact of innovativeness of hospitality service operation on customer satisfaction’, </w:t>
      </w:r>
      <w:r>
        <w:rPr>
          <w:rStyle w:val="Emphasis"/>
          <w:rFonts w:eastAsiaTheme="majorEastAsia"/>
        </w:rPr>
        <w:t>Operations and Supply Chain Management an International Journal</w:t>
      </w:r>
      <w:r>
        <w:t xml:space="preserve">, pp. 307-319. Available at: </w:t>
      </w:r>
      <w:hyperlink r:id="rId44" w:tgtFrame="_new" w:history="1">
        <w:r>
          <w:rPr>
            <w:rStyle w:val="Hyperlink"/>
            <w:rFonts w:eastAsiaTheme="majorEastAsia"/>
          </w:rPr>
          <w:t>https://doi.org/10.31387/oscm0420272</w:t>
        </w:r>
      </w:hyperlink>
      <w:r>
        <w:t>.</w:t>
      </w:r>
    </w:p>
    <w:p w14:paraId="5D231501" w14:textId="77777777" w:rsidR="004E6531" w:rsidRDefault="004E6531" w:rsidP="004E6531">
      <w:pPr>
        <w:pStyle w:val="NormalWeb"/>
        <w:spacing w:line="360" w:lineRule="auto"/>
        <w:jc w:val="both"/>
      </w:pPr>
      <w:r>
        <w:t xml:space="preserve">Wangsa, V. et al. (2024) ‘The impact of outsourcing on hotel efficiency and performance’, </w:t>
      </w:r>
      <w:r>
        <w:rPr>
          <w:rStyle w:val="Emphasis"/>
          <w:rFonts w:eastAsiaTheme="majorEastAsia"/>
        </w:rPr>
        <w:t>IJHLP</w:t>
      </w:r>
      <w:r>
        <w:t xml:space="preserve">, 2(1), pp. 33-37. Available at: </w:t>
      </w:r>
      <w:hyperlink r:id="rId45" w:tgtFrame="_new" w:history="1">
        <w:r>
          <w:rPr>
            <w:rStyle w:val="Hyperlink"/>
            <w:rFonts w:eastAsiaTheme="majorEastAsia"/>
          </w:rPr>
          <w:t>https://doi.org/10.46336/ijhlp.v2i1.50</w:t>
        </w:r>
      </w:hyperlink>
      <w:r>
        <w:t>.</w:t>
      </w:r>
    </w:p>
    <w:p w14:paraId="25E9A553" w14:textId="77777777" w:rsidR="004E6531" w:rsidRDefault="004E6531" w:rsidP="004E6531">
      <w:pPr>
        <w:pStyle w:val="NormalWeb"/>
        <w:spacing w:line="360" w:lineRule="auto"/>
        <w:jc w:val="both"/>
      </w:pPr>
      <w:r>
        <w:t xml:space="preserve">Γιαννούκου, Ι. (2024) 'RevolutRevolutionizingality: strategic integration of innovation management embracing technological innovation for enhanced customer experiences', </w:t>
      </w:r>
      <w:r>
        <w:rPr>
          <w:rStyle w:val="Emphasis"/>
          <w:rFonts w:eastAsiaTheme="majorEastAsia"/>
        </w:rPr>
        <w:t xml:space="preserve">Technium </w:t>
      </w:r>
      <w:r>
        <w:rPr>
          <w:rStyle w:val="Emphasis"/>
          <w:rFonts w:eastAsiaTheme="majorEastAsia"/>
        </w:rPr>
        <w:lastRenderedPageBreak/>
        <w:t>Business and Management</w:t>
      </w:r>
      <w:r>
        <w:t xml:space="preserve">, 7, pp. 24-39. Available at: </w:t>
      </w:r>
      <w:hyperlink r:id="rId46" w:tgtFrame="_new" w:history="1">
        <w:r>
          <w:rPr>
            <w:rStyle w:val="Hyperlink"/>
            <w:rFonts w:eastAsiaTheme="majorEastAsia"/>
          </w:rPr>
          <w:t>https://doi.org/10.47577/business.v7i.10585</w:t>
        </w:r>
      </w:hyperlink>
      <w:r>
        <w:t>.</w:t>
      </w:r>
    </w:p>
    <w:p w14:paraId="0F783274" w14:textId="77777777" w:rsidR="004E6531" w:rsidRPr="006A3084" w:rsidRDefault="004E6531" w:rsidP="004E6531">
      <w:pPr>
        <w:tabs>
          <w:tab w:val="left" w:pos="3851"/>
        </w:tabs>
        <w:spacing w:line="360" w:lineRule="auto"/>
      </w:pPr>
    </w:p>
    <w:p w14:paraId="239AA8AD" w14:textId="565B87FA" w:rsidR="00765D5C" w:rsidRPr="006F10AE" w:rsidRDefault="00765D5C" w:rsidP="006F10AE"/>
    <w:sectPr w:rsidR="00765D5C" w:rsidRPr="006F10AE" w:rsidSect="004E6531">
      <w:footerReference w:type="default" r:id="rId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8687478"/>
      <w:docPartObj>
        <w:docPartGallery w:val="Page Numbers (Bottom of Page)"/>
        <w:docPartUnique/>
      </w:docPartObj>
    </w:sdtPr>
    <w:sdtEndPr>
      <w:rPr>
        <w:noProof/>
      </w:rPr>
    </w:sdtEndPr>
    <w:sdtContent>
      <w:p w14:paraId="70C407C8" w14:textId="77777777" w:rsidR="00000000" w:rsidRDefault="00000000">
        <w:pPr>
          <w:pStyle w:val="Footer"/>
          <w:jc w:val="right"/>
        </w:pPr>
        <w:r>
          <w:fldChar w:fldCharType="begin"/>
        </w:r>
        <w:r>
          <w:instrText xml:space="preserve"> PAGE   \* MERGEFORMAT </w:instrText>
        </w:r>
        <w:r>
          <w:fldChar w:fldCharType="separate"/>
        </w:r>
        <w:r>
          <w:rPr>
            <w:noProof/>
          </w:rPr>
          <w:t>17</w:t>
        </w:r>
        <w:r>
          <w:rPr>
            <w:noProof/>
          </w:rPr>
          <w:fldChar w:fldCharType="end"/>
        </w:r>
      </w:p>
    </w:sdtContent>
  </w:sdt>
  <w:p w14:paraId="2B6B7579"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648"/>
    <w:rsid w:val="001E1457"/>
    <w:rsid w:val="00283648"/>
    <w:rsid w:val="00295411"/>
    <w:rsid w:val="0045528B"/>
    <w:rsid w:val="004B27FD"/>
    <w:rsid w:val="004D55AE"/>
    <w:rsid w:val="004E6531"/>
    <w:rsid w:val="006234EC"/>
    <w:rsid w:val="00625DBD"/>
    <w:rsid w:val="006452CA"/>
    <w:rsid w:val="006A5BBA"/>
    <w:rsid w:val="006F10AE"/>
    <w:rsid w:val="00747074"/>
    <w:rsid w:val="0075298D"/>
    <w:rsid w:val="00765D5C"/>
    <w:rsid w:val="007C0726"/>
    <w:rsid w:val="008315AE"/>
    <w:rsid w:val="0083796E"/>
    <w:rsid w:val="009204CF"/>
    <w:rsid w:val="009509DA"/>
    <w:rsid w:val="00C16247"/>
    <w:rsid w:val="00CB0D5B"/>
    <w:rsid w:val="00CC4024"/>
    <w:rsid w:val="00E8078A"/>
    <w:rsid w:val="00F76E82"/>
    <w:rsid w:val="00F942A4"/>
    <w:rsid w:val="00FA0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5D5FEF"/>
  <w15:chartTrackingRefBased/>
  <w15:docId w15:val="{D4B8F1F3-5683-4D8E-AD73-854B9E8BD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531"/>
    <w:pPr>
      <w:spacing w:before="120" w:after="120" w:line="24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283648"/>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283648"/>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283648"/>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83648"/>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283648"/>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283648"/>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283648"/>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283648"/>
    <w:pPr>
      <w:keepNext/>
      <w:keepLines/>
      <w:spacing w:before="0" w:after="0" w:line="278" w:lineRule="auto"/>
      <w:jc w:val="left"/>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283648"/>
    <w:pPr>
      <w:keepNext/>
      <w:keepLines/>
      <w:spacing w:before="0" w:after="0" w:line="278" w:lineRule="auto"/>
      <w:jc w:val="left"/>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6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36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6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6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36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36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6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6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648"/>
    <w:rPr>
      <w:rFonts w:eastAsiaTheme="majorEastAsia" w:cstheme="majorBidi"/>
      <w:color w:val="272727" w:themeColor="text1" w:themeTint="D8"/>
    </w:rPr>
  </w:style>
  <w:style w:type="paragraph" w:styleId="Title">
    <w:name w:val="Title"/>
    <w:basedOn w:val="Normal"/>
    <w:next w:val="Normal"/>
    <w:link w:val="TitleChar"/>
    <w:uiPriority w:val="10"/>
    <w:qFormat/>
    <w:rsid w:val="00283648"/>
    <w:pPr>
      <w:spacing w:before="0" w:after="80"/>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836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648"/>
    <w:pPr>
      <w:numPr>
        <w:ilvl w:val="1"/>
      </w:numPr>
      <w:spacing w:before="0" w:after="160" w:line="278"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836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648"/>
    <w:pPr>
      <w:spacing w:before="160" w:after="160" w:line="278"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283648"/>
    <w:rPr>
      <w:i/>
      <w:iCs/>
      <w:color w:val="404040" w:themeColor="text1" w:themeTint="BF"/>
    </w:rPr>
  </w:style>
  <w:style w:type="paragraph" w:styleId="ListParagraph">
    <w:name w:val="List Paragraph"/>
    <w:basedOn w:val="Normal"/>
    <w:uiPriority w:val="34"/>
    <w:qFormat/>
    <w:rsid w:val="00283648"/>
    <w:pPr>
      <w:spacing w:before="0" w:after="160" w:line="278" w:lineRule="auto"/>
      <w:ind w:left="720"/>
      <w:contextualSpacing/>
      <w:jc w:val="left"/>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283648"/>
    <w:rPr>
      <w:i/>
      <w:iCs/>
      <w:color w:val="0F4761" w:themeColor="accent1" w:themeShade="BF"/>
    </w:rPr>
  </w:style>
  <w:style w:type="paragraph" w:styleId="IntenseQuote">
    <w:name w:val="Intense Quote"/>
    <w:basedOn w:val="Normal"/>
    <w:next w:val="Normal"/>
    <w:link w:val="IntenseQuoteChar"/>
    <w:uiPriority w:val="30"/>
    <w:qFormat/>
    <w:rsid w:val="0028364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283648"/>
    <w:rPr>
      <w:i/>
      <w:iCs/>
      <w:color w:val="0F4761" w:themeColor="accent1" w:themeShade="BF"/>
    </w:rPr>
  </w:style>
  <w:style w:type="character" w:styleId="IntenseReference">
    <w:name w:val="Intense Reference"/>
    <w:basedOn w:val="DefaultParagraphFont"/>
    <w:uiPriority w:val="32"/>
    <w:qFormat/>
    <w:rsid w:val="00283648"/>
    <w:rPr>
      <w:b/>
      <w:bCs/>
      <w:smallCaps/>
      <w:color w:val="0F4761" w:themeColor="accent1" w:themeShade="BF"/>
      <w:spacing w:val="5"/>
    </w:rPr>
  </w:style>
  <w:style w:type="paragraph" w:styleId="Footer">
    <w:name w:val="footer"/>
    <w:basedOn w:val="Normal"/>
    <w:link w:val="FooterChar"/>
    <w:uiPriority w:val="99"/>
    <w:unhideWhenUsed/>
    <w:rsid w:val="004E6531"/>
    <w:pPr>
      <w:tabs>
        <w:tab w:val="center" w:pos="4680"/>
        <w:tab w:val="right" w:pos="9360"/>
      </w:tabs>
      <w:spacing w:before="0" w:after="0"/>
    </w:pPr>
  </w:style>
  <w:style w:type="character" w:customStyle="1" w:styleId="FooterChar">
    <w:name w:val="Footer Char"/>
    <w:basedOn w:val="DefaultParagraphFont"/>
    <w:link w:val="Footer"/>
    <w:uiPriority w:val="99"/>
    <w:rsid w:val="004E6531"/>
    <w:rPr>
      <w:rFonts w:ascii="Times New Roman" w:hAnsi="Times New Roman"/>
      <w:kern w:val="0"/>
      <w:szCs w:val="22"/>
      <w:lang w:val="en-US"/>
      <w14:ligatures w14:val="none"/>
    </w:rPr>
  </w:style>
  <w:style w:type="character" w:styleId="Hyperlink">
    <w:name w:val="Hyperlink"/>
    <w:basedOn w:val="DefaultParagraphFont"/>
    <w:uiPriority w:val="99"/>
    <w:unhideWhenUsed/>
    <w:rsid w:val="004E6531"/>
    <w:rPr>
      <w:color w:val="467886" w:themeColor="hyperlink"/>
      <w:u w:val="single"/>
    </w:rPr>
  </w:style>
  <w:style w:type="paragraph" w:styleId="NormalWeb">
    <w:name w:val="Normal (Web)"/>
    <w:basedOn w:val="Normal"/>
    <w:uiPriority w:val="99"/>
    <w:semiHidden/>
    <w:unhideWhenUsed/>
    <w:rsid w:val="004E6531"/>
    <w:pPr>
      <w:spacing w:before="100" w:beforeAutospacing="1" w:after="100" w:afterAutospacing="1"/>
      <w:jc w:val="left"/>
    </w:pPr>
    <w:rPr>
      <w:rFonts w:eastAsia="Times New Roman" w:cs="Times New Roman"/>
      <w:szCs w:val="24"/>
    </w:rPr>
  </w:style>
  <w:style w:type="character" w:styleId="Emphasis">
    <w:name w:val="Emphasis"/>
    <w:basedOn w:val="DefaultParagraphFont"/>
    <w:uiPriority w:val="20"/>
    <w:qFormat/>
    <w:rsid w:val="004E6531"/>
    <w:rPr>
      <w:i/>
      <w:iCs/>
    </w:rPr>
  </w:style>
  <w:style w:type="character" w:styleId="Strong">
    <w:name w:val="Strong"/>
    <w:basedOn w:val="DefaultParagraphFont"/>
    <w:uiPriority w:val="22"/>
    <w:qFormat/>
    <w:rsid w:val="004E6531"/>
    <w:rPr>
      <w:b/>
      <w:bCs/>
    </w:rPr>
  </w:style>
  <w:style w:type="table" w:styleId="GridTable4-Accent3">
    <w:name w:val="Grid Table 4 Accent 3"/>
    <w:basedOn w:val="TableNormal"/>
    <w:uiPriority w:val="49"/>
    <w:rsid w:val="004E6531"/>
    <w:pPr>
      <w:spacing w:after="0" w:line="240" w:lineRule="auto"/>
    </w:pPr>
    <w:rPr>
      <w:kern w:val="0"/>
      <w:sz w:val="22"/>
      <w:szCs w:val="22"/>
      <w:lang w:val="en-US"/>
      <w14:ligatures w14:val="none"/>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TOCHeading">
    <w:name w:val="TOC Heading"/>
    <w:basedOn w:val="Heading1"/>
    <w:next w:val="Normal"/>
    <w:uiPriority w:val="39"/>
    <w:unhideWhenUsed/>
    <w:qFormat/>
    <w:rsid w:val="004E653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E6531"/>
    <w:pPr>
      <w:spacing w:after="100"/>
    </w:pPr>
  </w:style>
  <w:style w:type="paragraph" w:styleId="TOC2">
    <w:name w:val="toc 2"/>
    <w:basedOn w:val="Normal"/>
    <w:next w:val="Normal"/>
    <w:autoRedefine/>
    <w:uiPriority w:val="39"/>
    <w:unhideWhenUsed/>
    <w:rsid w:val="004E6531"/>
    <w:pPr>
      <w:spacing w:after="100"/>
      <w:ind w:left="240"/>
    </w:pPr>
  </w:style>
  <w:style w:type="paragraph" w:styleId="Caption">
    <w:name w:val="caption"/>
    <w:basedOn w:val="Normal"/>
    <w:next w:val="Normal"/>
    <w:uiPriority w:val="35"/>
    <w:unhideWhenUsed/>
    <w:qFormat/>
    <w:rsid w:val="004E6531"/>
    <w:pPr>
      <w:spacing w:before="0" w:after="200"/>
    </w:pPr>
    <w:rPr>
      <w:i/>
      <w:iCs/>
      <w:color w:val="0E2841" w:themeColor="text2"/>
      <w:sz w:val="18"/>
      <w:szCs w:val="18"/>
    </w:rPr>
  </w:style>
  <w:style w:type="character" w:styleId="FollowedHyperlink">
    <w:name w:val="FollowedHyperlink"/>
    <w:basedOn w:val="DefaultParagraphFont"/>
    <w:uiPriority w:val="99"/>
    <w:semiHidden/>
    <w:unhideWhenUsed/>
    <w:rsid w:val="001E14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openxmlformats.org/officeDocument/2006/relationships/hyperlink" Target="https://doi.org/10.24018/ejbmr.2023.8.2.1890" TargetMode="External"/><Relationship Id="rId39" Type="http://schemas.openxmlformats.org/officeDocument/2006/relationships/hyperlink" Target="https://doi.org/10.24818/imc/2023/04.08" TargetMode="External"/><Relationship Id="rId21" Type="http://schemas.microsoft.com/office/2007/relationships/diagramDrawing" Target="diagrams/drawing3.xml"/><Relationship Id="rId34" Type="http://schemas.openxmlformats.org/officeDocument/2006/relationships/hyperlink" Target="https://doi.org/10.31410/balkans.jetss.2020.3.2.163-170" TargetMode="External"/><Relationship Id="rId42" Type="http://schemas.openxmlformats.org/officeDocument/2006/relationships/hyperlink" Target="https://doi.org/10.58315/jcld.v11.300" TargetMode="External"/><Relationship Id="rId47" Type="http://schemas.openxmlformats.org/officeDocument/2006/relationships/footer" Target="footer1.xml"/><Relationship Id="rId7" Type="http://schemas.openxmlformats.org/officeDocument/2006/relationships/diagramData" Target="diagrams/data1.xml"/><Relationship Id="rId2" Type="http://schemas.openxmlformats.org/officeDocument/2006/relationships/settings" Target="settings.xml"/><Relationship Id="rId16" Type="http://schemas.microsoft.com/office/2007/relationships/diagramDrawing" Target="diagrams/drawing2.xml"/><Relationship Id="rId29" Type="http://schemas.openxmlformats.org/officeDocument/2006/relationships/hyperlink" Target="https://doi.org/10.51331/bema03" TargetMode="External"/><Relationship Id="rId11" Type="http://schemas.microsoft.com/office/2007/relationships/diagramDrawing" Target="diagrams/drawing1.xml"/><Relationship Id="rId24" Type="http://schemas.openxmlformats.org/officeDocument/2006/relationships/hyperlink" Target="https://doi.org/10.53730/ijhs.v6ns5.10883" TargetMode="External"/><Relationship Id="rId32" Type="http://schemas.openxmlformats.org/officeDocument/2006/relationships/hyperlink" Target="https://doi.org/10.3390/joitmc7030180" TargetMode="External"/><Relationship Id="rId37" Type="http://schemas.openxmlformats.org/officeDocument/2006/relationships/hyperlink" Target="https://www.marriott.com/marriott/aboutmarriott.mi" TargetMode="External"/><Relationship Id="rId40" Type="http://schemas.openxmlformats.org/officeDocument/2006/relationships/hyperlink" Target="https://doi.org/10.35942/py3yvf18" TargetMode="External"/><Relationship Id="rId45" Type="http://schemas.openxmlformats.org/officeDocument/2006/relationships/hyperlink" Target="https://doi.org/10.46336/ijhlp.v2i1.50" TargetMode="External"/><Relationship Id="rId5" Type="http://schemas.openxmlformats.org/officeDocument/2006/relationships/image" Target="media/image2.jpeg"/><Relationship Id="rId15" Type="http://schemas.openxmlformats.org/officeDocument/2006/relationships/diagramColors" Target="diagrams/colors2.xml"/><Relationship Id="rId23" Type="http://schemas.openxmlformats.org/officeDocument/2006/relationships/hyperlink" Target="https://doi.org/10.1111/1467-8500.12605" TargetMode="External"/><Relationship Id="rId28" Type="http://schemas.openxmlformats.org/officeDocument/2006/relationships/hyperlink" Target="https://doi.org/10.12928/telkomnika.v18i2.14841" TargetMode="External"/><Relationship Id="rId36" Type="http://schemas.openxmlformats.org/officeDocument/2006/relationships/hyperlink" Target="https://marriott.gcs-web.com/annual" TargetMode="External"/><Relationship Id="rId49"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openxmlformats.org/officeDocument/2006/relationships/hyperlink" Target="https://doi.org/10.1108/md-09-2019-1326" TargetMode="External"/><Relationship Id="rId44" Type="http://schemas.openxmlformats.org/officeDocument/2006/relationships/hyperlink" Target="https://doi.org/10.31387/oscm0420272" TargetMode="External"/><Relationship Id="rId4" Type="http://schemas.openxmlformats.org/officeDocument/2006/relationships/image" Target="media/image1.png"/><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yperlink" Target="https://doi.org/10.1177/21582440211023179" TargetMode="External"/><Relationship Id="rId27" Type="http://schemas.openxmlformats.org/officeDocument/2006/relationships/hyperlink" Target="https://doi.org/10.6007/ijarbss/v13-i1/16235" TargetMode="External"/><Relationship Id="rId30" Type="http://schemas.openxmlformats.org/officeDocument/2006/relationships/hyperlink" Target="https://doi.org/10.18137/cardiometry.2022.25.657666" TargetMode="External"/><Relationship Id="rId35" Type="http://schemas.openxmlformats.org/officeDocument/2006/relationships/hyperlink" Target="https://marriott.gcs-web.com/" TargetMode="External"/><Relationship Id="rId43" Type="http://schemas.openxmlformats.org/officeDocument/2006/relationships/hyperlink" Target="https://doi.org/10.55905/cuadv16n4-082" TargetMode="External"/><Relationship Id="rId48" Type="http://schemas.openxmlformats.org/officeDocument/2006/relationships/fontTable" Target="fontTable.xml"/><Relationship Id="rId8" Type="http://schemas.openxmlformats.org/officeDocument/2006/relationships/diagramLayout" Target="diagrams/layout1.xml"/><Relationship Id="rId3" Type="http://schemas.openxmlformats.org/officeDocument/2006/relationships/webSettings" Target="webSettings.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hyperlink" Target="https://doi.org/10.1108/ijlss-12-2022-0253" TargetMode="External"/><Relationship Id="rId33" Type="http://schemas.openxmlformats.org/officeDocument/2006/relationships/hyperlink" Target="https://doi.org/10.3390/su14116476" TargetMode="External"/><Relationship Id="rId38" Type="http://schemas.openxmlformats.org/officeDocument/2006/relationships/hyperlink" Target="https://www.prnewswire.com/news-releases/marriott-international-reports-fourth-quarter-and-full-year-2024-results-302372780.html" TargetMode="External"/><Relationship Id="rId46" Type="http://schemas.openxmlformats.org/officeDocument/2006/relationships/hyperlink" Target="https://doi.org/10.47577/business.v7i.10585" TargetMode="External"/><Relationship Id="rId20" Type="http://schemas.openxmlformats.org/officeDocument/2006/relationships/diagramColors" Target="diagrams/colors3.xml"/><Relationship Id="rId41" Type="http://schemas.openxmlformats.org/officeDocument/2006/relationships/hyperlink" Target="https://doi.org/10.4108/eai.17-7-2020.2302998" TargetMode="External"/><Relationship Id="rId1" Type="http://schemas.openxmlformats.org/officeDocument/2006/relationships/styles" Target="styles.xml"/><Relationship Id="rId6"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D47CF9-D34D-4524-A149-0C98B97D7D46}" type="doc">
      <dgm:prSet loTypeId="urn:microsoft.com/office/officeart/2005/8/layout/default#1" loCatId="list" qsTypeId="urn:microsoft.com/office/officeart/2005/8/quickstyle/simple1" qsCatId="simple" csTypeId="urn:microsoft.com/office/officeart/2005/8/colors/colorful5" csCatId="colorful" phldr="1"/>
      <dgm:spPr/>
      <dgm:t>
        <a:bodyPr/>
        <a:lstStyle/>
        <a:p>
          <a:endParaRPr lang="en-US"/>
        </a:p>
      </dgm:t>
    </dgm:pt>
    <dgm:pt modelId="{0A531186-F7F3-43BE-9657-8C71FB80C8A5}">
      <dgm:prSet phldrT="[Text]"/>
      <dgm:spPr/>
      <dgm:t>
        <a:bodyPr/>
        <a:lstStyle/>
        <a:p>
          <a:r>
            <a:rPr lang="en-US"/>
            <a:t>Artifacts: Marriott’s artifacts are reflected in its hotel design, customer service policies, and strong brand identity. The company maintains a consistent visual aesthetic across its properties, with luxury and premium hotel designs catering to different market segments. Customer service is highly standardized, ensuring a seamless experience across locations. Additionally, Marriott’s Bonvoy loyalty program serves as a visible cultural artifact, reinforcing customer engagement and brand loyalty (Hameli, 2024).</a:t>
          </a:r>
        </a:p>
      </dgm:t>
    </dgm:pt>
    <dgm:pt modelId="{18D3F43D-DC87-4458-9ABB-434073DD64DA}" type="parTrans" cxnId="{0378464D-D9D9-48D5-8FEE-B1CC588CFBBD}">
      <dgm:prSet/>
      <dgm:spPr/>
      <dgm:t>
        <a:bodyPr/>
        <a:lstStyle/>
        <a:p>
          <a:endParaRPr lang="en-US"/>
        </a:p>
      </dgm:t>
    </dgm:pt>
    <dgm:pt modelId="{083DF0DA-74A6-4B51-BE59-4EE29D33FB51}" type="sibTrans" cxnId="{0378464D-D9D9-48D5-8FEE-B1CC588CFBBD}">
      <dgm:prSet/>
      <dgm:spPr/>
      <dgm:t>
        <a:bodyPr/>
        <a:lstStyle/>
        <a:p>
          <a:endParaRPr lang="en-US"/>
        </a:p>
      </dgm:t>
    </dgm:pt>
    <dgm:pt modelId="{737DCB3B-7B66-4BA6-99F4-83792EF88989}">
      <dgm:prSet/>
      <dgm:spPr/>
      <dgm:t>
        <a:bodyPr/>
        <a:lstStyle/>
        <a:p>
          <a:r>
            <a:rPr lang="en-US"/>
            <a:t>Espoused Values: Marriott publicly promotes inclusivity, sustainability, and guest satisfaction as core values. These values are embedded in corporate policies, such as its diversity and inclusion programs and environmental sustainability initiatives. Marriott’s commitment to reducing its carbon footprint and supporting local communities highlights its long-term vision for responsible hospitality (Hameli, 2024).</a:t>
          </a:r>
        </a:p>
      </dgm:t>
    </dgm:pt>
    <dgm:pt modelId="{ED20E357-E19B-4A8D-8ACA-E87B0B35DAFE}" type="parTrans" cxnId="{44CB1CD1-18F4-4C15-A031-63CE89F6411D}">
      <dgm:prSet/>
      <dgm:spPr/>
      <dgm:t>
        <a:bodyPr/>
        <a:lstStyle/>
        <a:p>
          <a:endParaRPr lang="en-US"/>
        </a:p>
      </dgm:t>
    </dgm:pt>
    <dgm:pt modelId="{8885D424-808A-4311-A5E8-6CD8AFEE7545}" type="sibTrans" cxnId="{44CB1CD1-18F4-4C15-A031-63CE89F6411D}">
      <dgm:prSet/>
      <dgm:spPr/>
      <dgm:t>
        <a:bodyPr/>
        <a:lstStyle/>
        <a:p>
          <a:endParaRPr lang="en-US"/>
        </a:p>
      </dgm:t>
    </dgm:pt>
    <dgm:pt modelId="{E6B97F06-EE96-4947-B971-95DF7FA9AA12}">
      <dgm:prSet/>
      <dgm:spPr/>
      <dgm:t>
        <a:bodyPr/>
        <a:lstStyle/>
        <a:p>
          <a:r>
            <a:rPr lang="en-US"/>
            <a:t>Basic Assumptions: Marriott’s deeply embedded beliefs revolve around hospitality excellence and employee empowerment. The company fosters a culture of putting people first, ensuring that both employees and guests feel valued. Marriott’s emphasis on career growth and internal promotions reflects its belief in long-term employee development as a key driver of service quality and customer satisfaction (Hameli, 2024).</a:t>
          </a:r>
        </a:p>
      </dgm:t>
    </dgm:pt>
    <dgm:pt modelId="{16464064-DEE8-497B-8D5E-1D952FC9CA84}" type="parTrans" cxnId="{DA4C7BDC-8BEF-4F02-8681-D700548C6AE4}">
      <dgm:prSet/>
      <dgm:spPr/>
      <dgm:t>
        <a:bodyPr/>
        <a:lstStyle/>
        <a:p>
          <a:endParaRPr lang="en-US"/>
        </a:p>
      </dgm:t>
    </dgm:pt>
    <dgm:pt modelId="{FD2B2C6F-CDA0-4555-BBBE-4040637C6270}" type="sibTrans" cxnId="{DA4C7BDC-8BEF-4F02-8681-D700548C6AE4}">
      <dgm:prSet/>
      <dgm:spPr/>
      <dgm:t>
        <a:bodyPr/>
        <a:lstStyle/>
        <a:p>
          <a:endParaRPr lang="en-US"/>
        </a:p>
      </dgm:t>
    </dgm:pt>
    <dgm:pt modelId="{A4626D6A-945B-47B4-BF69-3D5915CB1D94}" type="pres">
      <dgm:prSet presAssocID="{42D47CF9-D34D-4524-A149-0C98B97D7D46}" presName="diagram" presStyleCnt="0">
        <dgm:presLayoutVars>
          <dgm:dir/>
          <dgm:resizeHandles val="exact"/>
        </dgm:presLayoutVars>
      </dgm:prSet>
      <dgm:spPr/>
    </dgm:pt>
    <dgm:pt modelId="{181C9E17-4DFC-4EBC-BB83-648FE4B3E076}" type="pres">
      <dgm:prSet presAssocID="{0A531186-F7F3-43BE-9657-8C71FB80C8A5}" presName="node" presStyleLbl="node1" presStyleIdx="0" presStyleCnt="3" custScaleY="283465">
        <dgm:presLayoutVars>
          <dgm:bulletEnabled val="1"/>
        </dgm:presLayoutVars>
      </dgm:prSet>
      <dgm:spPr/>
    </dgm:pt>
    <dgm:pt modelId="{D485E426-CBB1-4933-B16A-D17E37B85F59}" type="pres">
      <dgm:prSet presAssocID="{083DF0DA-74A6-4B51-BE59-4EE29D33FB51}" presName="sibTrans" presStyleCnt="0"/>
      <dgm:spPr/>
    </dgm:pt>
    <dgm:pt modelId="{E48AFB03-DF0F-4019-BEB4-E0AA32A460E3}" type="pres">
      <dgm:prSet presAssocID="{737DCB3B-7B66-4BA6-99F4-83792EF88989}" presName="node" presStyleLbl="node1" presStyleIdx="1" presStyleCnt="3" custScaleY="283465">
        <dgm:presLayoutVars>
          <dgm:bulletEnabled val="1"/>
        </dgm:presLayoutVars>
      </dgm:prSet>
      <dgm:spPr/>
    </dgm:pt>
    <dgm:pt modelId="{D8382803-0331-4CBB-878A-5B74F3253136}" type="pres">
      <dgm:prSet presAssocID="{8885D424-808A-4311-A5E8-6CD8AFEE7545}" presName="sibTrans" presStyleCnt="0"/>
      <dgm:spPr/>
    </dgm:pt>
    <dgm:pt modelId="{5404D75C-60BB-4C53-AF79-B689D0C546F6}" type="pres">
      <dgm:prSet presAssocID="{E6B97F06-EE96-4947-B971-95DF7FA9AA12}" presName="node" presStyleLbl="node1" presStyleIdx="2" presStyleCnt="3" custScaleY="283465">
        <dgm:presLayoutVars>
          <dgm:bulletEnabled val="1"/>
        </dgm:presLayoutVars>
      </dgm:prSet>
      <dgm:spPr/>
    </dgm:pt>
  </dgm:ptLst>
  <dgm:cxnLst>
    <dgm:cxn modelId="{7B5E4917-937A-415C-8975-5E5AFC3D072D}" type="presOf" srcId="{E6B97F06-EE96-4947-B971-95DF7FA9AA12}" destId="{5404D75C-60BB-4C53-AF79-B689D0C546F6}" srcOrd="0" destOrd="0" presId="urn:microsoft.com/office/officeart/2005/8/layout/default#1"/>
    <dgm:cxn modelId="{71532D1D-DAD7-4E39-8F4B-6307EE864656}" type="presOf" srcId="{0A531186-F7F3-43BE-9657-8C71FB80C8A5}" destId="{181C9E17-4DFC-4EBC-BB83-648FE4B3E076}" srcOrd="0" destOrd="0" presId="urn:microsoft.com/office/officeart/2005/8/layout/default#1"/>
    <dgm:cxn modelId="{24968426-AFF7-407B-BAFA-C08434E60E6D}" type="presOf" srcId="{42D47CF9-D34D-4524-A149-0C98B97D7D46}" destId="{A4626D6A-945B-47B4-BF69-3D5915CB1D94}" srcOrd="0" destOrd="0" presId="urn:microsoft.com/office/officeart/2005/8/layout/default#1"/>
    <dgm:cxn modelId="{0378464D-D9D9-48D5-8FEE-B1CC588CFBBD}" srcId="{42D47CF9-D34D-4524-A149-0C98B97D7D46}" destId="{0A531186-F7F3-43BE-9657-8C71FB80C8A5}" srcOrd="0" destOrd="0" parTransId="{18D3F43D-DC87-4458-9ABB-434073DD64DA}" sibTransId="{083DF0DA-74A6-4B51-BE59-4EE29D33FB51}"/>
    <dgm:cxn modelId="{9F0D0AB1-BB14-4BBD-A022-23FA97C95FB7}" type="presOf" srcId="{737DCB3B-7B66-4BA6-99F4-83792EF88989}" destId="{E48AFB03-DF0F-4019-BEB4-E0AA32A460E3}" srcOrd="0" destOrd="0" presId="urn:microsoft.com/office/officeart/2005/8/layout/default#1"/>
    <dgm:cxn modelId="{44CB1CD1-18F4-4C15-A031-63CE89F6411D}" srcId="{42D47CF9-D34D-4524-A149-0C98B97D7D46}" destId="{737DCB3B-7B66-4BA6-99F4-83792EF88989}" srcOrd="1" destOrd="0" parTransId="{ED20E357-E19B-4A8D-8ACA-E87B0B35DAFE}" sibTransId="{8885D424-808A-4311-A5E8-6CD8AFEE7545}"/>
    <dgm:cxn modelId="{DA4C7BDC-8BEF-4F02-8681-D700548C6AE4}" srcId="{42D47CF9-D34D-4524-A149-0C98B97D7D46}" destId="{E6B97F06-EE96-4947-B971-95DF7FA9AA12}" srcOrd="2" destOrd="0" parTransId="{16464064-DEE8-497B-8D5E-1D952FC9CA84}" sibTransId="{FD2B2C6F-CDA0-4555-BBBE-4040637C6270}"/>
    <dgm:cxn modelId="{F2494430-F815-47A3-B946-FB41A0187B15}" type="presParOf" srcId="{A4626D6A-945B-47B4-BF69-3D5915CB1D94}" destId="{181C9E17-4DFC-4EBC-BB83-648FE4B3E076}" srcOrd="0" destOrd="0" presId="urn:microsoft.com/office/officeart/2005/8/layout/default#1"/>
    <dgm:cxn modelId="{7E503467-C893-4A66-83B6-20A1D8685050}" type="presParOf" srcId="{A4626D6A-945B-47B4-BF69-3D5915CB1D94}" destId="{D485E426-CBB1-4933-B16A-D17E37B85F59}" srcOrd="1" destOrd="0" presId="urn:microsoft.com/office/officeart/2005/8/layout/default#1"/>
    <dgm:cxn modelId="{90AF3C5A-D20A-447B-BFF1-529464CA10DB}" type="presParOf" srcId="{A4626D6A-945B-47B4-BF69-3D5915CB1D94}" destId="{E48AFB03-DF0F-4019-BEB4-E0AA32A460E3}" srcOrd="2" destOrd="0" presId="urn:microsoft.com/office/officeart/2005/8/layout/default#1"/>
    <dgm:cxn modelId="{157671E9-4E9C-4993-85FC-2BE81C497DB5}" type="presParOf" srcId="{A4626D6A-945B-47B4-BF69-3D5915CB1D94}" destId="{D8382803-0331-4CBB-878A-5B74F3253136}" srcOrd="3" destOrd="0" presId="urn:microsoft.com/office/officeart/2005/8/layout/default#1"/>
    <dgm:cxn modelId="{5F4EDAF3-60ED-4695-9155-E4D5843FB993}" type="presParOf" srcId="{A4626D6A-945B-47B4-BF69-3D5915CB1D94}" destId="{5404D75C-60BB-4C53-AF79-B689D0C546F6}" srcOrd="4" destOrd="0" presId="urn:microsoft.com/office/officeart/2005/8/layout/defaul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AA05901-276A-41D0-8560-DD448C062889}" type="doc">
      <dgm:prSet loTypeId="urn:microsoft.com/office/officeart/2008/layout/VerticalCurvedList#1" loCatId="list" qsTypeId="urn:microsoft.com/office/officeart/2005/8/quickstyle/simple1" qsCatId="simple" csTypeId="urn:microsoft.com/office/officeart/2005/8/colors/colorful4" csCatId="colorful" phldr="1"/>
      <dgm:spPr/>
      <dgm:t>
        <a:bodyPr/>
        <a:lstStyle/>
        <a:p>
          <a:endParaRPr lang="en-US"/>
        </a:p>
      </dgm:t>
    </dgm:pt>
    <dgm:pt modelId="{1AF2A464-10A0-4471-A7C3-A993366562F7}">
      <dgm:prSet phldrT="[Text]"/>
      <dgm:spPr/>
      <dgm:t>
        <a:bodyPr/>
        <a:lstStyle/>
        <a:p>
          <a:r>
            <a:rPr lang="en-US"/>
            <a:t>Commitment to Innovation: Marriott prioritizes technological advancements, particularly AI-driven service improvements, to enhance customer experiences and streamline operations (Marriott International, 2025).</a:t>
          </a:r>
        </a:p>
      </dgm:t>
    </dgm:pt>
    <dgm:pt modelId="{1A0B48E1-0AAA-46CB-B849-F43AF4B45517}" type="parTrans" cxnId="{97BCE509-6A94-4A0E-9058-63A8FD51B4CB}">
      <dgm:prSet/>
      <dgm:spPr/>
      <dgm:t>
        <a:bodyPr/>
        <a:lstStyle/>
        <a:p>
          <a:endParaRPr lang="en-US"/>
        </a:p>
      </dgm:t>
    </dgm:pt>
    <dgm:pt modelId="{11FBE4A7-D081-4EFD-8CCF-784D6EA6D64A}" type="sibTrans" cxnId="{97BCE509-6A94-4A0E-9058-63A8FD51B4CB}">
      <dgm:prSet/>
      <dgm:spPr/>
      <dgm:t>
        <a:bodyPr/>
        <a:lstStyle/>
        <a:p>
          <a:endParaRPr lang="en-US"/>
        </a:p>
      </dgm:t>
    </dgm:pt>
    <dgm:pt modelId="{40258F5B-BA08-48AE-A7CC-F26E519F5BED}">
      <dgm:prSet/>
      <dgm:spPr/>
      <dgm:t>
        <a:bodyPr/>
        <a:lstStyle/>
        <a:p>
          <a:r>
            <a:rPr lang="en-US"/>
            <a:t>Customer-Centric Approach: The company focuses on expanding guest loyalty programs, such as Bonvoy, to drive retention and engagement through personalized rewards and experiences (Mihai et al., 2024).</a:t>
          </a:r>
        </a:p>
      </dgm:t>
    </dgm:pt>
    <dgm:pt modelId="{BC6CE9B9-3224-4CC4-BDFF-61CAB1FDE8BA}" type="parTrans" cxnId="{AF7E680A-0349-4235-99A9-7009248DB2C9}">
      <dgm:prSet/>
      <dgm:spPr/>
      <dgm:t>
        <a:bodyPr/>
        <a:lstStyle/>
        <a:p>
          <a:endParaRPr lang="en-US"/>
        </a:p>
      </dgm:t>
    </dgm:pt>
    <dgm:pt modelId="{25DBBF1F-9FE8-4238-8106-20689E7F3F30}" type="sibTrans" cxnId="{AF7E680A-0349-4235-99A9-7009248DB2C9}">
      <dgm:prSet/>
      <dgm:spPr/>
      <dgm:t>
        <a:bodyPr/>
        <a:lstStyle/>
        <a:p>
          <a:endParaRPr lang="en-US"/>
        </a:p>
      </dgm:t>
    </dgm:pt>
    <dgm:pt modelId="{99CFE1A9-2842-4AF8-BCEA-1E6E463CE65D}">
      <dgm:prSet/>
      <dgm:spPr/>
      <dgm:t>
        <a:bodyPr/>
        <a:lstStyle/>
        <a:p>
          <a:r>
            <a:rPr lang="en-US"/>
            <a:t>Sustainability Leadership: Marriott aims to achieve carbon neutrality by 2050, integrating eco-friendly construction, energy-efficient operations, and sustainable tourism initiatives into its long-term strategy (Marriott International, 2018).</a:t>
          </a:r>
        </a:p>
      </dgm:t>
    </dgm:pt>
    <dgm:pt modelId="{486F5CA6-86A1-4B31-AD3A-630833172A85}" type="parTrans" cxnId="{CC847A21-AB12-47D6-80F5-98706C9CC4AE}">
      <dgm:prSet/>
      <dgm:spPr/>
      <dgm:t>
        <a:bodyPr/>
        <a:lstStyle/>
        <a:p>
          <a:endParaRPr lang="en-US"/>
        </a:p>
      </dgm:t>
    </dgm:pt>
    <dgm:pt modelId="{2C2D12F6-9904-425A-BFB3-7DC81E2FDEDA}" type="sibTrans" cxnId="{CC847A21-AB12-47D6-80F5-98706C9CC4AE}">
      <dgm:prSet/>
      <dgm:spPr/>
      <dgm:t>
        <a:bodyPr/>
        <a:lstStyle/>
        <a:p>
          <a:endParaRPr lang="en-US"/>
        </a:p>
      </dgm:t>
    </dgm:pt>
    <dgm:pt modelId="{4CEC191D-6260-4061-B53A-9FB2BF114AA9}">
      <dgm:prSet/>
      <dgm:spPr/>
      <dgm:t>
        <a:bodyPr/>
        <a:lstStyle/>
        <a:p>
          <a:r>
            <a:rPr lang="en-US"/>
            <a:t>Global Market Expansion: Targeting emerging markets, Marriott seeks to strengthen its presence in Asia-Pacific, the Middle East, and Africa, ensuring diversified revenue streams and competitive positioning (Marriott International, Inc., 2025).</a:t>
          </a:r>
        </a:p>
      </dgm:t>
    </dgm:pt>
    <dgm:pt modelId="{6AC9AC1B-D925-4AC9-AE15-3D75B87840EE}" type="parTrans" cxnId="{D7ED2E32-F1B1-4A2E-83B4-6E7BB649E595}">
      <dgm:prSet/>
      <dgm:spPr/>
      <dgm:t>
        <a:bodyPr/>
        <a:lstStyle/>
        <a:p>
          <a:endParaRPr lang="en-US"/>
        </a:p>
      </dgm:t>
    </dgm:pt>
    <dgm:pt modelId="{948FD4FF-F33C-494F-A550-CAB173FB2DE3}" type="sibTrans" cxnId="{D7ED2E32-F1B1-4A2E-83B4-6E7BB649E595}">
      <dgm:prSet/>
      <dgm:spPr/>
      <dgm:t>
        <a:bodyPr/>
        <a:lstStyle/>
        <a:p>
          <a:endParaRPr lang="en-US"/>
        </a:p>
      </dgm:t>
    </dgm:pt>
    <dgm:pt modelId="{CE210579-48DF-4D2A-AA76-A449926C6E4D}" type="pres">
      <dgm:prSet presAssocID="{6AA05901-276A-41D0-8560-DD448C062889}" presName="Name0" presStyleCnt="0">
        <dgm:presLayoutVars>
          <dgm:chMax val="7"/>
          <dgm:chPref val="7"/>
          <dgm:dir/>
        </dgm:presLayoutVars>
      </dgm:prSet>
      <dgm:spPr/>
    </dgm:pt>
    <dgm:pt modelId="{383BD115-8A3F-4037-A9F7-EFF2E0D1BE96}" type="pres">
      <dgm:prSet presAssocID="{6AA05901-276A-41D0-8560-DD448C062889}" presName="Name1" presStyleCnt="0"/>
      <dgm:spPr/>
    </dgm:pt>
    <dgm:pt modelId="{27C16A10-0381-47AF-B635-810C2FE76AF3}" type="pres">
      <dgm:prSet presAssocID="{6AA05901-276A-41D0-8560-DD448C062889}" presName="cycle" presStyleCnt="0"/>
      <dgm:spPr/>
    </dgm:pt>
    <dgm:pt modelId="{2D9AA464-8C06-4863-8001-48A1CA20F7AD}" type="pres">
      <dgm:prSet presAssocID="{6AA05901-276A-41D0-8560-DD448C062889}" presName="srcNode" presStyleLbl="node1" presStyleIdx="0" presStyleCnt="4"/>
      <dgm:spPr/>
    </dgm:pt>
    <dgm:pt modelId="{27B2B292-1C8F-4CE6-AFB1-BAC321730CE4}" type="pres">
      <dgm:prSet presAssocID="{6AA05901-276A-41D0-8560-DD448C062889}" presName="conn" presStyleLbl="parChTrans1D2" presStyleIdx="0" presStyleCnt="1"/>
      <dgm:spPr/>
    </dgm:pt>
    <dgm:pt modelId="{78D0134A-950B-4774-83E6-AE778D52AF5D}" type="pres">
      <dgm:prSet presAssocID="{6AA05901-276A-41D0-8560-DD448C062889}" presName="extraNode" presStyleLbl="node1" presStyleIdx="0" presStyleCnt="4"/>
      <dgm:spPr/>
    </dgm:pt>
    <dgm:pt modelId="{248320F4-79CE-423A-83DC-530817DF5BFB}" type="pres">
      <dgm:prSet presAssocID="{6AA05901-276A-41D0-8560-DD448C062889}" presName="dstNode" presStyleLbl="node1" presStyleIdx="0" presStyleCnt="4"/>
      <dgm:spPr/>
    </dgm:pt>
    <dgm:pt modelId="{733E52B1-2DCA-4D5B-A2D4-B6E795B8A662}" type="pres">
      <dgm:prSet presAssocID="{1AF2A464-10A0-4471-A7C3-A993366562F7}" presName="text_1" presStyleLbl="node1" presStyleIdx="0" presStyleCnt="4">
        <dgm:presLayoutVars>
          <dgm:bulletEnabled val="1"/>
        </dgm:presLayoutVars>
      </dgm:prSet>
      <dgm:spPr/>
    </dgm:pt>
    <dgm:pt modelId="{F0329CA1-956D-47B7-9922-270EE3291266}" type="pres">
      <dgm:prSet presAssocID="{1AF2A464-10A0-4471-A7C3-A993366562F7}" presName="accent_1" presStyleCnt="0"/>
      <dgm:spPr/>
    </dgm:pt>
    <dgm:pt modelId="{062A16AF-76FF-4167-BD45-9A2686EF1B18}" type="pres">
      <dgm:prSet presAssocID="{1AF2A464-10A0-4471-A7C3-A993366562F7}" presName="accentRepeatNode" presStyleLbl="solidFgAcc1" presStyleIdx="0" presStyleCnt="4"/>
      <dgm:spPr/>
    </dgm:pt>
    <dgm:pt modelId="{1C3FFA51-4A73-49F4-B866-26EC4CAEE906}" type="pres">
      <dgm:prSet presAssocID="{40258F5B-BA08-48AE-A7CC-F26E519F5BED}" presName="text_2" presStyleLbl="node1" presStyleIdx="1" presStyleCnt="4">
        <dgm:presLayoutVars>
          <dgm:bulletEnabled val="1"/>
        </dgm:presLayoutVars>
      </dgm:prSet>
      <dgm:spPr/>
    </dgm:pt>
    <dgm:pt modelId="{F6C8266E-0653-46EE-8297-A99168145B19}" type="pres">
      <dgm:prSet presAssocID="{40258F5B-BA08-48AE-A7CC-F26E519F5BED}" presName="accent_2" presStyleCnt="0"/>
      <dgm:spPr/>
    </dgm:pt>
    <dgm:pt modelId="{A1504ED4-E73A-4752-AE91-BBD7BA2418BC}" type="pres">
      <dgm:prSet presAssocID="{40258F5B-BA08-48AE-A7CC-F26E519F5BED}" presName="accentRepeatNode" presStyleLbl="solidFgAcc1" presStyleIdx="1" presStyleCnt="4"/>
      <dgm:spPr/>
    </dgm:pt>
    <dgm:pt modelId="{0881101A-8E9A-4E46-9CA5-09776BB05B2A}" type="pres">
      <dgm:prSet presAssocID="{99CFE1A9-2842-4AF8-BCEA-1E6E463CE65D}" presName="text_3" presStyleLbl="node1" presStyleIdx="2" presStyleCnt="4">
        <dgm:presLayoutVars>
          <dgm:bulletEnabled val="1"/>
        </dgm:presLayoutVars>
      </dgm:prSet>
      <dgm:spPr/>
    </dgm:pt>
    <dgm:pt modelId="{9DA489E8-A398-47DA-B0F6-C0B821124AFE}" type="pres">
      <dgm:prSet presAssocID="{99CFE1A9-2842-4AF8-BCEA-1E6E463CE65D}" presName="accent_3" presStyleCnt="0"/>
      <dgm:spPr/>
    </dgm:pt>
    <dgm:pt modelId="{A430080F-492B-4E51-9F44-555B9F44190E}" type="pres">
      <dgm:prSet presAssocID="{99CFE1A9-2842-4AF8-BCEA-1E6E463CE65D}" presName="accentRepeatNode" presStyleLbl="solidFgAcc1" presStyleIdx="2" presStyleCnt="4"/>
      <dgm:spPr/>
    </dgm:pt>
    <dgm:pt modelId="{CA2886D7-3916-4499-8C04-3134C64B2DD8}" type="pres">
      <dgm:prSet presAssocID="{4CEC191D-6260-4061-B53A-9FB2BF114AA9}" presName="text_4" presStyleLbl="node1" presStyleIdx="3" presStyleCnt="4">
        <dgm:presLayoutVars>
          <dgm:bulletEnabled val="1"/>
        </dgm:presLayoutVars>
      </dgm:prSet>
      <dgm:spPr/>
    </dgm:pt>
    <dgm:pt modelId="{C2B28F8E-1E94-4FD8-A796-CA91558AD6E6}" type="pres">
      <dgm:prSet presAssocID="{4CEC191D-6260-4061-B53A-9FB2BF114AA9}" presName="accent_4" presStyleCnt="0"/>
      <dgm:spPr/>
    </dgm:pt>
    <dgm:pt modelId="{92DDCA7A-81A7-4862-9C14-2407D7151F96}" type="pres">
      <dgm:prSet presAssocID="{4CEC191D-6260-4061-B53A-9FB2BF114AA9}" presName="accentRepeatNode" presStyleLbl="solidFgAcc1" presStyleIdx="3" presStyleCnt="4"/>
      <dgm:spPr/>
    </dgm:pt>
  </dgm:ptLst>
  <dgm:cxnLst>
    <dgm:cxn modelId="{C473E400-75AF-4958-A56A-A113174CFD86}" type="presOf" srcId="{1AF2A464-10A0-4471-A7C3-A993366562F7}" destId="{733E52B1-2DCA-4D5B-A2D4-B6E795B8A662}" srcOrd="0" destOrd="0" presId="urn:microsoft.com/office/officeart/2008/layout/VerticalCurvedList#1"/>
    <dgm:cxn modelId="{97BCE509-6A94-4A0E-9058-63A8FD51B4CB}" srcId="{6AA05901-276A-41D0-8560-DD448C062889}" destId="{1AF2A464-10A0-4471-A7C3-A993366562F7}" srcOrd="0" destOrd="0" parTransId="{1A0B48E1-0AAA-46CB-B849-F43AF4B45517}" sibTransId="{11FBE4A7-D081-4EFD-8CCF-784D6EA6D64A}"/>
    <dgm:cxn modelId="{AF7E680A-0349-4235-99A9-7009248DB2C9}" srcId="{6AA05901-276A-41D0-8560-DD448C062889}" destId="{40258F5B-BA08-48AE-A7CC-F26E519F5BED}" srcOrd="1" destOrd="0" parTransId="{BC6CE9B9-3224-4CC4-BDFF-61CAB1FDE8BA}" sibTransId="{25DBBF1F-9FE8-4238-8106-20689E7F3F30}"/>
    <dgm:cxn modelId="{CC847A21-AB12-47D6-80F5-98706C9CC4AE}" srcId="{6AA05901-276A-41D0-8560-DD448C062889}" destId="{99CFE1A9-2842-4AF8-BCEA-1E6E463CE65D}" srcOrd="2" destOrd="0" parTransId="{486F5CA6-86A1-4B31-AD3A-630833172A85}" sibTransId="{2C2D12F6-9904-425A-BFB3-7DC81E2FDEDA}"/>
    <dgm:cxn modelId="{D7ED2E32-F1B1-4A2E-83B4-6E7BB649E595}" srcId="{6AA05901-276A-41D0-8560-DD448C062889}" destId="{4CEC191D-6260-4061-B53A-9FB2BF114AA9}" srcOrd="3" destOrd="0" parTransId="{6AC9AC1B-D925-4AC9-AE15-3D75B87840EE}" sibTransId="{948FD4FF-F33C-494F-A550-CAB173FB2DE3}"/>
    <dgm:cxn modelId="{198A6790-674D-4C8A-AF3F-BDC40C3EBD49}" type="presOf" srcId="{6AA05901-276A-41D0-8560-DD448C062889}" destId="{CE210579-48DF-4D2A-AA76-A449926C6E4D}" srcOrd="0" destOrd="0" presId="urn:microsoft.com/office/officeart/2008/layout/VerticalCurvedList#1"/>
    <dgm:cxn modelId="{09BD4895-E64B-44F3-9E10-37C3744C4BCB}" type="presOf" srcId="{40258F5B-BA08-48AE-A7CC-F26E519F5BED}" destId="{1C3FFA51-4A73-49F4-B866-26EC4CAEE906}" srcOrd="0" destOrd="0" presId="urn:microsoft.com/office/officeart/2008/layout/VerticalCurvedList#1"/>
    <dgm:cxn modelId="{E1AD7FA3-B375-4A72-987E-EDD1A1041FDA}" type="presOf" srcId="{99CFE1A9-2842-4AF8-BCEA-1E6E463CE65D}" destId="{0881101A-8E9A-4E46-9CA5-09776BB05B2A}" srcOrd="0" destOrd="0" presId="urn:microsoft.com/office/officeart/2008/layout/VerticalCurvedList#1"/>
    <dgm:cxn modelId="{A3D022B3-12D5-4E3A-BA54-2D868CD86859}" type="presOf" srcId="{11FBE4A7-D081-4EFD-8CCF-784D6EA6D64A}" destId="{27B2B292-1C8F-4CE6-AFB1-BAC321730CE4}" srcOrd="0" destOrd="0" presId="urn:microsoft.com/office/officeart/2008/layout/VerticalCurvedList#1"/>
    <dgm:cxn modelId="{F807E9C2-DF6A-4EFB-872A-499E6FD87D7B}" type="presOf" srcId="{4CEC191D-6260-4061-B53A-9FB2BF114AA9}" destId="{CA2886D7-3916-4499-8C04-3134C64B2DD8}" srcOrd="0" destOrd="0" presId="urn:microsoft.com/office/officeart/2008/layout/VerticalCurvedList#1"/>
    <dgm:cxn modelId="{93D061CB-CE00-49FB-8E8D-5A4C12D2D810}" type="presParOf" srcId="{CE210579-48DF-4D2A-AA76-A449926C6E4D}" destId="{383BD115-8A3F-4037-A9F7-EFF2E0D1BE96}" srcOrd="0" destOrd="0" presId="urn:microsoft.com/office/officeart/2008/layout/VerticalCurvedList#1"/>
    <dgm:cxn modelId="{F33F6439-90FE-4EBA-9FFA-4C9786BB3947}" type="presParOf" srcId="{383BD115-8A3F-4037-A9F7-EFF2E0D1BE96}" destId="{27C16A10-0381-47AF-B635-810C2FE76AF3}" srcOrd="0" destOrd="0" presId="urn:microsoft.com/office/officeart/2008/layout/VerticalCurvedList#1"/>
    <dgm:cxn modelId="{4EBF16F0-355C-4A53-A3CF-88BE3A44EF25}" type="presParOf" srcId="{27C16A10-0381-47AF-B635-810C2FE76AF3}" destId="{2D9AA464-8C06-4863-8001-48A1CA20F7AD}" srcOrd="0" destOrd="0" presId="urn:microsoft.com/office/officeart/2008/layout/VerticalCurvedList#1"/>
    <dgm:cxn modelId="{82B9467E-B772-4E51-BCD3-CA095940CD65}" type="presParOf" srcId="{27C16A10-0381-47AF-B635-810C2FE76AF3}" destId="{27B2B292-1C8F-4CE6-AFB1-BAC321730CE4}" srcOrd="1" destOrd="0" presId="urn:microsoft.com/office/officeart/2008/layout/VerticalCurvedList#1"/>
    <dgm:cxn modelId="{D364B543-707C-405E-9846-755A3B72F2CF}" type="presParOf" srcId="{27C16A10-0381-47AF-B635-810C2FE76AF3}" destId="{78D0134A-950B-4774-83E6-AE778D52AF5D}" srcOrd="2" destOrd="0" presId="urn:microsoft.com/office/officeart/2008/layout/VerticalCurvedList#1"/>
    <dgm:cxn modelId="{DD6D6036-4079-4D39-B674-8FE8712FA9DA}" type="presParOf" srcId="{27C16A10-0381-47AF-B635-810C2FE76AF3}" destId="{248320F4-79CE-423A-83DC-530817DF5BFB}" srcOrd="3" destOrd="0" presId="urn:microsoft.com/office/officeart/2008/layout/VerticalCurvedList#1"/>
    <dgm:cxn modelId="{0861B3A7-DDBB-4CFC-A2FB-040BE99F3D6F}" type="presParOf" srcId="{383BD115-8A3F-4037-A9F7-EFF2E0D1BE96}" destId="{733E52B1-2DCA-4D5B-A2D4-B6E795B8A662}" srcOrd="1" destOrd="0" presId="urn:microsoft.com/office/officeart/2008/layout/VerticalCurvedList#1"/>
    <dgm:cxn modelId="{B338C69A-1266-45D9-9C0A-C12F3E94343F}" type="presParOf" srcId="{383BD115-8A3F-4037-A9F7-EFF2E0D1BE96}" destId="{F0329CA1-956D-47B7-9922-270EE3291266}" srcOrd="2" destOrd="0" presId="urn:microsoft.com/office/officeart/2008/layout/VerticalCurvedList#1"/>
    <dgm:cxn modelId="{14668C3A-A818-4FB1-9847-192673E7F20A}" type="presParOf" srcId="{F0329CA1-956D-47B7-9922-270EE3291266}" destId="{062A16AF-76FF-4167-BD45-9A2686EF1B18}" srcOrd="0" destOrd="0" presId="urn:microsoft.com/office/officeart/2008/layout/VerticalCurvedList#1"/>
    <dgm:cxn modelId="{33CD9CE0-7C1C-4DFC-861F-6CB36D8F3A31}" type="presParOf" srcId="{383BD115-8A3F-4037-A9F7-EFF2E0D1BE96}" destId="{1C3FFA51-4A73-49F4-B866-26EC4CAEE906}" srcOrd="3" destOrd="0" presId="urn:microsoft.com/office/officeart/2008/layout/VerticalCurvedList#1"/>
    <dgm:cxn modelId="{2C1FC4F0-204F-4D7E-8730-A7EA865A90ED}" type="presParOf" srcId="{383BD115-8A3F-4037-A9F7-EFF2E0D1BE96}" destId="{F6C8266E-0653-46EE-8297-A99168145B19}" srcOrd="4" destOrd="0" presId="urn:microsoft.com/office/officeart/2008/layout/VerticalCurvedList#1"/>
    <dgm:cxn modelId="{7D50BE7D-9386-4FCE-A1B8-94C978689735}" type="presParOf" srcId="{F6C8266E-0653-46EE-8297-A99168145B19}" destId="{A1504ED4-E73A-4752-AE91-BBD7BA2418BC}" srcOrd="0" destOrd="0" presId="urn:microsoft.com/office/officeart/2008/layout/VerticalCurvedList#1"/>
    <dgm:cxn modelId="{F7DF6844-2047-4C2A-9865-E656AAB829B9}" type="presParOf" srcId="{383BD115-8A3F-4037-A9F7-EFF2E0D1BE96}" destId="{0881101A-8E9A-4E46-9CA5-09776BB05B2A}" srcOrd="5" destOrd="0" presId="urn:microsoft.com/office/officeart/2008/layout/VerticalCurvedList#1"/>
    <dgm:cxn modelId="{E65F79AD-0D3D-40D4-9D98-AE749E9F8B0B}" type="presParOf" srcId="{383BD115-8A3F-4037-A9F7-EFF2E0D1BE96}" destId="{9DA489E8-A398-47DA-B0F6-C0B821124AFE}" srcOrd="6" destOrd="0" presId="urn:microsoft.com/office/officeart/2008/layout/VerticalCurvedList#1"/>
    <dgm:cxn modelId="{CD6F6084-EFD7-4D37-B607-6C479D8B8A69}" type="presParOf" srcId="{9DA489E8-A398-47DA-B0F6-C0B821124AFE}" destId="{A430080F-492B-4E51-9F44-555B9F44190E}" srcOrd="0" destOrd="0" presId="urn:microsoft.com/office/officeart/2008/layout/VerticalCurvedList#1"/>
    <dgm:cxn modelId="{C2C3C069-0A60-4F99-9E54-71E39570BE8E}" type="presParOf" srcId="{383BD115-8A3F-4037-A9F7-EFF2E0D1BE96}" destId="{CA2886D7-3916-4499-8C04-3134C64B2DD8}" srcOrd="7" destOrd="0" presId="urn:microsoft.com/office/officeart/2008/layout/VerticalCurvedList#1"/>
    <dgm:cxn modelId="{93331A2D-21AA-4F3F-988E-C082C6736971}" type="presParOf" srcId="{383BD115-8A3F-4037-A9F7-EFF2E0D1BE96}" destId="{C2B28F8E-1E94-4FD8-A796-CA91558AD6E6}" srcOrd="8" destOrd="0" presId="urn:microsoft.com/office/officeart/2008/layout/VerticalCurvedList#1"/>
    <dgm:cxn modelId="{D1F9D55E-01EA-4DE2-9D72-A9BE7C0530C7}" type="presParOf" srcId="{C2B28F8E-1E94-4FD8-A796-CA91558AD6E6}" destId="{92DDCA7A-81A7-4862-9C14-2407D7151F96}" srcOrd="0" destOrd="0" presId="urn:microsoft.com/office/officeart/2008/layout/VerticalCurved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BCE5D7C-FD8D-4851-AA49-89CEC1FF50C6}" type="doc">
      <dgm:prSet loTypeId="urn:microsoft.com/office/officeart/2005/8/layout/hList1" loCatId="list" qsTypeId="urn:microsoft.com/office/officeart/2005/8/quickstyle/simple1" qsCatId="simple" csTypeId="urn:microsoft.com/office/officeart/2005/8/colors/colorful3" csCatId="colorful" phldr="1"/>
      <dgm:spPr/>
      <dgm:t>
        <a:bodyPr/>
        <a:lstStyle/>
        <a:p>
          <a:endParaRPr lang="en-US"/>
        </a:p>
      </dgm:t>
    </dgm:pt>
    <dgm:pt modelId="{98F89870-55A8-41CC-AB8F-C170A666CE0D}">
      <dgm:prSet phldrT="[Text]"/>
      <dgm:spPr/>
      <dgm:t>
        <a:bodyPr/>
        <a:lstStyle/>
        <a:p>
          <a:r>
            <a:rPr lang="en-US" b="1"/>
            <a:t>Technology and AI Integration:</a:t>
          </a:r>
          <a:endParaRPr lang="en-US"/>
        </a:p>
      </dgm:t>
    </dgm:pt>
    <dgm:pt modelId="{38DA6793-6BF2-4C35-8069-79E0E3A8B1C7}" type="parTrans" cxnId="{8642033B-0E9B-417E-A008-A9B84C40418D}">
      <dgm:prSet/>
      <dgm:spPr/>
      <dgm:t>
        <a:bodyPr/>
        <a:lstStyle/>
        <a:p>
          <a:endParaRPr lang="en-US"/>
        </a:p>
      </dgm:t>
    </dgm:pt>
    <dgm:pt modelId="{5E5E8A63-CE15-4835-8EF8-B6F922C7134E}" type="sibTrans" cxnId="{8642033B-0E9B-417E-A008-A9B84C40418D}">
      <dgm:prSet/>
      <dgm:spPr/>
      <dgm:t>
        <a:bodyPr/>
        <a:lstStyle/>
        <a:p>
          <a:endParaRPr lang="en-US"/>
        </a:p>
      </dgm:t>
    </dgm:pt>
    <dgm:pt modelId="{93682D24-9859-45C5-9880-90CED6C99009}">
      <dgm:prSet/>
      <dgm:spPr/>
      <dgm:t>
        <a:bodyPr/>
        <a:lstStyle/>
        <a:p>
          <a:r>
            <a:rPr lang="en-US"/>
            <a:t>AI-powered personalization enhances customer service, optimizing pricing and operational efficiency (Marković et al., 2020).</a:t>
          </a:r>
        </a:p>
      </dgm:t>
    </dgm:pt>
    <dgm:pt modelId="{E1328A6B-053F-4E83-B494-940EE78C1E16}" type="parTrans" cxnId="{117D7F7C-0DB8-4DAB-86D5-D606CF9B5E86}">
      <dgm:prSet/>
      <dgm:spPr/>
      <dgm:t>
        <a:bodyPr/>
        <a:lstStyle/>
        <a:p>
          <a:endParaRPr lang="en-US"/>
        </a:p>
      </dgm:t>
    </dgm:pt>
    <dgm:pt modelId="{DEF41419-EDE4-408E-85AB-F84EFEF5DFCA}" type="sibTrans" cxnId="{117D7F7C-0DB8-4DAB-86D5-D606CF9B5E86}">
      <dgm:prSet/>
      <dgm:spPr/>
      <dgm:t>
        <a:bodyPr/>
        <a:lstStyle/>
        <a:p>
          <a:endParaRPr lang="en-US"/>
        </a:p>
      </dgm:t>
    </dgm:pt>
    <dgm:pt modelId="{8D51A343-5283-4621-B622-53EDE22AC1FF}">
      <dgm:prSet/>
      <dgm:spPr/>
      <dgm:t>
        <a:bodyPr/>
        <a:lstStyle/>
        <a:p>
          <a:r>
            <a:rPr lang="en-US"/>
            <a:t>Chatbots and automated check-in systems improve efficiency and guest satisfaction (Gunawan, Putri, and Meidia, 2020).</a:t>
          </a:r>
        </a:p>
      </dgm:t>
    </dgm:pt>
    <dgm:pt modelId="{02E3E883-6806-4949-8588-7D8BF0BBDCCD}" type="parTrans" cxnId="{F057EACB-BA63-4F46-9878-ECB8FA1F54EB}">
      <dgm:prSet/>
      <dgm:spPr/>
      <dgm:t>
        <a:bodyPr/>
        <a:lstStyle/>
        <a:p>
          <a:endParaRPr lang="en-US"/>
        </a:p>
      </dgm:t>
    </dgm:pt>
    <dgm:pt modelId="{4F910A41-E6D5-4EB7-9979-16DF21E2762D}" type="sibTrans" cxnId="{F057EACB-BA63-4F46-9878-ECB8FA1F54EB}">
      <dgm:prSet/>
      <dgm:spPr/>
      <dgm:t>
        <a:bodyPr/>
        <a:lstStyle/>
        <a:p>
          <a:endParaRPr lang="en-US"/>
        </a:p>
      </dgm:t>
    </dgm:pt>
    <dgm:pt modelId="{53E0CE39-7B50-41B0-9C6B-9BD33FC31C6A}">
      <dgm:prSet/>
      <dgm:spPr/>
      <dgm:t>
        <a:bodyPr/>
        <a:lstStyle/>
        <a:p>
          <a:r>
            <a:rPr lang="en-US" b="1"/>
            <a:t>Sustainability and Corporate Social Responsibility (CSR):</a:t>
          </a:r>
          <a:endParaRPr lang="en-US"/>
        </a:p>
      </dgm:t>
    </dgm:pt>
    <dgm:pt modelId="{FA767F99-2A10-4F75-A30E-4B62F3B5A320}" type="parTrans" cxnId="{20EA8F9C-8BB8-4FC9-81EA-5733B6701915}">
      <dgm:prSet/>
      <dgm:spPr/>
      <dgm:t>
        <a:bodyPr/>
        <a:lstStyle/>
        <a:p>
          <a:endParaRPr lang="en-US"/>
        </a:p>
      </dgm:t>
    </dgm:pt>
    <dgm:pt modelId="{F0F31ED1-5751-4E4E-B7CD-2EE5512DB075}" type="sibTrans" cxnId="{20EA8F9C-8BB8-4FC9-81EA-5733B6701915}">
      <dgm:prSet/>
      <dgm:spPr/>
      <dgm:t>
        <a:bodyPr/>
        <a:lstStyle/>
        <a:p>
          <a:endParaRPr lang="en-US"/>
        </a:p>
      </dgm:t>
    </dgm:pt>
    <dgm:pt modelId="{44B12EEB-FB5C-45D4-BF88-9CE79D06F847}">
      <dgm:prSet/>
      <dgm:spPr/>
      <dgm:t>
        <a:bodyPr/>
        <a:lstStyle/>
        <a:p>
          <a:r>
            <a:rPr lang="en-US"/>
            <a:t>Marriott implements green initiatives such as energy-efficient hotel designs, water conservation systems, and plastic reduction programs (Silva et al., 2024).</a:t>
          </a:r>
        </a:p>
      </dgm:t>
    </dgm:pt>
    <dgm:pt modelId="{1CD706BF-233C-4410-88BB-5A7EBD1447A1}" type="parTrans" cxnId="{47C7F9F2-7FB4-4563-B26F-7B2AFF651EA3}">
      <dgm:prSet/>
      <dgm:spPr/>
      <dgm:t>
        <a:bodyPr/>
        <a:lstStyle/>
        <a:p>
          <a:endParaRPr lang="en-US"/>
        </a:p>
      </dgm:t>
    </dgm:pt>
    <dgm:pt modelId="{0C2E0311-5E54-4FB1-912A-3489835661CB}" type="sibTrans" cxnId="{47C7F9F2-7FB4-4563-B26F-7B2AFF651EA3}">
      <dgm:prSet/>
      <dgm:spPr/>
      <dgm:t>
        <a:bodyPr/>
        <a:lstStyle/>
        <a:p>
          <a:endParaRPr lang="en-US"/>
        </a:p>
      </dgm:t>
    </dgm:pt>
    <dgm:pt modelId="{E85E6015-7ADE-4C8D-9763-72742CB7947C}">
      <dgm:prSet/>
      <dgm:spPr/>
      <dgm:t>
        <a:bodyPr/>
        <a:lstStyle/>
        <a:p>
          <a:r>
            <a:rPr lang="en-US"/>
            <a:t>The company follows responsible sourcing policies, similar to Accor’s Planet 21 program, ensuring ethical supply chain management (Ma et al., 2022).</a:t>
          </a:r>
        </a:p>
      </dgm:t>
    </dgm:pt>
    <dgm:pt modelId="{93ACDEC4-07A8-4C2D-883D-25488FE55D07}" type="parTrans" cxnId="{A44DE268-95BF-4E84-A711-66D01D3F57DF}">
      <dgm:prSet/>
      <dgm:spPr/>
      <dgm:t>
        <a:bodyPr/>
        <a:lstStyle/>
        <a:p>
          <a:endParaRPr lang="en-US"/>
        </a:p>
      </dgm:t>
    </dgm:pt>
    <dgm:pt modelId="{58E07E8D-A05E-43DA-BA4E-379069E99885}" type="sibTrans" cxnId="{A44DE268-95BF-4E84-A711-66D01D3F57DF}">
      <dgm:prSet/>
      <dgm:spPr/>
      <dgm:t>
        <a:bodyPr/>
        <a:lstStyle/>
        <a:p>
          <a:endParaRPr lang="en-US"/>
        </a:p>
      </dgm:t>
    </dgm:pt>
    <dgm:pt modelId="{40EE7FE6-F86B-4A22-9D2A-FA8E2E592211}">
      <dgm:prSet/>
      <dgm:spPr/>
      <dgm:t>
        <a:bodyPr/>
        <a:lstStyle/>
        <a:p>
          <a:r>
            <a:rPr lang="en-US" b="1"/>
            <a:t>Marketing and Branding Strategies:</a:t>
          </a:r>
          <a:endParaRPr lang="en-US"/>
        </a:p>
      </dgm:t>
    </dgm:pt>
    <dgm:pt modelId="{0D2684F4-2183-4281-A6E8-BCE346925483}" type="parTrans" cxnId="{EA250520-8398-4325-9EA1-344FF83763FA}">
      <dgm:prSet/>
      <dgm:spPr/>
      <dgm:t>
        <a:bodyPr/>
        <a:lstStyle/>
        <a:p>
          <a:endParaRPr lang="en-US"/>
        </a:p>
      </dgm:t>
    </dgm:pt>
    <dgm:pt modelId="{1138ED2A-5FE8-438C-9B4E-858503C11777}" type="sibTrans" cxnId="{EA250520-8398-4325-9EA1-344FF83763FA}">
      <dgm:prSet/>
      <dgm:spPr/>
      <dgm:t>
        <a:bodyPr/>
        <a:lstStyle/>
        <a:p>
          <a:endParaRPr lang="en-US"/>
        </a:p>
      </dgm:t>
    </dgm:pt>
    <dgm:pt modelId="{393D2F39-28E0-4C7C-9285-09C1C4DCBFA7}">
      <dgm:prSet/>
      <dgm:spPr/>
      <dgm:t>
        <a:bodyPr/>
        <a:lstStyle/>
        <a:p>
          <a:r>
            <a:rPr lang="en-US"/>
            <a:t>Marriott focuses on digital engagement through targeted brand storytelling and social media campaigns (Truong et al., 2020).</a:t>
          </a:r>
        </a:p>
      </dgm:t>
    </dgm:pt>
    <dgm:pt modelId="{C522377E-174D-485E-8796-143DBA252B29}" type="parTrans" cxnId="{21542308-8603-4E22-BF28-A0F403E6A1DD}">
      <dgm:prSet/>
      <dgm:spPr/>
      <dgm:t>
        <a:bodyPr/>
        <a:lstStyle/>
        <a:p>
          <a:endParaRPr lang="en-US"/>
        </a:p>
      </dgm:t>
    </dgm:pt>
    <dgm:pt modelId="{5686BB20-1DB8-4E61-B8D8-337C67B94911}" type="sibTrans" cxnId="{21542308-8603-4E22-BF28-A0F403E6A1DD}">
      <dgm:prSet/>
      <dgm:spPr/>
      <dgm:t>
        <a:bodyPr/>
        <a:lstStyle/>
        <a:p>
          <a:endParaRPr lang="en-US"/>
        </a:p>
      </dgm:t>
    </dgm:pt>
    <dgm:pt modelId="{9745FDC6-5639-4A45-A479-1ABD90C99BF3}">
      <dgm:prSet/>
      <dgm:spPr/>
      <dgm:t>
        <a:bodyPr/>
        <a:lstStyle/>
        <a:p>
          <a:r>
            <a:rPr lang="en-US"/>
            <a:t>Strategic partnerships with airlines and travel platforms strengthen loyalty programs and cross-industry customer acquisition (Lee et al., 2021).</a:t>
          </a:r>
        </a:p>
      </dgm:t>
    </dgm:pt>
    <dgm:pt modelId="{1CB0E614-EB31-4AA7-AB26-DC8729644EAB}" type="parTrans" cxnId="{B7999582-59CD-4A19-BB00-73213F90611A}">
      <dgm:prSet/>
      <dgm:spPr/>
      <dgm:t>
        <a:bodyPr/>
        <a:lstStyle/>
        <a:p>
          <a:endParaRPr lang="en-US"/>
        </a:p>
      </dgm:t>
    </dgm:pt>
    <dgm:pt modelId="{E67B1C05-670D-446E-BF35-19886D79DB86}" type="sibTrans" cxnId="{B7999582-59CD-4A19-BB00-73213F90611A}">
      <dgm:prSet/>
      <dgm:spPr/>
      <dgm:t>
        <a:bodyPr/>
        <a:lstStyle/>
        <a:p>
          <a:endParaRPr lang="en-US"/>
        </a:p>
      </dgm:t>
    </dgm:pt>
    <dgm:pt modelId="{9A617722-C4AB-4B4C-9BF2-974B99F71620}" type="pres">
      <dgm:prSet presAssocID="{EBCE5D7C-FD8D-4851-AA49-89CEC1FF50C6}" presName="Name0" presStyleCnt="0">
        <dgm:presLayoutVars>
          <dgm:dir/>
          <dgm:animLvl val="lvl"/>
          <dgm:resizeHandles val="exact"/>
        </dgm:presLayoutVars>
      </dgm:prSet>
      <dgm:spPr/>
    </dgm:pt>
    <dgm:pt modelId="{E9F542D2-E36D-4568-BC06-57DA8D67B17A}" type="pres">
      <dgm:prSet presAssocID="{98F89870-55A8-41CC-AB8F-C170A666CE0D}" presName="composite" presStyleCnt="0"/>
      <dgm:spPr/>
    </dgm:pt>
    <dgm:pt modelId="{A2C6710D-A24B-40E3-97B7-091D6D64EFAA}" type="pres">
      <dgm:prSet presAssocID="{98F89870-55A8-41CC-AB8F-C170A666CE0D}" presName="parTx" presStyleLbl="alignNode1" presStyleIdx="0" presStyleCnt="3">
        <dgm:presLayoutVars>
          <dgm:chMax val="0"/>
          <dgm:chPref val="0"/>
          <dgm:bulletEnabled val="1"/>
        </dgm:presLayoutVars>
      </dgm:prSet>
      <dgm:spPr/>
    </dgm:pt>
    <dgm:pt modelId="{45A9E518-6842-492F-9C9F-9C8FFAC400BD}" type="pres">
      <dgm:prSet presAssocID="{98F89870-55A8-41CC-AB8F-C170A666CE0D}" presName="desTx" presStyleLbl="alignAccFollowNode1" presStyleIdx="0" presStyleCnt="3">
        <dgm:presLayoutVars>
          <dgm:bulletEnabled val="1"/>
        </dgm:presLayoutVars>
      </dgm:prSet>
      <dgm:spPr/>
    </dgm:pt>
    <dgm:pt modelId="{A4EF8835-F8F5-41EE-B013-465AFC8B1A55}" type="pres">
      <dgm:prSet presAssocID="{5E5E8A63-CE15-4835-8EF8-B6F922C7134E}" presName="space" presStyleCnt="0"/>
      <dgm:spPr/>
    </dgm:pt>
    <dgm:pt modelId="{23C25044-3D59-40F5-A7FF-3D22D0A3A64E}" type="pres">
      <dgm:prSet presAssocID="{53E0CE39-7B50-41B0-9C6B-9BD33FC31C6A}" presName="composite" presStyleCnt="0"/>
      <dgm:spPr/>
    </dgm:pt>
    <dgm:pt modelId="{932F6277-3EF6-45D8-B949-C996466314BF}" type="pres">
      <dgm:prSet presAssocID="{53E0CE39-7B50-41B0-9C6B-9BD33FC31C6A}" presName="parTx" presStyleLbl="alignNode1" presStyleIdx="1" presStyleCnt="3">
        <dgm:presLayoutVars>
          <dgm:chMax val="0"/>
          <dgm:chPref val="0"/>
          <dgm:bulletEnabled val="1"/>
        </dgm:presLayoutVars>
      </dgm:prSet>
      <dgm:spPr/>
    </dgm:pt>
    <dgm:pt modelId="{70A6578F-069F-4EB0-AEA2-D7E126D4DC9E}" type="pres">
      <dgm:prSet presAssocID="{53E0CE39-7B50-41B0-9C6B-9BD33FC31C6A}" presName="desTx" presStyleLbl="alignAccFollowNode1" presStyleIdx="1" presStyleCnt="3">
        <dgm:presLayoutVars>
          <dgm:bulletEnabled val="1"/>
        </dgm:presLayoutVars>
      </dgm:prSet>
      <dgm:spPr/>
    </dgm:pt>
    <dgm:pt modelId="{7E7B9C03-15B7-409F-ADAB-56E04A6E01A1}" type="pres">
      <dgm:prSet presAssocID="{F0F31ED1-5751-4E4E-B7CD-2EE5512DB075}" presName="space" presStyleCnt="0"/>
      <dgm:spPr/>
    </dgm:pt>
    <dgm:pt modelId="{4AA85042-8DE4-470E-937A-95564D29CAB8}" type="pres">
      <dgm:prSet presAssocID="{40EE7FE6-F86B-4A22-9D2A-FA8E2E592211}" presName="composite" presStyleCnt="0"/>
      <dgm:spPr/>
    </dgm:pt>
    <dgm:pt modelId="{997ABB92-0CE3-4C60-BEAF-B3E97B90B41C}" type="pres">
      <dgm:prSet presAssocID="{40EE7FE6-F86B-4A22-9D2A-FA8E2E592211}" presName="parTx" presStyleLbl="alignNode1" presStyleIdx="2" presStyleCnt="3">
        <dgm:presLayoutVars>
          <dgm:chMax val="0"/>
          <dgm:chPref val="0"/>
          <dgm:bulletEnabled val="1"/>
        </dgm:presLayoutVars>
      </dgm:prSet>
      <dgm:spPr/>
    </dgm:pt>
    <dgm:pt modelId="{7D90F9A8-7BE5-4201-B51C-8A87E01E23B8}" type="pres">
      <dgm:prSet presAssocID="{40EE7FE6-F86B-4A22-9D2A-FA8E2E592211}" presName="desTx" presStyleLbl="alignAccFollowNode1" presStyleIdx="2" presStyleCnt="3">
        <dgm:presLayoutVars>
          <dgm:bulletEnabled val="1"/>
        </dgm:presLayoutVars>
      </dgm:prSet>
      <dgm:spPr/>
    </dgm:pt>
  </dgm:ptLst>
  <dgm:cxnLst>
    <dgm:cxn modelId="{21542308-8603-4E22-BF28-A0F403E6A1DD}" srcId="{40EE7FE6-F86B-4A22-9D2A-FA8E2E592211}" destId="{393D2F39-28E0-4C7C-9285-09C1C4DCBFA7}" srcOrd="0" destOrd="0" parTransId="{C522377E-174D-485E-8796-143DBA252B29}" sibTransId="{5686BB20-1DB8-4E61-B8D8-337C67B94911}"/>
    <dgm:cxn modelId="{BCB5510B-D15E-43E2-A3B2-60602C6F4A08}" type="presOf" srcId="{44B12EEB-FB5C-45D4-BF88-9CE79D06F847}" destId="{70A6578F-069F-4EB0-AEA2-D7E126D4DC9E}" srcOrd="0" destOrd="0" presId="urn:microsoft.com/office/officeart/2005/8/layout/hList1"/>
    <dgm:cxn modelId="{E993B41E-9534-4C42-9176-DE002ECB3872}" type="presOf" srcId="{53E0CE39-7B50-41B0-9C6B-9BD33FC31C6A}" destId="{932F6277-3EF6-45D8-B949-C996466314BF}" srcOrd="0" destOrd="0" presId="urn:microsoft.com/office/officeart/2005/8/layout/hList1"/>
    <dgm:cxn modelId="{EA250520-8398-4325-9EA1-344FF83763FA}" srcId="{EBCE5D7C-FD8D-4851-AA49-89CEC1FF50C6}" destId="{40EE7FE6-F86B-4A22-9D2A-FA8E2E592211}" srcOrd="2" destOrd="0" parTransId="{0D2684F4-2183-4281-A6E8-BCE346925483}" sibTransId="{1138ED2A-5FE8-438C-9B4E-858503C11777}"/>
    <dgm:cxn modelId="{30180D31-70A1-40CD-A773-B711705B9CB9}" type="presOf" srcId="{EBCE5D7C-FD8D-4851-AA49-89CEC1FF50C6}" destId="{9A617722-C4AB-4B4C-9BF2-974B99F71620}" srcOrd="0" destOrd="0" presId="urn:microsoft.com/office/officeart/2005/8/layout/hList1"/>
    <dgm:cxn modelId="{8642033B-0E9B-417E-A008-A9B84C40418D}" srcId="{EBCE5D7C-FD8D-4851-AA49-89CEC1FF50C6}" destId="{98F89870-55A8-41CC-AB8F-C170A666CE0D}" srcOrd="0" destOrd="0" parTransId="{38DA6793-6BF2-4C35-8069-79E0E3A8B1C7}" sibTransId="{5E5E8A63-CE15-4835-8EF8-B6F922C7134E}"/>
    <dgm:cxn modelId="{89C68740-3B13-42F8-887F-9CDEB1798B73}" type="presOf" srcId="{98F89870-55A8-41CC-AB8F-C170A666CE0D}" destId="{A2C6710D-A24B-40E3-97B7-091D6D64EFAA}" srcOrd="0" destOrd="0" presId="urn:microsoft.com/office/officeart/2005/8/layout/hList1"/>
    <dgm:cxn modelId="{BCB04C5C-FC14-426C-A2F8-979E3F6B695B}" type="presOf" srcId="{9745FDC6-5639-4A45-A479-1ABD90C99BF3}" destId="{7D90F9A8-7BE5-4201-B51C-8A87E01E23B8}" srcOrd="0" destOrd="1" presId="urn:microsoft.com/office/officeart/2005/8/layout/hList1"/>
    <dgm:cxn modelId="{A44DE268-95BF-4E84-A711-66D01D3F57DF}" srcId="{53E0CE39-7B50-41B0-9C6B-9BD33FC31C6A}" destId="{E85E6015-7ADE-4C8D-9763-72742CB7947C}" srcOrd="1" destOrd="0" parTransId="{93ACDEC4-07A8-4C2D-883D-25488FE55D07}" sibTransId="{58E07E8D-A05E-43DA-BA4E-379069E99885}"/>
    <dgm:cxn modelId="{FDC1244E-7A8D-4B31-A8E2-FABFFD99629F}" type="presOf" srcId="{40EE7FE6-F86B-4A22-9D2A-FA8E2E592211}" destId="{997ABB92-0CE3-4C60-BEAF-B3E97B90B41C}" srcOrd="0" destOrd="0" presId="urn:microsoft.com/office/officeart/2005/8/layout/hList1"/>
    <dgm:cxn modelId="{117D7F7C-0DB8-4DAB-86D5-D606CF9B5E86}" srcId="{98F89870-55A8-41CC-AB8F-C170A666CE0D}" destId="{93682D24-9859-45C5-9880-90CED6C99009}" srcOrd="0" destOrd="0" parTransId="{E1328A6B-053F-4E83-B494-940EE78C1E16}" sibTransId="{DEF41419-EDE4-408E-85AB-F84EFEF5DFCA}"/>
    <dgm:cxn modelId="{B7999582-59CD-4A19-BB00-73213F90611A}" srcId="{40EE7FE6-F86B-4A22-9D2A-FA8E2E592211}" destId="{9745FDC6-5639-4A45-A479-1ABD90C99BF3}" srcOrd="1" destOrd="0" parTransId="{1CB0E614-EB31-4AA7-AB26-DC8729644EAB}" sibTransId="{E67B1C05-670D-446E-BF35-19886D79DB86}"/>
    <dgm:cxn modelId="{020EE885-2D3D-4E32-B43F-C35B7B58460C}" type="presOf" srcId="{93682D24-9859-45C5-9880-90CED6C99009}" destId="{45A9E518-6842-492F-9C9F-9C8FFAC400BD}" srcOrd="0" destOrd="0" presId="urn:microsoft.com/office/officeart/2005/8/layout/hList1"/>
    <dgm:cxn modelId="{2FBBA29A-A988-4D79-90F1-D19ECE989E16}" type="presOf" srcId="{393D2F39-28E0-4C7C-9285-09C1C4DCBFA7}" destId="{7D90F9A8-7BE5-4201-B51C-8A87E01E23B8}" srcOrd="0" destOrd="0" presId="urn:microsoft.com/office/officeart/2005/8/layout/hList1"/>
    <dgm:cxn modelId="{20EA8F9C-8BB8-4FC9-81EA-5733B6701915}" srcId="{EBCE5D7C-FD8D-4851-AA49-89CEC1FF50C6}" destId="{53E0CE39-7B50-41B0-9C6B-9BD33FC31C6A}" srcOrd="1" destOrd="0" parTransId="{FA767F99-2A10-4F75-A30E-4B62F3B5A320}" sibTransId="{F0F31ED1-5751-4E4E-B7CD-2EE5512DB075}"/>
    <dgm:cxn modelId="{F63C42A9-D832-4333-9900-B91613A4CA78}" type="presOf" srcId="{E85E6015-7ADE-4C8D-9763-72742CB7947C}" destId="{70A6578F-069F-4EB0-AEA2-D7E126D4DC9E}" srcOrd="0" destOrd="1" presId="urn:microsoft.com/office/officeart/2005/8/layout/hList1"/>
    <dgm:cxn modelId="{F057EACB-BA63-4F46-9878-ECB8FA1F54EB}" srcId="{98F89870-55A8-41CC-AB8F-C170A666CE0D}" destId="{8D51A343-5283-4621-B622-53EDE22AC1FF}" srcOrd="1" destOrd="0" parTransId="{02E3E883-6806-4949-8588-7D8BF0BBDCCD}" sibTransId="{4F910A41-E6D5-4EB7-9979-16DF21E2762D}"/>
    <dgm:cxn modelId="{082020D7-83C7-43CB-8AFD-76C3EB02C909}" type="presOf" srcId="{8D51A343-5283-4621-B622-53EDE22AC1FF}" destId="{45A9E518-6842-492F-9C9F-9C8FFAC400BD}" srcOrd="0" destOrd="1" presId="urn:microsoft.com/office/officeart/2005/8/layout/hList1"/>
    <dgm:cxn modelId="{47C7F9F2-7FB4-4563-B26F-7B2AFF651EA3}" srcId="{53E0CE39-7B50-41B0-9C6B-9BD33FC31C6A}" destId="{44B12EEB-FB5C-45D4-BF88-9CE79D06F847}" srcOrd="0" destOrd="0" parTransId="{1CD706BF-233C-4410-88BB-5A7EBD1447A1}" sibTransId="{0C2E0311-5E54-4FB1-912A-3489835661CB}"/>
    <dgm:cxn modelId="{D4D603E8-9AA8-4DA1-8649-6C2579A27A4B}" type="presParOf" srcId="{9A617722-C4AB-4B4C-9BF2-974B99F71620}" destId="{E9F542D2-E36D-4568-BC06-57DA8D67B17A}" srcOrd="0" destOrd="0" presId="urn:microsoft.com/office/officeart/2005/8/layout/hList1"/>
    <dgm:cxn modelId="{9DBB32DA-88A1-4245-B49B-B3453A469A06}" type="presParOf" srcId="{E9F542D2-E36D-4568-BC06-57DA8D67B17A}" destId="{A2C6710D-A24B-40E3-97B7-091D6D64EFAA}" srcOrd="0" destOrd="0" presId="urn:microsoft.com/office/officeart/2005/8/layout/hList1"/>
    <dgm:cxn modelId="{1D643EBA-493B-4D50-8177-59E38D5CF4CC}" type="presParOf" srcId="{E9F542D2-E36D-4568-BC06-57DA8D67B17A}" destId="{45A9E518-6842-492F-9C9F-9C8FFAC400BD}" srcOrd="1" destOrd="0" presId="urn:microsoft.com/office/officeart/2005/8/layout/hList1"/>
    <dgm:cxn modelId="{E6066F26-74E6-4E98-B8FB-E6A235DDF0F7}" type="presParOf" srcId="{9A617722-C4AB-4B4C-9BF2-974B99F71620}" destId="{A4EF8835-F8F5-41EE-B013-465AFC8B1A55}" srcOrd="1" destOrd="0" presId="urn:microsoft.com/office/officeart/2005/8/layout/hList1"/>
    <dgm:cxn modelId="{9B86A471-DC8B-4B95-ADFC-AE015038DF90}" type="presParOf" srcId="{9A617722-C4AB-4B4C-9BF2-974B99F71620}" destId="{23C25044-3D59-40F5-A7FF-3D22D0A3A64E}" srcOrd="2" destOrd="0" presId="urn:microsoft.com/office/officeart/2005/8/layout/hList1"/>
    <dgm:cxn modelId="{D482D722-E7BC-422A-A880-702C3E055823}" type="presParOf" srcId="{23C25044-3D59-40F5-A7FF-3D22D0A3A64E}" destId="{932F6277-3EF6-45D8-B949-C996466314BF}" srcOrd="0" destOrd="0" presId="urn:microsoft.com/office/officeart/2005/8/layout/hList1"/>
    <dgm:cxn modelId="{75517F7A-52C3-4E58-9494-133C2353347A}" type="presParOf" srcId="{23C25044-3D59-40F5-A7FF-3D22D0A3A64E}" destId="{70A6578F-069F-4EB0-AEA2-D7E126D4DC9E}" srcOrd="1" destOrd="0" presId="urn:microsoft.com/office/officeart/2005/8/layout/hList1"/>
    <dgm:cxn modelId="{C77A1D46-F547-4D1A-889E-351604A2CAD9}" type="presParOf" srcId="{9A617722-C4AB-4B4C-9BF2-974B99F71620}" destId="{7E7B9C03-15B7-409F-ADAB-56E04A6E01A1}" srcOrd="3" destOrd="0" presId="urn:microsoft.com/office/officeart/2005/8/layout/hList1"/>
    <dgm:cxn modelId="{7312E9AB-BF74-4429-9277-7874DF2A1A65}" type="presParOf" srcId="{9A617722-C4AB-4B4C-9BF2-974B99F71620}" destId="{4AA85042-8DE4-470E-937A-95564D29CAB8}" srcOrd="4" destOrd="0" presId="urn:microsoft.com/office/officeart/2005/8/layout/hList1"/>
    <dgm:cxn modelId="{1AFCBDAB-FA70-4402-9179-12E16269CEBE}" type="presParOf" srcId="{4AA85042-8DE4-470E-937A-95564D29CAB8}" destId="{997ABB92-0CE3-4C60-BEAF-B3E97B90B41C}" srcOrd="0" destOrd="0" presId="urn:microsoft.com/office/officeart/2005/8/layout/hList1"/>
    <dgm:cxn modelId="{3E94B599-A431-4924-AD4F-A99BEE7D1155}" type="presParOf" srcId="{4AA85042-8DE4-470E-937A-95564D29CAB8}" destId="{7D90F9A8-7BE5-4201-B51C-8A87E01E23B8}" srcOrd="1" destOrd="0" presId="urn:microsoft.com/office/officeart/2005/8/layout/h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1C9E17-4DFC-4EBC-BB83-648FE4B3E076}">
      <dsp:nvSpPr>
        <dsp:cNvPr id="0" name=""/>
        <dsp:cNvSpPr/>
      </dsp:nvSpPr>
      <dsp:spPr>
        <a:xfrm>
          <a:off x="104688" y="1195"/>
          <a:ext cx="1755233" cy="298528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Artifacts: Marriott’s artifacts are reflected in its hotel design, customer service policies, and strong brand identity. The company maintains a consistent visual aesthetic across its properties, with luxury and premium hotel designs catering to different market segments. Customer service is highly standardized, ensuring a seamless experience across locations. Additionally, Marriott’s Bonvoy loyalty program serves as a visible cultural artifact, reinforcing customer engagement and brand loyalty (Hameli, 2024).</a:t>
          </a:r>
        </a:p>
      </dsp:txBody>
      <dsp:txXfrm>
        <a:off x="104688" y="1195"/>
        <a:ext cx="1755233" cy="2985284"/>
      </dsp:txXfrm>
    </dsp:sp>
    <dsp:sp modelId="{E48AFB03-DF0F-4019-BEB4-E0AA32A460E3}">
      <dsp:nvSpPr>
        <dsp:cNvPr id="0" name=""/>
        <dsp:cNvSpPr/>
      </dsp:nvSpPr>
      <dsp:spPr>
        <a:xfrm>
          <a:off x="2035445" y="1195"/>
          <a:ext cx="1755233" cy="2985284"/>
        </a:xfrm>
        <a:prstGeom prst="rect">
          <a:avLst/>
        </a:prstGeom>
        <a:solidFill>
          <a:schemeClr val="accent5">
            <a:hueOff val="-6076075"/>
            <a:satOff val="-413"/>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Espoused Values: Marriott publicly promotes inclusivity, sustainability, and guest satisfaction as core values. These values are embedded in corporate policies, such as its diversity and inclusion programs and environmental sustainability initiatives. Marriott’s commitment to reducing its carbon footprint and supporting local communities highlights its long-term vision for responsible hospitality (Hameli, 2024).</a:t>
          </a:r>
        </a:p>
      </dsp:txBody>
      <dsp:txXfrm>
        <a:off x="2035445" y="1195"/>
        <a:ext cx="1755233" cy="2985284"/>
      </dsp:txXfrm>
    </dsp:sp>
    <dsp:sp modelId="{5404D75C-60BB-4C53-AF79-B689D0C546F6}">
      <dsp:nvSpPr>
        <dsp:cNvPr id="0" name=""/>
        <dsp:cNvSpPr/>
      </dsp:nvSpPr>
      <dsp:spPr>
        <a:xfrm>
          <a:off x="3966202" y="1195"/>
          <a:ext cx="1755233" cy="2985284"/>
        </a:xfrm>
        <a:prstGeom prst="rect">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Basic Assumptions: Marriott’s deeply embedded beliefs revolve around hospitality excellence and employee empowerment. The company fosters a culture of putting people first, ensuring that both employees and guests feel valued. Marriott’s emphasis on career growth and internal promotions reflects its belief in long-term employee development as a key driver of service quality and customer satisfaction (Hameli, 2024).</a:t>
          </a:r>
        </a:p>
      </dsp:txBody>
      <dsp:txXfrm>
        <a:off x="3966202" y="1195"/>
        <a:ext cx="1755233" cy="29852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B2B292-1C8F-4CE6-AFB1-BAC321730CE4}">
      <dsp:nvSpPr>
        <dsp:cNvPr id="0" name=""/>
        <dsp:cNvSpPr/>
      </dsp:nvSpPr>
      <dsp:spPr>
        <a:xfrm>
          <a:off x="-3304039" y="-508248"/>
          <a:ext cx="3940037" cy="3940037"/>
        </a:xfrm>
        <a:prstGeom prst="blockArc">
          <a:avLst>
            <a:gd name="adj1" fmla="val 18900000"/>
            <a:gd name="adj2" fmla="val 2700000"/>
            <a:gd name="adj3" fmla="val 548"/>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3E52B1-2DCA-4D5B-A2D4-B6E795B8A662}">
      <dsp:nvSpPr>
        <dsp:cNvPr id="0" name=""/>
        <dsp:cNvSpPr/>
      </dsp:nvSpPr>
      <dsp:spPr>
        <a:xfrm>
          <a:off x="333530" y="224761"/>
          <a:ext cx="5539240" cy="44975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6995" tIns="22860" rIns="22860" bIns="22860" numCol="1" spcCol="1270" anchor="ctr" anchorCtr="0">
          <a:noAutofit/>
        </a:bodyPr>
        <a:lstStyle/>
        <a:p>
          <a:pPr marL="0" lvl="0" indent="0" algn="l" defTabSz="400050">
            <a:lnSpc>
              <a:spcPct val="90000"/>
            </a:lnSpc>
            <a:spcBef>
              <a:spcPct val="0"/>
            </a:spcBef>
            <a:spcAft>
              <a:spcPct val="35000"/>
            </a:spcAft>
            <a:buNone/>
          </a:pPr>
          <a:r>
            <a:rPr lang="en-US" sz="900" kern="1200"/>
            <a:t>Commitment to Innovation: Marriott prioritizes technological advancements, particularly AI-driven service improvements, to enhance customer experiences and streamline operations (Marriott International, 2025).</a:t>
          </a:r>
        </a:p>
      </dsp:txBody>
      <dsp:txXfrm>
        <a:off x="333530" y="224761"/>
        <a:ext cx="5539240" cy="449757"/>
      </dsp:txXfrm>
    </dsp:sp>
    <dsp:sp modelId="{062A16AF-76FF-4167-BD45-9A2686EF1B18}">
      <dsp:nvSpPr>
        <dsp:cNvPr id="0" name=""/>
        <dsp:cNvSpPr/>
      </dsp:nvSpPr>
      <dsp:spPr>
        <a:xfrm>
          <a:off x="52432" y="168542"/>
          <a:ext cx="562196" cy="562196"/>
        </a:xfrm>
        <a:prstGeom prst="ellipse">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C3FFA51-4A73-49F4-B866-26EC4CAEE906}">
      <dsp:nvSpPr>
        <dsp:cNvPr id="0" name=""/>
        <dsp:cNvSpPr/>
      </dsp:nvSpPr>
      <dsp:spPr>
        <a:xfrm>
          <a:off x="591386" y="899514"/>
          <a:ext cx="5281383" cy="449757"/>
        </a:xfrm>
        <a:prstGeom prst="rect">
          <a:avLst/>
        </a:prstGeom>
        <a:solidFill>
          <a:schemeClr val="accent4">
            <a:hueOff val="2199979"/>
            <a:satOff val="-9734"/>
            <a:lumOff val="-163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6995" tIns="22860" rIns="22860" bIns="22860" numCol="1" spcCol="1270" anchor="ctr" anchorCtr="0">
          <a:noAutofit/>
        </a:bodyPr>
        <a:lstStyle/>
        <a:p>
          <a:pPr marL="0" lvl="0" indent="0" algn="l" defTabSz="400050">
            <a:lnSpc>
              <a:spcPct val="90000"/>
            </a:lnSpc>
            <a:spcBef>
              <a:spcPct val="0"/>
            </a:spcBef>
            <a:spcAft>
              <a:spcPct val="35000"/>
            </a:spcAft>
            <a:buNone/>
          </a:pPr>
          <a:r>
            <a:rPr lang="en-US" sz="900" kern="1200"/>
            <a:t>Customer-Centric Approach: The company focuses on expanding guest loyalty programs, such as Bonvoy, to drive retention and engagement through personalized rewards and experiences (Mihai et al., 2024).</a:t>
          </a:r>
        </a:p>
      </dsp:txBody>
      <dsp:txXfrm>
        <a:off x="591386" y="899514"/>
        <a:ext cx="5281383" cy="449757"/>
      </dsp:txXfrm>
    </dsp:sp>
    <dsp:sp modelId="{A1504ED4-E73A-4752-AE91-BBD7BA2418BC}">
      <dsp:nvSpPr>
        <dsp:cNvPr id="0" name=""/>
        <dsp:cNvSpPr/>
      </dsp:nvSpPr>
      <dsp:spPr>
        <a:xfrm>
          <a:off x="310288" y="843295"/>
          <a:ext cx="562196" cy="562196"/>
        </a:xfrm>
        <a:prstGeom prst="ellipse">
          <a:avLst/>
        </a:prstGeom>
        <a:solidFill>
          <a:schemeClr val="lt1">
            <a:hueOff val="0"/>
            <a:satOff val="0"/>
            <a:lumOff val="0"/>
            <a:alphaOff val="0"/>
          </a:schemeClr>
        </a:solidFill>
        <a:ln w="12700" cap="flat" cmpd="sng" algn="ctr">
          <a:solidFill>
            <a:schemeClr val="accent4">
              <a:hueOff val="2199979"/>
              <a:satOff val="-9734"/>
              <a:lumOff val="-1634"/>
              <a:alphaOff val="0"/>
            </a:schemeClr>
          </a:solidFill>
          <a:prstDash val="solid"/>
          <a:miter lim="800000"/>
        </a:ln>
        <a:effectLst/>
      </dsp:spPr>
      <dsp:style>
        <a:lnRef idx="2">
          <a:scrgbClr r="0" g="0" b="0"/>
        </a:lnRef>
        <a:fillRef idx="1">
          <a:scrgbClr r="0" g="0" b="0"/>
        </a:fillRef>
        <a:effectRef idx="0">
          <a:scrgbClr r="0" g="0" b="0"/>
        </a:effectRef>
        <a:fontRef idx="minor"/>
      </dsp:style>
    </dsp:sp>
    <dsp:sp modelId="{0881101A-8E9A-4E46-9CA5-09776BB05B2A}">
      <dsp:nvSpPr>
        <dsp:cNvPr id="0" name=""/>
        <dsp:cNvSpPr/>
      </dsp:nvSpPr>
      <dsp:spPr>
        <a:xfrm>
          <a:off x="591386" y="1574267"/>
          <a:ext cx="5281383" cy="449757"/>
        </a:xfrm>
        <a:prstGeom prst="rect">
          <a:avLst/>
        </a:prstGeom>
        <a:solidFill>
          <a:schemeClr val="accent4">
            <a:hueOff val="4399958"/>
            <a:satOff val="-19468"/>
            <a:lumOff val="-32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6995" tIns="22860" rIns="22860" bIns="22860" numCol="1" spcCol="1270" anchor="ctr" anchorCtr="0">
          <a:noAutofit/>
        </a:bodyPr>
        <a:lstStyle/>
        <a:p>
          <a:pPr marL="0" lvl="0" indent="0" algn="l" defTabSz="400050">
            <a:lnSpc>
              <a:spcPct val="90000"/>
            </a:lnSpc>
            <a:spcBef>
              <a:spcPct val="0"/>
            </a:spcBef>
            <a:spcAft>
              <a:spcPct val="35000"/>
            </a:spcAft>
            <a:buNone/>
          </a:pPr>
          <a:r>
            <a:rPr lang="en-US" sz="900" kern="1200"/>
            <a:t>Sustainability Leadership: Marriott aims to achieve carbon neutrality by 2050, integrating eco-friendly construction, energy-efficient operations, and sustainable tourism initiatives into its long-term strategy (Marriott International, 2018).</a:t>
          </a:r>
        </a:p>
      </dsp:txBody>
      <dsp:txXfrm>
        <a:off x="591386" y="1574267"/>
        <a:ext cx="5281383" cy="449757"/>
      </dsp:txXfrm>
    </dsp:sp>
    <dsp:sp modelId="{A430080F-492B-4E51-9F44-555B9F44190E}">
      <dsp:nvSpPr>
        <dsp:cNvPr id="0" name=""/>
        <dsp:cNvSpPr/>
      </dsp:nvSpPr>
      <dsp:spPr>
        <a:xfrm>
          <a:off x="310288" y="1518048"/>
          <a:ext cx="562196" cy="562196"/>
        </a:xfrm>
        <a:prstGeom prst="ellipse">
          <a:avLst/>
        </a:prstGeom>
        <a:solidFill>
          <a:schemeClr val="lt1">
            <a:hueOff val="0"/>
            <a:satOff val="0"/>
            <a:lumOff val="0"/>
            <a:alphaOff val="0"/>
          </a:schemeClr>
        </a:solidFill>
        <a:ln w="12700" cap="flat" cmpd="sng" algn="ctr">
          <a:solidFill>
            <a:schemeClr val="accent4">
              <a:hueOff val="4399958"/>
              <a:satOff val="-19468"/>
              <a:lumOff val="-3269"/>
              <a:alphaOff val="0"/>
            </a:schemeClr>
          </a:solidFill>
          <a:prstDash val="solid"/>
          <a:miter lim="800000"/>
        </a:ln>
        <a:effectLst/>
      </dsp:spPr>
      <dsp:style>
        <a:lnRef idx="2">
          <a:scrgbClr r="0" g="0" b="0"/>
        </a:lnRef>
        <a:fillRef idx="1">
          <a:scrgbClr r="0" g="0" b="0"/>
        </a:fillRef>
        <a:effectRef idx="0">
          <a:scrgbClr r="0" g="0" b="0"/>
        </a:effectRef>
        <a:fontRef idx="minor"/>
      </dsp:style>
    </dsp:sp>
    <dsp:sp modelId="{CA2886D7-3916-4499-8C04-3134C64B2DD8}">
      <dsp:nvSpPr>
        <dsp:cNvPr id="0" name=""/>
        <dsp:cNvSpPr/>
      </dsp:nvSpPr>
      <dsp:spPr>
        <a:xfrm>
          <a:off x="333530" y="2249020"/>
          <a:ext cx="5539240" cy="449757"/>
        </a:xfrm>
        <a:prstGeom prst="rect">
          <a:avLst/>
        </a:prstGeom>
        <a:solidFill>
          <a:schemeClr val="accent4">
            <a:hueOff val="6599937"/>
            <a:satOff val="-29202"/>
            <a:lumOff val="-49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6995" tIns="22860" rIns="22860" bIns="22860" numCol="1" spcCol="1270" anchor="ctr" anchorCtr="0">
          <a:noAutofit/>
        </a:bodyPr>
        <a:lstStyle/>
        <a:p>
          <a:pPr marL="0" lvl="0" indent="0" algn="l" defTabSz="400050">
            <a:lnSpc>
              <a:spcPct val="90000"/>
            </a:lnSpc>
            <a:spcBef>
              <a:spcPct val="0"/>
            </a:spcBef>
            <a:spcAft>
              <a:spcPct val="35000"/>
            </a:spcAft>
            <a:buNone/>
          </a:pPr>
          <a:r>
            <a:rPr lang="en-US" sz="900" kern="1200"/>
            <a:t>Global Market Expansion: Targeting emerging markets, Marriott seeks to strengthen its presence in Asia-Pacific, the Middle East, and Africa, ensuring diversified revenue streams and competitive positioning (Marriott International, Inc., 2025).</a:t>
          </a:r>
        </a:p>
      </dsp:txBody>
      <dsp:txXfrm>
        <a:off x="333530" y="2249020"/>
        <a:ext cx="5539240" cy="449757"/>
      </dsp:txXfrm>
    </dsp:sp>
    <dsp:sp modelId="{92DDCA7A-81A7-4862-9C14-2407D7151F96}">
      <dsp:nvSpPr>
        <dsp:cNvPr id="0" name=""/>
        <dsp:cNvSpPr/>
      </dsp:nvSpPr>
      <dsp:spPr>
        <a:xfrm>
          <a:off x="52432" y="2192801"/>
          <a:ext cx="562196" cy="562196"/>
        </a:xfrm>
        <a:prstGeom prst="ellipse">
          <a:avLst/>
        </a:prstGeom>
        <a:solidFill>
          <a:schemeClr val="lt1">
            <a:hueOff val="0"/>
            <a:satOff val="0"/>
            <a:lumOff val="0"/>
            <a:alphaOff val="0"/>
          </a:schemeClr>
        </a:solidFill>
        <a:ln w="12700" cap="flat" cmpd="sng" algn="ctr">
          <a:solidFill>
            <a:schemeClr val="accent4">
              <a:hueOff val="6599937"/>
              <a:satOff val="-29202"/>
              <a:lumOff val="-4903"/>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C6710D-A24B-40E3-97B7-091D6D64EFAA}">
      <dsp:nvSpPr>
        <dsp:cNvPr id="0" name=""/>
        <dsp:cNvSpPr/>
      </dsp:nvSpPr>
      <dsp:spPr>
        <a:xfrm>
          <a:off x="1833" y="148672"/>
          <a:ext cx="1787916" cy="509092"/>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US" sz="1000" b="1" kern="1200"/>
            <a:t>Technology and AI Integration:</a:t>
          </a:r>
          <a:endParaRPr lang="en-US" sz="1000" kern="1200"/>
        </a:p>
      </dsp:txBody>
      <dsp:txXfrm>
        <a:off x="1833" y="148672"/>
        <a:ext cx="1787916" cy="509092"/>
      </dsp:txXfrm>
    </dsp:sp>
    <dsp:sp modelId="{45A9E518-6842-492F-9C9F-9C8FFAC400BD}">
      <dsp:nvSpPr>
        <dsp:cNvPr id="0" name=""/>
        <dsp:cNvSpPr/>
      </dsp:nvSpPr>
      <dsp:spPr>
        <a:xfrm>
          <a:off x="1833" y="657764"/>
          <a:ext cx="1787916" cy="2004707"/>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Char char="•"/>
          </a:pPr>
          <a:r>
            <a:rPr lang="en-US" sz="1000" kern="1200"/>
            <a:t>AI-powered personalization enhances customer service, optimizing pricing and operational efficiency (Marković et al., 2020).</a:t>
          </a:r>
        </a:p>
        <a:p>
          <a:pPr marL="57150" lvl="1" indent="-57150" algn="l" defTabSz="444500">
            <a:lnSpc>
              <a:spcPct val="90000"/>
            </a:lnSpc>
            <a:spcBef>
              <a:spcPct val="0"/>
            </a:spcBef>
            <a:spcAft>
              <a:spcPct val="15000"/>
            </a:spcAft>
            <a:buChar char="•"/>
          </a:pPr>
          <a:r>
            <a:rPr lang="en-US" sz="1000" kern="1200"/>
            <a:t>Chatbots and automated check-in systems improve efficiency and guest satisfaction (Gunawan, Putri, and Meidia, 2020).</a:t>
          </a:r>
        </a:p>
      </dsp:txBody>
      <dsp:txXfrm>
        <a:off x="1833" y="657764"/>
        <a:ext cx="1787916" cy="2004707"/>
      </dsp:txXfrm>
    </dsp:sp>
    <dsp:sp modelId="{932F6277-3EF6-45D8-B949-C996466314BF}">
      <dsp:nvSpPr>
        <dsp:cNvPr id="0" name=""/>
        <dsp:cNvSpPr/>
      </dsp:nvSpPr>
      <dsp:spPr>
        <a:xfrm>
          <a:off x="2040059" y="148672"/>
          <a:ext cx="1787916" cy="509092"/>
        </a:xfrm>
        <a:prstGeom prst="rect">
          <a:avLst/>
        </a:prstGeom>
        <a:solidFill>
          <a:schemeClr val="accent3">
            <a:hueOff val="2058582"/>
            <a:satOff val="12356"/>
            <a:lumOff val="9413"/>
            <a:alphaOff val="0"/>
          </a:schemeClr>
        </a:solidFill>
        <a:ln w="12700" cap="flat" cmpd="sng" algn="ctr">
          <a:solidFill>
            <a:schemeClr val="accent3">
              <a:hueOff val="2058582"/>
              <a:satOff val="12356"/>
              <a:lumOff val="941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US" sz="1000" b="1" kern="1200"/>
            <a:t>Sustainability and Corporate Social Responsibility (CSR):</a:t>
          </a:r>
          <a:endParaRPr lang="en-US" sz="1000" kern="1200"/>
        </a:p>
      </dsp:txBody>
      <dsp:txXfrm>
        <a:off x="2040059" y="148672"/>
        <a:ext cx="1787916" cy="509092"/>
      </dsp:txXfrm>
    </dsp:sp>
    <dsp:sp modelId="{70A6578F-069F-4EB0-AEA2-D7E126D4DC9E}">
      <dsp:nvSpPr>
        <dsp:cNvPr id="0" name=""/>
        <dsp:cNvSpPr/>
      </dsp:nvSpPr>
      <dsp:spPr>
        <a:xfrm>
          <a:off x="2040059" y="657764"/>
          <a:ext cx="1787916" cy="2004707"/>
        </a:xfrm>
        <a:prstGeom prst="rect">
          <a:avLst/>
        </a:prstGeom>
        <a:solidFill>
          <a:schemeClr val="accent3">
            <a:tint val="40000"/>
            <a:alpha val="90000"/>
            <a:hueOff val="2527578"/>
            <a:satOff val="22352"/>
            <a:lumOff val="2648"/>
            <a:alphaOff val="0"/>
          </a:schemeClr>
        </a:solidFill>
        <a:ln w="12700" cap="flat" cmpd="sng" algn="ctr">
          <a:solidFill>
            <a:schemeClr val="accent3">
              <a:tint val="40000"/>
              <a:alpha val="90000"/>
              <a:hueOff val="2527578"/>
              <a:satOff val="22352"/>
              <a:lumOff val="264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Char char="•"/>
          </a:pPr>
          <a:r>
            <a:rPr lang="en-US" sz="1000" kern="1200"/>
            <a:t>Marriott implements green initiatives such as energy-efficient hotel designs, water conservation systems, and plastic reduction programs (Silva et al., 2024).</a:t>
          </a:r>
        </a:p>
        <a:p>
          <a:pPr marL="57150" lvl="1" indent="-57150" algn="l" defTabSz="444500">
            <a:lnSpc>
              <a:spcPct val="90000"/>
            </a:lnSpc>
            <a:spcBef>
              <a:spcPct val="0"/>
            </a:spcBef>
            <a:spcAft>
              <a:spcPct val="15000"/>
            </a:spcAft>
            <a:buChar char="•"/>
          </a:pPr>
          <a:r>
            <a:rPr lang="en-US" sz="1000" kern="1200"/>
            <a:t>The company follows responsible sourcing policies, similar to Accor’s Planet 21 program, ensuring ethical supply chain management (Ma et al., 2022).</a:t>
          </a:r>
        </a:p>
      </dsp:txBody>
      <dsp:txXfrm>
        <a:off x="2040059" y="657764"/>
        <a:ext cx="1787916" cy="2004707"/>
      </dsp:txXfrm>
    </dsp:sp>
    <dsp:sp modelId="{997ABB92-0CE3-4C60-BEAF-B3E97B90B41C}">
      <dsp:nvSpPr>
        <dsp:cNvPr id="0" name=""/>
        <dsp:cNvSpPr/>
      </dsp:nvSpPr>
      <dsp:spPr>
        <a:xfrm>
          <a:off x="4078284" y="148672"/>
          <a:ext cx="1787916" cy="509092"/>
        </a:xfrm>
        <a:prstGeom prst="rect">
          <a:avLst/>
        </a:prstGeom>
        <a:solidFill>
          <a:schemeClr val="accent3">
            <a:hueOff val="4117163"/>
            <a:satOff val="24712"/>
            <a:lumOff val="18825"/>
            <a:alphaOff val="0"/>
          </a:schemeClr>
        </a:solidFill>
        <a:ln w="12700" cap="flat" cmpd="sng" algn="ctr">
          <a:solidFill>
            <a:schemeClr val="accent3">
              <a:hueOff val="4117163"/>
              <a:satOff val="24712"/>
              <a:lumOff val="1882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US" sz="1000" b="1" kern="1200"/>
            <a:t>Marketing and Branding Strategies:</a:t>
          </a:r>
          <a:endParaRPr lang="en-US" sz="1000" kern="1200"/>
        </a:p>
      </dsp:txBody>
      <dsp:txXfrm>
        <a:off x="4078284" y="148672"/>
        <a:ext cx="1787916" cy="509092"/>
      </dsp:txXfrm>
    </dsp:sp>
    <dsp:sp modelId="{7D90F9A8-7BE5-4201-B51C-8A87E01E23B8}">
      <dsp:nvSpPr>
        <dsp:cNvPr id="0" name=""/>
        <dsp:cNvSpPr/>
      </dsp:nvSpPr>
      <dsp:spPr>
        <a:xfrm>
          <a:off x="4078284" y="657764"/>
          <a:ext cx="1787916" cy="2004707"/>
        </a:xfrm>
        <a:prstGeom prst="rect">
          <a:avLst/>
        </a:prstGeom>
        <a:solidFill>
          <a:schemeClr val="accent3">
            <a:tint val="40000"/>
            <a:alpha val="90000"/>
            <a:hueOff val="5055155"/>
            <a:satOff val="44705"/>
            <a:lumOff val="5295"/>
            <a:alphaOff val="0"/>
          </a:schemeClr>
        </a:solidFill>
        <a:ln w="12700" cap="flat" cmpd="sng" algn="ctr">
          <a:solidFill>
            <a:schemeClr val="accent3">
              <a:tint val="40000"/>
              <a:alpha val="90000"/>
              <a:hueOff val="5055155"/>
              <a:satOff val="44705"/>
              <a:lumOff val="529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Char char="•"/>
          </a:pPr>
          <a:r>
            <a:rPr lang="en-US" sz="1000" kern="1200"/>
            <a:t>Marriott focuses on digital engagement through targeted brand storytelling and social media campaigns (Truong et al., 2020).</a:t>
          </a:r>
        </a:p>
        <a:p>
          <a:pPr marL="57150" lvl="1" indent="-57150" algn="l" defTabSz="444500">
            <a:lnSpc>
              <a:spcPct val="90000"/>
            </a:lnSpc>
            <a:spcBef>
              <a:spcPct val="0"/>
            </a:spcBef>
            <a:spcAft>
              <a:spcPct val="15000"/>
            </a:spcAft>
            <a:buChar char="•"/>
          </a:pPr>
          <a:r>
            <a:rPr lang="en-US" sz="1000" kern="1200"/>
            <a:t>Strategic partnerships with airlines and travel platforms strengthen loyalty programs and cross-industry customer acquisition (Lee et al., 2021).</a:t>
          </a:r>
        </a:p>
      </dsp:txBody>
      <dsp:txXfrm>
        <a:off x="4078284" y="657764"/>
        <a:ext cx="1787916" cy="200470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1">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panAng" val="90"/>
              <dgm:param type="stAng" val="45"/>
            </dgm:alg>
          </dgm:if>
          <dgm:else name="Name23">
            <dgm:alg type="cycle">
              <dgm:param type="spanAng" val="90"/>
              <dgm:param type="stAng" val="225"/>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begPts" val="ctr"/>
            <dgm:param type="connRout" val="curve"/>
            <dgm:param type="dstNode" val="dstNode"/>
            <dgm:param type="endPts" val="ctr"/>
            <dgm:param type="endSty" val="noArr"/>
            <dgm:param type="srcNode" val="srcNode"/>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293</TotalTime>
  <Pages>17</Pages>
  <Words>4124</Words>
  <Characters>23183</Characters>
  <Application>Microsoft Office Word</Application>
  <DocSecurity>0</DocSecurity>
  <Lines>579</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Dragos Nenciu (2246448)</dc:creator>
  <cp:keywords/>
  <dc:description/>
  <cp:lastModifiedBy>Constantin Dragos Nenciu (2246448)</cp:lastModifiedBy>
  <cp:revision>19</cp:revision>
  <dcterms:created xsi:type="dcterms:W3CDTF">2025-02-12T09:25:00Z</dcterms:created>
  <dcterms:modified xsi:type="dcterms:W3CDTF">2025-03-05T09:49:00Z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eba0d96d74c86793fa0c6b42bcf5b8d7e1f362569ad086b319d705eff90c0d52</vt:lpwstr>
  </property>
</Properties>
</file>