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Default="00575AC9">
      <w:r>
        <w:t xml:space="preserve">Name: </w:t>
      </w:r>
      <w:r w:rsidR="006D002E">
        <w:t>Carys LOWE</w:t>
      </w:r>
    </w:p>
    <w:p w:rsidR="007E4409" w:rsidRDefault="006D002E">
      <w:r>
        <w:t xml:space="preserve">PC 6599 </w:t>
      </w:r>
      <w:r w:rsidR="007E4409">
        <w:t>South Wales Police</w:t>
      </w:r>
    </w:p>
    <w:p w:rsidR="00C81D2A" w:rsidRDefault="007E4409">
      <w:r>
        <w:t xml:space="preserve">Student Number: </w:t>
      </w:r>
      <w:r w:rsidR="006D002E">
        <w:t>1920599</w:t>
      </w:r>
    </w:p>
    <w:p w:rsidR="007E4409" w:rsidRDefault="006D002E">
      <w:r>
        <w:t>Exam 2 – 17/08/20</w:t>
      </w:r>
      <w:r w:rsidR="00C22F6A">
        <w:t>20</w:t>
      </w:r>
    </w:p>
    <w:p w:rsidR="00682F3B" w:rsidRDefault="00682F3B"/>
    <w:p w:rsidR="00682F3B" w:rsidRDefault="00682F3B">
      <w:r>
        <w:t>Question 1</w:t>
      </w:r>
    </w:p>
    <w:p w:rsidR="00682F3B" w:rsidRDefault="00C81D2A">
      <w:r>
        <w:t>A</w:t>
      </w:r>
      <w:r w:rsidR="00FD038B">
        <w:t xml:space="preserve"> mechanically propelled vehicle </w:t>
      </w:r>
      <w:r w:rsidR="00147933">
        <w:t>being driven on a road or other public place</w:t>
      </w:r>
      <w:r>
        <w:t xml:space="preserve"> </w:t>
      </w:r>
      <w:r w:rsidR="001B3280">
        <w:t>must stop, following instruction to do so by a police constable in uniform. Pedestrians must also follow any instructions given to stop by a police constable in uniform.</w:t>
      </w:r>
      <w:bookmarkStart w:id="0" w:name="_GoBack"/>
      <w:bookmarkEnd w:id="0"/>
    </w:p>
    <w:p w:rsidR="00682F3B" w:rsidRDefault="00682F3B"/>
    <w:p w:rsidR="00682F3B" w:rsidRDefault="00682F3B">
      <w:r>
        <w:t>Question 2</w:t>
      </w:r>
    </w:p>
    <w:p w:rsidR="00682F3B" w:rsidRDefault="001B3280">
      <w:r>
        <w:t xml:space="preserve">Section 6(4) RTA 1988 gives the power to require a preliminary test from a driver that has committed a moving traffic offence, they can therefore be required to give a road side breath test when instructed to by a police constable in uniform. </w:t>
      </w:r>
      <w:r w:rsidR="00147933">
        <w:t xml:space="preserve">Failure to do so can result in an offence under S163(3) of the RTA 1988. </w:t>
      </w:r>
    </w:p>
    <w:p w:rsidR="00682F3B" w:rsidRDefault="00682F3B"/>
    <w:p w:rsidR="00682F3B" w:rsidRDefault="00682F3B" w:rsidP="00682F3B">
      <w:r>
        <w:t>Question 3</w:t>
      </w:r>
    </w:p>
    <w:p w:rsidR="00682F3B" w:rsidRDefault="001B3280">
      <w:r>
        <w:t xml:space="preserve">A person driving a mechanically propelled vehicle on a road or other public place without due care and attention or reasonable consideration is covered by Section 3 of the Road Traffic Act 1988, and involves driving that falls below the standard of that of a careful and considerate driver. To commit the offence the driver must have caused an actual inconvenience to another road user. </w:t>
      </w:r>
    </w:p>
    <w:p w:rsidR="00682F3B" w:rsidRDefault="00682F3B"/>
    <w:p w:rsidR="00682F3B" w:rsidRDefault="00682F3B" w:rsidP="00682F3B">
      <w:r>
        <w:t>Question 4</w:t>
      </w:r>
    </w:p>
    <w:p w:rsidR="00682F3B" w:rsidRDefault="001B3280">
      <w:r>
        <w:t xml:space="preserve">Use of technology such as ANPR can help reduce unlawful activity of criminals, especially when considering issues such as county lines. Being able to quickly track and trace patterns of vehicle use can provide valuable intel to aid the investigation of offences. Given the widespread nature of some crime, the road network is a key part in movement, by successfully tracking, identifying and stopping vehicles involved it prevents movement of such criminals. ANPR allows for real time track and trace technology to identify vehicles of interest. </w:t>
      </w:r>
    </w:p>
    <w:p w:rsidR="00682F3B" w:rsidRDefault="00682F3B"/>
    <w:p w:rsidR="00682F3B" w:rsidRDefault="00682F3B" w:rsidP="00682F3B">
      <w:r>
        <w:t>Question 5</w:t>
      </w:r>
    </w:p>
    <w:p w:rsidR="00682F3B" w:rsidRDefault="001B3280">
      <w:r>
        <w:t xml:space="preserve">A police constable in uniform may seize a mechanically propelled vehicle that has been driven on a road or other public place that they have reasonable grounds to believe has been involved in an offence. </w:t>
      </w:r>
    </w:p>
    <w:p w:rsidR="00682F3B" w:rsidRDefault="00682F3B"/>
    <w:p w:rsidR="00682F3B" w:rsidRDefault="00682F3B" w:rsidP="00682F3B">
      <w:r>
        <w:t>Question 6</w:t>
      </w:r>
    </w:p>
    <w:p w:rsidR="00682F3B" w:rsidRDefault="001B3280">
      <w:r>
        <w:lastRenderedPageBreak/>
        <w:t xml:space="preserve">A reportable RTC is one that involves damage to another individual’s property or personal injury, and it must be reported within 24 hours of the accident occurring to the police, in person unless there is a lawful excuse </w:t>
      </w:r>
      <w:r w:rsidR="003B411C">
        <w:t>or reasonable explanation for it to take longer</w:t>
      </w:r>
      <w:r w:rsidR="00147933">
        <w:t xml:space="preserve"> than 24 hours</w:t>
      </w:r>
      <w:r w:rsidR="003B411C">
        <w:t xml:space="preserve">. </w:t>
      </w:r>
    </w:p>
    <w:p w:rsidR="00682F3B" w:rsidRDefault="00682F3B"/>
    <w:p w:rsidR="00682F3B" w:rsidRDefault="00682F3B" w:rsidP="00682F3B">
      <w:r>
        <w:t>Question 7</w:t>
      </w:r>
    </w:p>
    <w:p w:rsidR="00682F3B" w:rsidRDefault="003B411C">
      <w:r>
        <w:t xml:space="preserve">A family liaison officer is assigned to a case to provide a link between the victim’s family and the police that are investigating the incident. FLOs are specially trained to assist the family, and to form a valuable connection between them and the case. Whilst they are trained, they do not provide counselling to the victim’s families, instead they can direct them to support services. It is still their role to investigate the incident, by working closely with the family to gain further information. It is important they build a good relationship with the family as this can greatly improve the relations with the police. It is important for the FLO to agree an exit point with the family before their work with them begins, this outlines the role of the FLO in the case and aids the management of the expectations of the family. In more recent times, it’s important for the FLO to have an awareness of what information is already present on social media/media outlets and how best to manage this with the family. Information/pictures/footage on social media can be upsetting to victim’s families, and the FLO can help them manage and address this. Having an FLO can make the process of a road fatality investigation easier for the victim’s family to deal with, whilst still being an impartial evidence gatherer, the FLO can help the family understand the process and keep them up to date with the investigation. This point of contact can prevent hostility towards the police from the victim’s family, as it is key to remember the family of the deceased are victims too. The FLO can then provide information to the investigation, working closely with the family will provide the police with further information, and sources of intel that otherwise may not have come to fruition. </w:t>
      </w:r>
    </w:p>
    <w:p w:rsidR="00682F3B" w:rsidRDefault="00682F3B"/>
    <w:p w:rsidR="00682F3B" w:rsidRDefault="00682F3B" w:rsidP="00682F3B">
      <w:r>
        <w:t>Question 8</w:t>
      </w:r>
    </w:p>
    <w:p w:rsidR="00682F3B" w:rsidRDefault="003B411C">
      <w:r>
        <w:t xml:space="preserve">Section 170 of the RTA 1988 states that a driver must report a road traffic collision if it causes damage to another person’s property or causes personal injury to another person, even if the driver is the only vehicle involved in the collision. This must be done within 24 hours of the collision occurring unless there is a lawful excuse or reasonable explanation for it taking longer. The collision must be reported in person at a police station, and the driver must take their driving licence. The collision will then be investigated. It is important for these collisions to be reported as they can prevent further problems; such as if property is damaged by a road and debris is left in place. It also can establish if there were other factors at play, such as drink or drug use. Failure to report the collision is an offence and can result in a driving ban, penalty points or a fine. </w:t>
      </w:r>
    </w:p>
    <w:p w:rsidR="00682F3B" w:rsidRDefault="00682F3B"/>
    <w:p w:rsidR="00682F3B" w:rsidRDefault="00682F3B" w:rsidP="00682F3B">
      <w:r>
        <w:t>Question 9</w:t>
      </w:r>
    </w:p>
    <w:p w:rsidR="00682F3B" w:rsidRDefault="003B411C">
      <w:r>
        <w:t xml:space="preserve">Section 6E of the RTA 1988 is the power of entry associated with driving whilst over the prescribed limit. A police constable in uniform may enter the premises (with reasonable force) of someone they have reasonable grounds to believe has been involved in a road traffic collision, or has failed to stop (under S163(3) of RTA 1988) or has been involved in a moving traffic offence, and is over the prescribed limit for drink or drugs, in order to gain a preliminary breath test. </w:t>
      </w:r>
      <w:r w:rsidR="00D16523">
        <w:t xml:space="preserve">However, there must </w:t>
      </w:r>
      <w:r w:rsidR="00147933">
        <w:t>have been personal injury involv</w:t>
      </w:r>
      <w:r w:rsidR="00D16523">
        <w:t xml:space="preserve">ed in order for the power of entry to be used. It cannot be used if there is only damage to property. </w:t>
      </w:r>
    </w:p>
    <w:p w:rsidR="00682F3B" w:rsidRDefault="00682F3B"/>
    <w:p w:rsidR="00682F3B" w:rsidRDefault="00682F3B" w:rsidP="00682F3B">
      <w:r>
        <w:t>Question 10</w:t>
      </w:r>
    </w:p>
    <w:p w:rsidR="00682F3B" w:rsidRDefault="00D16523">
      <w:r>
        <w:t xml:space="preserve">A person commits an offence if they caused the death of a person by driving a mechanically propelled vehicle in a manner that was dangerous on a road or other place to which the public has access. The driving is considered dangerous if it falls far below the standard of a careful driver. </w:t>
      </w:r>
    </w:p>
    <w:p w:rsidR="00682F3B" w:rsidRDefault="00682F3B"/>
    <w:p w:rsidR="00682F3B" w:rsidRDefault="00682F3B" w:rsidP="00682F3B">
      <w:r>
        <w:t>Question 11</w:t>
      </w:r>
    </w:p>
    <w:p w:rsidR="00682F3B" w:rsidRDefault="00D16523">
      <w:r>
        <w:t>For alcohol the prescribed limits are</w:t>
      </w:r>
    </w:p>
    <w:p w:rsidR="00D16523" w:rsidRDefault="00D16523">
      <w:r>
        <w:t>Breath – 35</w:t>
      </w:r>
      <w:r>
        <w:br/>
        <w:t>Blood – 80</w:t>
      </w:r>
      <w:r>
        <w:br/>
        <w:t>Urine – 107</w:t>
      </w:r>
    </w:p>
    <w:p w:rsidR="00D16523" w:rsidRDefault="00D16523">
      <w:r>
        <w:t>Drug limits -</w:t>
      </w:r>
    </w:p>
    <w:p w:rsidR="00682F3B" w:rsidRDefault="00D16523">
      <w:r>
        <w:t xml:space="preserve">THC – 2 </w:t>
      </w:r>
      <w:r>
        <w:br/>
        <w:t>Cocaine - 10</w:t>
      </w:r>
    </w:p>
    <w:p w:rsidR="00682F3B" w:rsidRDefault="00682F3B" w:rsidP="00682F3B">
      <w:r>
        <w:t>Question 12</w:t>
      </w:r>
    </w:p>
    <w:p w:rsidR="00682F3B" w:rsidRDefault="00D16523">
      <w:r>
        <w:t xml:space="preserve">Appropriate Adult – an AA should be present if the suspect is under 18 years of age, or if they do not have capacity to be interviewed alone. Their role is to support the suspect and aid their understanding of questions they are being asked. They do not provide legal support or advice, and cannot answer questions for the suspect. They can explain a question to the suspect, and help them gain an understanding of what is being asked of them, but they can’t provide answers or instruct the suspect on what to say. An appropriate adult can be a parent or guardian, but it is important to make sure the suspect is comfortable with who is being their AA, they can request to change them – but it is important for the interviewer to recognise when there is an issue, such as a strict parent that is intimidating their child. </w:t>
      </w:r>
    </w:p>
    <w:p w:rsidR="00D16523" w:rsidRDefault="00D16523">
      <w:r>
        <w:t>Solicitor/Legal Clerk – suspects are entitled to free legal support, and can have a solicitor present during the interview, again they cannot answer for their suspect but they can advise them on what to say. The interview can be suspended at any point for the suspect to discuss things with their solicitor, they can also aid the suspect in preparing a statement to be given to the interviewer. The solicitor can also aid the suspect in understandi</w:t>
      </w:r>
      <w:r w:rsidR="008B0D33">
        <w:t>ng what is being asked of them</w:t>
      </w:r>
      <w:r w:rsidR="00287CD8">
        <w:t xml:space="preserve">, and advise as they see fit. However the suspect can also opt against legal advice and can choose to ignore what the solicitor recommends. </w:t>
      </w:r>
    </w:p>
    <w:p w:rsidR="002E4EC6" w:rsidRDefault="002E4EC6">
      <w:r>
        <w:t>Interpreter – where English isn’t the first language of the person being interviewed they can request an interpreter to assist them with understanding the questions being asked. The interpreter is provided by the police.</w:t>
      </w:r>
    </w:p>
    <w:p w:rsidR="00C07AFB" w:rsidRDefault="00C07AFB">
      <w:r>
        <w:t xml:space="preserve">It is important to make sure all ‘relevant people’ are identified at the start of an interview and their roles have been outlined. </w:t>
      </w:r>
    </w:p>
    <w:p w:rsidR="00682F3B" w:rsidRDefault="00682F3B"/>
    <w:p w:rsidR="00682F3B" w:rsidRDefault="00682F3B" w:rsidP="00682F3B">
      <w:r>
        <w:t>Question 13</w:t>
      </w:r>
    </w:p>
    <w:p w:rsidR="00682F3B" w:rsidRDefault="00287CD8">
      <w:r>
        <w:lastRenderedPageBreak/>
        <w:t xml:space="preserve">The national police interviewing model provides a mechanism by which all interviews can be based around. Following the structure PEACE; provides 5 areas that need to be covered when preparing and carrying out an interview, both in the case of suspect and witness/victim. </w:t>
      </w:r>
    </w:p>
    <w:p w:rsidR="00287CD8" w:rsidRDefault="00287CD8">
      <w:r>
        <w:t>P – planning and preparing; this is important for a well-structured interview that covers all the points required to gain adequate information about the incident. Planning what topics to cover can help move the interview along in an efficient manner. This takes place before the interview, and enables the interviewer to set out where they’d like the linens of enquiry to go</w:t>
      </w:r>
    </w:p>
    <w:p w:rsidR="00287CD8" w:rsidRDefault="00287CD8">
      <w:r>
        <w:t xml:space="preserve">E – engage and explain; this involves the start of the interview itself. When interviewing witnesses/victims the GRRR technique allows the interviewer to engage with the interviewee. G – greeting, setting out the tone for the interview is important and helps build a rapport; it’s here you can use the start of the four phase model to introduce the ground rules of the interview and what is expected from both parties. R – reason, the reason they are being interviewed – this establishes that they know and understand why they’re there – linking back to the Explain aspect of PEACE. R – routine, what happens in the interview – here can explain what you’ll be asking them, such as asking them for a first account and then moving into topics as a result of that. It provides a plan and a level of reassurance that things will move as you say they will. The final R of GRRR is route map, so what will happen next – explain the potential of court early on, also explain the support available (witness specific) to manage their expectations. </w:t>
      </w:r>
    </w:p>
    <w:p w:rsidR="00287CD8" w:rsidRDefault="00287CD8">
      <w:r>
        <w:t xml:space="preserve">A – account, clarify and challenge. The first account of either witness/vic or suspect is key, it gives them an opportunity to explain to you in their own words what happened. Here it’s important to consider the Cone Model of questioning, this too comes into play in the planning aspect of PEACE. When asking for an account, it’s important to use open questions, such as ‘Tell me...’, ‘Explain…’ and ‘Describe…’. These kinds of questions give the interviewee a chance to give as much detail as possible. When details have been established you can move down the cone model to ask probing questions, using the 5Ws and H and finally to closed questions that allow for direct and concise clarity. In suspect interviews, it is important to probe all topics fully before moving into the challenge phase, where </w:t>
      </w:r>
      <w:r w:rsidR="00C07AFB">
        <w:t xml:space="preserve">details are challenged and clarified to establish true events. </w:t>
      </w:r>
    </w:p>
    <w:p w:rsidR="00287CD8" w:rsidRDefault="00287CD8">
      <w:r>
        <w:t xml:space="preserve">C – </w:t>
      </w:r>
      <w:r w:rsidR="00C07AFB">
        <w:t xml:space="preserve">closure, here the interview is drawn to a close, and final details are clarified and established. It comes back round to the ‘route map’ aspect of the GRRR as here it can be explained again what will happen after the interview. </w:t>
      </w:r>
      <w:r w:rsidR="00DD7257">
        <w:t>It can be helpful to ask at this point in suspect interviews if the suspect has a lawful excuse or reasonable explanation for any of the things stated in interview.</w:t>
      </w:r>
    </w:p>
    <w:p w:rsidR="00C07AFB" w:rsidRDefault="00C07AFB">
      <w:r>
        <w:t xml:space="preserve">E – evaluate, both the interview itself and your involvement in it. It is important to go over everything that has happened in the course of an interview and make sure everything was covered as it should be. There should be a constant will to improve interview technique and evaluation is key to this. </w:t>
      </w:r>
    </w:p>
    <w:p w:rsidR="00682F3B" w:rsidRDefault="00682F3B"/>
    <w:p w:rsidR="00682F3B" w:rsidRDefault="00682F3B" w:rsidP="00682F3B">
      <w:r>
        <w:t>Question 14</w:t>
      </w:r>
    </w:p>
    <w:p w:rsidR="00682F3B" w:rsidRDefault="00C07AFB">
      <w:r>
        <w:t>A person (A) commits an offence if they carry out a course of conduct that amounts to fear of violence, threat of violence, intimidating or harassing behaviour that can be considered coercive, by a person they are in an intimate relationship with at the time, a family member or an ex-partner they still reside with</w:t>
      </w:r>
      <w:r w:rsidR="00DD7257">
        <w:t>.</w:t>
      </w:r>
    </w:p>
    <w:p w:rsidR="00682F3B" w:rsidRDefault="00682F3B"/>
    <w:p w:rsidR="00682F3B" w:rsidRDefault="00682F3B" w:rsidP="00682F3B">
      <w:r>
        <w:lastRenderedPageBreak/>
        <w:t>Question 15</w:t>
      </w:r>
    </w:p>
    <w:p w:rsidR="00682F3B" w:rsidRDefault="00C07AFB">
      <w:r>
        <w:t xml:space="preserve">Coercive control can be hugely damaging to an individual and can be pre-emptive of physical abuse. </w:t>
      </w:r>
      <w:r w:rsidR="00FC0381">
        <w:t xml:space="preserve">Coercive control includes many psychological aspects that can cause serious harm to a person’s mental health. It often is a precursor for physical domestic abuse, but not in every case. </w:t>
      </w:r>
      <w:r w:rsidR="00313E3B">
        <w:t xml:space="preserve">It is important for police officers to have an awareness and understanding of coercive control in order to better recognise and understand it, it can help identify those at risk and help them leave an abusive situation. It can prevent victims leading a normal life, and can be damaging to their relationships with others and cause isolation. It can begin a cycle whereby the victim feels unable to leave and is then trapped in a mentally abusive relationship. Coercive control can take many forms, including financial control, where the victim has the ability to live independently taken away from them. </w:t>
      </w:r>
    </w:p>
    <w:p w:rsidR="00C22F6A" w:rsidRDefault="00C22F6A"/>
    <w:p w:rsidR="00682F3B" w:rsidRDefault="00682F3B" w:rsidP="00682F3B">
      <w:r>
        <w:t>Question 16</w:t>
      </w:r>
    </w:p>
    <w:p w:rsidR="00C07AFB" w:rsidRDefault="00C07AFB" w:rsidP="00C07AFB">
      <w:r>
        <w:t xml:space="preserve">Section 46 of the Children Act 1989 allows removal of a child into police protective custody if the child is at risk of significant harm, and can remain in protective custody for up to 72 hours. The child can also be removed by social services, but if a situation arose whereby a child was in serious danger an officer can remove the child to a place of safety or as an absolute last case, to a police station. The child can be kept in police protective custody for up to 72 hours before the child must be dealt with by social services. It is an emergency power, and a child can also be removed by the social services, however it is important to consider Sec 46 as an option when dealing with offences such as child sexual exploitation or sexual offences against children. A PPN must be submitted immediately as the child is considered vulnerable (as they are under 18), and the social services must be alerted. </w:t>
      </w:r>
      <w:r w:rsidR="00313E3B">
        <w:t xml:space="preserve">The child’s safety can be ensured by removing them from the situation in which they are at risk, this can be further supported by identifying and investigating those that have placed them in that situation, considering offences that may have been committed. Investigating thoroughly following the removal of the child is important for prevention of further risk. </w:t>
      </w:r>
    </w:p>
    <w:p w:rsidR="00682F3B" w:rsidRDefault="00682F3B"/>
    <w:p w:rsidR="00682F3B" w:rsidRDefault="00682F3B" w:rsidP="00682F3B">
      <w:r>
        <w:t>Question 17</w:t>
      </w:r>
    </w:p>
    <w:p w:rsidR="00682F3B" w:rsidRDefault="00313E3B">
      <w:r>
        <w:t>A person commits an offence when they subject a child under the age of 18 to any physical, psychological or sexual abuse that goes beyond lawful chastisement without reasonable excuse.</w:t>
      </w:r>
    </w:p>
    <w:p w:rsidR="00682F3B" w:rsidRDefault="00682F3B"/>
    <w:p w:rsidR="00682F3B" w:rsidRDefault="00682F3B" w:rsidP="00682F3B">
      <w:r>
        <w:t>Question 18</w:t>
      </w:r>
    </w:p>
    <w:p w:rsidR="00682F3B" w:rsidRDefault="00313E3B">
      <w:r>
        <w:t>The DASH model is used for cases of Domestic Abuse, Stalking and Harassment but can be used when dealing with incidents of public protection such as child abuse, it uses PPNs to risk assess and efficiently manage the incidents in order to prevent any further harm or risk. PPNs must be submitted in full following any incident with a vulnerable person – in this case children under 18 are always considered vulnerable. The PPN is complete and risk assessed by the officer, it is then tasked to the PPU team for a secondary assessment and a course of action is decided. This prevents incidents sliding through the net, and means that children and vulnerable people are protected. In cases where the child is at risk of serious harm, they can be removed into protective police custody under S46 of the Children Act 1989</w:t>
      </w:r>
      <w:r w:rsidR="007758EF">
        <w:t>. Social services work with the police to ensure that the correct action is taken to prevent harm.</w:t>
      </w:r>
    </w:p>
    <w:p w:rsidR="00682F3B" w:rsidRDefault="00682F3B"/>
    <w:p w:rsidR="00682F3B" w:rsidRDefault="00682F3B" w:rsidP="00682F3B">
      <w:r>
        <w:lastRenderedPageBreak/>
        <w:t>Question 19</w:t>
      </w:r>
    </w:p>
    <w:p w:rsidR="00682F3B" w:rsidRDefault="007758EF">
      <w:r>
        <w:t xml:space="preserve">The PPN process requires a PPN form to be filled out at every incident that involves a vulnerable person. The DASH model highlights that the PPN must be filled out in full, all 29 questions in every single case, and it must be submitted before the end of tour of duty. The PPN form is risk assessed by the officer that fills it in using the grading system on the form, it is then tasked to the PPU team that then secondarily assess the individual. There are 3 levels of risk, Standard – no immediate risk of serious harm, Medium – there has been identification of indicators that show risk of serious harm, but unlikely to occur unless there is a change of circumstance, and High – indicators of serious harm have been identified and it could happen at any moment. PPN forms as especially important when dealing with DASH incidents. When the PPU have given the second assessment, the line of action is decided. </w:t>
      </w:r>
      <w:r w:rsidR="00147933">
        <w:t xml:space="preserve">DASH incidents include Domestic Abuse, Stalking and Harassment. </w:t>
      </w:r>
    </w:p>
    <w:p w:rsidR="00682F3B" w:rsidRDefault="00682F3B"/>
    <w:p w:rsidR="00682F3B" w:rsidRDefault="00682F3B" w:rsidP="00682F3B">
      <w:r>
        <w:t>Question 20</w:t>
      </w:r>
    </w:p>
    <w:p w:rsidR="00682F3B" w:rsidRDefault="007758EF">
      <w:r>
        <w:t xml:space="preserve">A DVPN is a domestic violence protection notice, it can be applied for by the police following an incident of domestic violence. This typically occurs in cases where the outcome is an NFA, but suspects cannot be held in custody in order for the officer to apply for a DVPN, but when in place the offender can be remanded in custody. A DVPN is a temporary notice that lasts for 48 hours and can prevent the offender returning to the address of the incident, and can prevent them contacting the victim. It allows for a ‘cooling off’ period to occur between the incident and the offender returning to the property. A DVPN can be applied for when the offender is over 18, and they have threatened violence against the victim and is issued under S24. The DVPN must be heard before a magistrates court within 48 hours, and then the process begins to apply for a DVPO (domestic violence protection order) which is issued by the courts and lasts between 14 and 28 days. If a DVPO is put in place by the court, it can again prevent the offender returning to the address, or contacting the victim, and can be put in place even if the offender does not live with the victim. Any breach of the DVPO is dealt with as a contempt of court, the offender must be remanded in custody and put before a magistrates court within 24 hours of arrest. </w:t>
      </w:r>
    </w:p>
    <w:p w:rsidR="00682F3B" w:rsidRDefault="00682F3B"/>
    <w:p w:rsidR="00682F3B" w:rsidRDefault="00682F3B" w:rsidP="00682F3B">
      <w:r>
        <w:t>Question 21</w:t>
      </w:r>
    </w:p>
    <w:p w:rsidR="00682F3B" w:rsidRDefault="00E037DE">
      <w:r>
        <w:t>CSE is where a person over the age of 18 takes advantage of an imbalance of power, between them and a child, to exploit the child for gain – this can be in the form of</w:t>
      </w:r>
      <w:r w:rsidR="00B1545C">
        <w:t xml:space="preserve"> sexual gain,</w:t>
      </w:r>
      <w:r>
        <w:t xml:space="preserve"> financial gain or for some kind of social </w:t>
      </w:r>
      <w:r w:rsidR="00B1545C">
        <w:t xml:space="preserve">standing </w:t>
      </w:r>
      <w:r>
        <w:t xml:space="preserve">gain. </w:t>
      </w:r>
      <w:r w:rsidR="00B1545C">
        <w:t xml:space="preserve">It can take many forms, and the children involved are often not aware what is happening at the time. It begins with grooming, progresses to normalisation and then exploitation. The adult involved may be using the child for sex, or pornography. The child may believe they have a genuine relationship with the offending adult, as they may give the child money, gifts, alcohol etc. in exchange for sex or explicit images. It is important for police to be aware of certain signs that a child may be being subjected to CSE, such as having unexplained gifts/money, estranged from their parents, truanting from school, being reported missing often. Whilst the age of consent in the UK is 16, with CSE a child is considered to be anyone under the age of 18. </w:t>
      </w:r>
      <w:r w:rsidR="00147933">
        <w:t xml:space="preserve">Teenagers are at high risk of being involved in CSE, this can be as a result of hormonal changes, and general stresses of growing up, confusing feelings about their sexuality amongst other things. Adults taking advantage of an imbalance of power will often select individuals they know to be vulnerable, perhaps without many friends, or following a recent bereavement. They will groom the child, by giving them attention, things such as alcohol that they wouldn’t normally have access to </w:t>
      </w:r>
      <w:r w:rsidR="00CE7D44">
        <w:t xml:space="preserve">and begin </w:t>
      </w:r>
      <w:r w:rsidR="00CE7D44">
        <w:lastRenderedPageBreak/>
        <w:t xml:space="preserve">to slowly isolate them from family and friends. The child at this point may believe they have a genuine relationship with the individual abusing them and may therefore get defensive of the relationship and not seek help. Inappropriate age gap relationships can be a key indicator of CSE. </w:t>
      </w:r>
    </w:p>
    <w:p w:rsidR="00682F3B" w:rsidRDefault="00682F3B"/>
    <w:p w:rsidR="00682F3B" w:rsidRDefault="00682F3B" w:rsidP="00682F3B">
      <w:r>
        <w:t>Question 22</w:t>
      </w:r>
    </w:p>
    <w:p w:rsidR="00682F3B" w:rsidRDefault="00B1545C">
      <w:r>
        <w:t xml:space="preserve">The CSO Disclosure Scheme was introduced following the murder of Sarah Payne, it was not designed to be a public disclosure scheme of sex offenders – as the concern is a scheme that has public access would drive sex offenders into hiding, or to go missing, which puts children at greater risk. It was built on existing frameworks that allow a person to make an enquiry about a person that has contact with a child or children regularly. A third party person such as a grandparent or childminder can apply for information about an individual. It is a process that involves disclosure to the applicant in a ‘concern’ situation. An individual is considered a concern if they hold any previous convictions for offences against children, not limited to sexual offences but also including neglect, domestic violence and child cruelty. The disclosure of these offences will take place if the criteria of section 5.6.15 is met on the CSO disclosure scheme. </w:t>
      </w:r>
    </w:p>
    <w:p w:rsidR="00B1545C" w:rsidRDefault="00B1545C">
      <w:r>
        <w:t xml:space="preserve">Sarah Payne was abducted and murdered by a man with previous convictions for abducting another 8 year old girl, and her parents appealed for the introduction of ‘Sarah’s Law’ as they felt knowing that individuals had previous convictions for sexual offences against children would have prevented Sarah’s murder. Whilst they wanted a public disclosure system, it was felt that this may put children at greater risk, and instead the CSO Disclosure Scheme was developed to improve pre-existing framework. </w:t>
      </w:r>
    </w:p>
    <w:p w:rsidR="00682F3B" w:rsidRDefault="00682F3B"/>
    <w:p w:rsidR="00682F3B" w:rsidRDefault="00682F3B" w:rsidP="00682F3B">
      <w:r>
        <w:t>Question 23</w:t>
      </w:r>
    </w:p>
    <w:p w:rsidR="00682F3B" w:rsidRDefault="00147933">
      <w:r>
        <w:t xml:space="preserve">That the suspect did not reasonably believe that the victim consented, that any child under 13 cannot legally consent, </w:t>
      </w:r>
      <w:r w:rsidR="00B349E2">
        <w:t>that the victim consented partially but not wholly, that the victim was subject to a substance that stupefied them</w:t>
      </w:r>
      <w:r w:rsidR="001B6171">
        <w:t xml:space="preserve">. Considering physical injuries and DNA evidence. </w:t>
      </w:r>
    </w:p>
    <w:p w:rsidR="00682F3B" w:rsidRDefault="00682F3B"/>
    <w:p w:rsidR="00682F3B" w:rsidRDefault="00682F3B" w:rsidP="00682F3B">
      <w:r>
        <w:t>Question 24</w:t>
      </w:r>
    </w:p>
    <w:p w:rsidR="00682F3B" w:rsidRDefault="00847B99">
      <w:r>
        <w:t xml:space="preserve">The overriding objectives of procedural code include; </w:t>
      </w:r>
    </w:p>
    <w:p w:rsidR="00682F3B" w:rsidRDefault="00847B99">
      <w:r>
        <w:t xml:space="preserve">Acquitting the innocent and convicting the guilty </w:t>
      </w:r>
      <w:r>
        <w:br/>
        <w:t xml:space="preserve">Ensuring a fair trial </w:t>
      </w:r>
      <w:r w:rsidR="00147933">
        <w:br/>
        <w:t>Ensuring an impartial jury is present</w:t>
      </w:r>
      <w:r w:rsidR="00147933">
        <w:br/>
        <w:t xml:space="preserve">That there are no conflict of interests in court </w:t>
      </w:r>
      <w:r w:rsidR="00147933">
        <w:br/>
        <w:t xml:space="preserve">That all evidence is accurate </w:t>
      </w:r>
      <w:r w:rsidR="00147933">
        <w:br/>
        <w:t xml:space="preserve">Investigation has been carried out fairly and correctly </w:t>
      </w:r>
      <w:r w:rsidR="00147933">
        <w:br/>
        <w:t>That everything</w:t>
      </w:r>
      <w:r w:rsidR="00B349E2">
        <w:t xml:space="preserve"> presented to the court</w:t>
      </w:r>
      <w:r w:rsidR="00FD038B">
        <w:t xml:space="preserve"> is based on fact </w:t>
      </w:r>
      <w:r w:rsidR="00FD038B">
        <w:br/>
      </w:r>
    </w:p>
    <w:p w:rsidR="00682F3B" w:rsidRDefault="00FD038B" w:rsidP="00682F3B">
      <w:r>
        <w:t>Question 25</w:t>
      </w:r>
    </w:p>
    <w:p w:rsidR="00682F3B" w:rsidRDefault="00C22F6A" w:rsidP="00682F3B">
      <w:r>
        <w:t xml:space="preserve">That they believe there is sufficient evidence to begin a prosecution that may result in a conviction. That the lines of enquiry are legitimate and are being followed correctly. That the investigation is being carried out fairly and in an unbiased manner by the police. </w:t>
      </w:r>
    </w:p>
    <w:p w:rsidR="00682F3B" w:rsidRDefault="00682F3B" w:rsidP="00682F3B"/>
    <w:sectPr w:rsidR="00682F3B" w:rsidSect="000C6394">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47933" w:rsidRDefault="00147933" w:rsidP="000C6394">
      <w:pPr>
        <w:spacing w:after="0" w:line="240" w:lineRule="auto"/>
      </w:pPr>
      <w:r>
        <w:separator/>
      </w:r>
    </w:p>
  </w:endnote>
  <w:endnote w:type="continuationSeparator" w:id="0">
    <w:p w:rsidR="00147933" w:rsidRDefault="00147933" w:rsidP="000C63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47933" w:rsidRDefault="00FC563E" w:rsidP="00FC563E">
    <w:pPr>
      <w:pStyle w:val="Footer"/>
      <w:rPr>
        <w:color w:val="000000"/>
        <w:sz w:val="17"/>
      </w:rPr>
    </w:pPr>
    <w:bookmarkStart w:id="3" w:name="TITUS1FooterEvenPages"/>
    <w:r>
      <w:rPr>
        <w:color w:val="000000"/>
        <w:sz w:val="17"/>
      </w:rPr>
      <w:t> </w:t>
    </w:r>
  </w:p>
  <w:bookmarkEnd w:id="3"/>
  <w:p w:rsidR="00147933" w:rsidRDefault="00147933" w:rsidP="00D16523">
    <w:pPr>
      <w:pStyle w:val="Footer"/>
    </w:pPr>
  </w:p>
  <w:p w:rsidR="00147933" w:rsidRDefault="0014793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47933" w:rsidRDefault="00FC563E" w:rsidP="00FC563E">
    <w:pPr>
      <w:pStyle w:val="Footer"/>
      <w:rPr>
        <w:color w:val="000000"/>
        <w:sz w:val="17"/>
      </w:rPr>
    </w:pPr>
    <w:bookmarkStart w:id="4" w:name="TITUS1FooterPrimary"/>
    <w:r>
      <w:rPr>
        <w:color w:val="000000"/>
        <w:sz w:val="17"/>
      </w:rPr>
      <w:t> </w:t>
    </w:r>
  </w:p>
  <w:bookmarkEnd w:id="4"/>
  <w:p w:rsidR="00147933" w:rsidRDefault="0014793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47933" w:rsidRDefault="00FC563E" w:rsidP="00FC563E">
    <w:pPr>
      <w:pStyle w:val="Footer"/>
      <w:rPr>
        <w:color w:val="000000"/>
        <w:sz w:val="17"/>
      </w:rPr>
    </w:pPr>
    <w:bookmarkStart w:id="6" w:name="TITUS1FooterFirstPage"/>
    <w:r>
      <w:rPr>
        <w:color w:val="000000"/>
        <w:sz w:val="17"/>
      </w:rPr>
      <w:t> </w:t>
    </w:r>
  </w:p>
  <w:bookmarkEnd w:id="6"/>
  <w:p w:rsidR="00147933" w:rsidRDefault="0014793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47933" w:rsidRDefault="00147933" w:rsidP="000C6394">
      <w:pPr>
        <w:spacing w:after="0" w:line="240" w:lineRule="auto"/>
      </w:pPr>
      <w:r>
        <w:separator/>
      </w:r>
    </w:p>
  </w:footnote>
  <w:footnote w:type="continuationSeparator" w:id="0">
    <w:p w:rsidR="00147933" w:rsidRDefault="00147933" w:rsidP="000C639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47933" w:rsidRDefault="00FC563E" w:rsidP="00FC563E">
    <w:pPr>
      <w:pStyle w:val="Header"/>
      <w:rPr>
        <w:color w:val="000000"/>
        <w:sz w:val="17"/>
      </w:rPr>
    </w:pPr>
    <w:bookmarkStart w:id="1" w:name="TITUS1HeaderEvenPages"/>
    <w:r>
      <w:rPr>
        <w:color w:val="000000"/>
        <w:sz w:val="17"/>
      </w:rPr>
      <w:t> </w:t>
    </w:r>
  </w:p>
  <w:bookmarkEnd w:id="1"/>
  <w:p w:rsidR="00147933" w:rsidRDefault="00147933" w:rsidP="00D16523">
    <w:pPr>
      <w:pStyle w:val="Header"/>
    </w:pPr>
  </w:p>
  <w:p w:rsidR="00147933" w:rsidRDefault="0014793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47933" w:rsidRDefault="00FC563E" w:rsidP="00FC563E">
    <w:pPr>
      <w:pStyle w:val="Header"/>
      <w:rPr>
        <w:color w:val="000000"/>
        <w:sz w:val="17"/>
      </w:rPr>
    </w:pPr>
    <w:bookmarkStart w:id="2" w:name="TITUS1HeaderPrimary"/>
    <w:r>
      <w:rPr>
        <w:color w:val="000000"/>
        <w:sz w:val="17"/>
      </w:rPr>
      <w:t> </w:t>
    </w:r>
  </w:p>
  <w:bookmarkEnd w:id="2"/>
  <w:p w:rsidR="00147933" w:rsidRDefault="0014793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47933" w:rsidRDefault="00FC563E" w:rsidP="00FC563E">
    <w:pPr>
      <w:pStyle w:val="Header"/>
      <w:rPr>
        <w:color w:val="000000"/>
        <w:sz w:val="17"/>
      </w:rPr>
    </w:pPr>
    <w:bookmarkStart w:id="5" w:name="TITUS1HeaderFirstPage"/>
    <w:r>
      <w:rPr>
        <w:color w:val="000000"/>
        <w:sz w:val="17"/>
      </w:rPr>
      <w:t> </w:t>
    </w:r>
  </w:p>
  <w:bookmarkEnd w:id="5"/>
  <w:p w:rsidR="00147933" w:rsidRDefault="0014793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32C0C"/>
    <w:rsid w:val="000C6394"/>
    <w:rsid w:val="00121DF7"/>
    <w:rsid w:val="00147933"/>
    <w:rsid w:val="001B3280"/>
    <w:rsid w:val="001B6171"/>
    <w:rsid w:val="00287CD8"/>
    <w:rsid w:val="002E4EC6"/>
    <w:rsid w:val="00313E3B"/>
    <w:rsid w:val="003B411C"/>
    <w:rsid w:val="004C159E"/>
    <w:rsid w:val="00575AC9"/>
    <w:rsid w:val="00682F3B"/>
    <w:rsid w:val="006D002E"/>
    <w:rsid w:val="007758EF"/>
    <w:rsid w:val="007E4409"/>
    <w:rsid w:val="00847B99"/>
    <w:rsid w:val="00877432"/>
    <w:rsid w:val="008B0D33"/>
    <w:rsid w:val="00B1545C"/>
    <w:rsid w:val="00B349E2"/>
    <w:rsid w:val="00BB4CFD"/>
    <w:rsid w:val="00C07AFB"/>
    <w:rsid w:val="00C22F6A"/>
    <w:rsid w:val="00C81D2A"/>
    <w:rsid w:val="00CE7D44"/>
    <w:rsid w:val="00D16523"/>
    <w:rsid w:val="00DD7257"/>
    <w:rsid w:val="00E037DE"/>
    <w:rsid w:val="00ED1907"/>
    <w:rsid w:val="00FC0381"/>
    <w:rsid w:val="00FC563E"/>
    <w:rsid w:val="00FD038B"/>
    <w:rsid w:val="00FF35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1036E44"/>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C6394"/>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6394"/>
  </w:style>
  <w:style w:type="paragraph" w:styleId="Footer">
    <w:name w:val="footer"/>
    <w:basedOn w:val="Normal"/>
    <w:link w:val="FooterChar"/>
    <w:uiPriority w:val="99"/>
    <w:unhideWhenUsed/>
    <w:rsid w:val="000C6394"/>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639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3161</Words>
  <Characters>18023</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21142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Lowe,Carys swp6599</cp:lastModifiedBy>
  <cp:revision>3</cp:revision>
  <dcterms:created xsi:type="dcterms:W3CDTF">2020-08-17T14:02:00Z</dcterms:created>
  <dcterms:modified xsi:type="dcterms:W3CDTF">2020-08-17T14:02:00Z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157f6bc6-5797-493b-a6f9-f511713881b6</vt:lpwstr>
  </property>
  <property fmtid="{D5CDD505-2E9C-101B-9397-08002B2CF9AE}" pid="3" name="Classification">
    <vt:lpwstr>OFFICIAL</vt:lpwstr>
  </property>
  <property fmtid="{D5CDD505-2E9C-101B-9397-08002B2CF9AE}" pid="4" name="Visibility">
    <vt:lpwstr>NOT VISIBLE</vt:lpwstr>
  </property>
</Properties>
</file>