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r>
        <w:drawing xmlns:a="http://schemas.openxmlformats.org/drawingml/2006/main">
          <wp:inline distT="0" distB="0" distL="0" distR="0">
            <wp:extent cx="1908049" cy="635661"/>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pStyle w:val="Normal (Web)"/>
        <w:spacing w:before="0" w:after="0"/>
      </w:pPr>
    </w:p>
    <w:p>
      <w:pPr>
        <w:pStyle w:val="Normal (Web)"/>
        <w:spacing w:before="0" w:after="0"/>
      </w:pP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rPr>
        <w:t>Assignment coversheet &amp; feedback form</w:t>
      </w:r>
    </w:p>
    <w:p>
      <w:pPr>
        <w:pStyle w:val="Normal.0"/>
        <w:rPr>
          <w:rFonts w:ascii="Arial" w:cs="Arial" w:hAnsi="Arial" w:eastAsia="Arial"/>
          <w:sz w:val="28"/>
          <w:szCs w:val="28"/>
        </w:rPr>
      </w:pPr>
    </w:p>
    <w:p>
      <w:pPr>
        <w:pStyle w:val="Heading 3"/>
        <w:jc w:val="center"/>
      </w:pPr>
      <w:r>
        <w:rPr>
          <w:rtl w:val="0"/>
        </w:rPr>
        <w:t>THIS SHEET MUST BE THE FIRST PAGE OF THE ASSIGNMENT YOU ARE SUBMITTING  (DO NOT SEND AS A SEPARATE FILE)</w:t>
      </w:r>
    </w:p>
    <w:p>
      <w:pPr>
        <w:pStyle w:val="Heading 3"/>
        <w:jc w:val="center"/>
        <w:rPr>
          <w:rFonts w:ascii="Trebuchet MS" w:cs="Trebuchet MS" w:hAnsi="Trebuchet MS" w:eastAsia="Trebuchet M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Name:</w:t>
            </w:r>
            <w:r>
              <w:rPr>
                <w:rFonts w:ascii="Arial" w:hAnsi="Arial"/>
                <w:sz w:val="22"/>
                <w:szCs w:val="22"/>
                <w:shd w:val="nil" w:color="auto" w:fill="auto"/>
                <w:rtl w:val="0"/>
                <w:lang w:val="en-US"/>
              </w:rPr>
              <w:t xml:space="preserve"> ANIL NAMBIAR</w:t>
            </w:r>
          </w:p>
          <w:p>
            <w:pPr>
              <w:pStyle w:val="Normal (Web)"/>
              <w:spacing w:before="0" w:after="0"/>
              <w:ind w:right="34"/>
              <w:rPr>
                <w:rFonts w:ascii="Arial" w:cs="Arial" w:hAnsi="Arial" w:eastAsia="Arial"/>
                <w:sz w:val="22"/>
                <w:szCs w:val="22"/>
                <w:shd w:val="nil" w:color="auto" w:fill="auto"/>
                <w:lang w:val="en-US"/>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lang w:val="en-US"/>
              </w:rPr>
              <w:t xml:space="preserve"> </w:t>
            </w:r>
            <w:r>
              <w:rPr>
                <w:rFonts w:ascii="Arial" w:hAnsi="Arial"/>
                <w:sz w:val="22"/>
                <w:szCs w:val="22"/>
                <w:shd w:val="nil" w:color="auto" w:fill="auto"/>
                <w:rtl w:val="0"/>
                <w:lang w:val="en-US"/>
              </w:rPr>
              <w:t>Email: 2527769@student.uwtsd.ac.uk</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p>
          <w:p>
            <w:pPr>
              <w:pStyle w:val="Normal (Web)"/>
              <w:spacing w:before="0" w:after="0"/>
              <w:ind w:right="34"/>
              <w:rPr>
                <w:rFonts w:ascii="Arial" w:cs="Arial" w:hAnsi="Arial" w:eastAsia="Arial"/>
                <w:sz w:val="22"/>
                <w:szCs w:val="22"/>
                <w:shd w:val="nil" w:color="auto" w:fill="auto"/>
                <w:lang w:val="en-US"/>
              </w:rPr>
            </w:pPr>
            <w:r>
              <w:rPr>
                <w:rFonts w:ascii="Arial" w:hAnsi="Arial"/>
                <w:sz w:val="22"/>
                <w:szCs w:val="22"/>
                <w:shd w:val="nil" w:color="auto" w:fill="auto"/>
                <w:rtl w:val="0"/>
                <w:lang w:val="en-US"/>
              </w:rPr>
              <w:t>(HPCA7016)</w:t>
            </w: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Module title:</w:t>
            </w:r>
          </w:p>
          <w:p>
            <w:pPr>
              <w:pStyle w:val="Normal (Web)"/>
              <w:spacing w:before="0" w:after="0"/>
              <w:ind w:right="34"/>
            </w:pPr>
            <w:r>
              <w:rPr>
                <w:rFonts w:ascii="Arial" w:hAnsi="Arial"/>
                <w:sz w:val="22"/>
                <w:szCs w:val="22"/>
                <w:shd w:val="nil" w:color="auto" w:fill="auto"/>
                <w:rtl w:val="0"/>
                <w:lang w:val="en-US"/>
              </w:rPr>
              <w:t xml:space="preserve">Researching Contemporary Cosmologies </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shd w:val="nil" w:color="auto" w:fill="auto"/>
                <w:rtl w:val="0"/>
                <w:lang w:val="en-US"/>
              </w:rPr>
              <w:t>Student ID number:</w:t>
            </w:r>
            <w:r>
              <w:rPr>
                <w:rFonts w:ascii="Arial" w:hAnsi="Arial"/>
                <w:sz w:val="22"/>
                <w:szCs w:val="22"/>
                <w:shd w:val="nil" w:color="auto" w:fill="auto"/>
                <w:rtl w:val="0"/>
                <w:lang w:val="en-US"/>
              </w:rPr>
              <w:t xml:space="preserve"> </w:t>
            </w:r>
            <w:r>
              <w:rPr>
                <w:rFonts w:ascii="Arial" w:hAnsi="Arial"/>
                <w:sz w:val="22"/>
                <w:szCs w:val="22"/>
                <w:rtl w:val="0"/>
                <w:lang w:val="en-US"/>
              </w:rPr>
              <w:t>2527769</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lang w:val="en-US"/>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ESSAY 1 </w:t>
            </w:r>
          </w:p>
          <w:p>
            <w:pPr>
              <w:pStyle w:val="Normal (Web)"/>
              <w:spacing w:before="0" w:after="0"/>
              <w:ind w:right="34"/>
              <w:rPr>
                <w:rFonts w:ascii="Arial" w:cs="Arial" w:hAnsi="Arial" w:eastAsia="Arial"/>
                <w:sz w:val="22"/>
                <w:szCs w:val="22"/>
                <w:shd w:val="nil" w:color="auto" w:fill="auto"/>
                <w:lang w:val="en-US"/>
              </w:rPr>
            </w:pPr>
          </w:p>
          <w:p>
            <w:pPr>
              <w:pStyle w:val="Normal (Web)"/>
              <w:spacing w:before="0" w:after="0"/>
              <w:ind w:right="34"/>
              <w:rPr>
                <w:rFonts w:ascii="Arial" w:cs="Arial" w:hAnsi="Arial" w:eastAsia="Arial"/>
                <w:sz w:val="22"/>
                <w:szCs w:val="22"/>
                <w:shd w:val="nil" w:color="auto" w:fill="auto"/>
                <w:lang w:val="en-US"/>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17- MARCH</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shd w:val="nil" w:color="auto" w:fill="auto"/>
                <w:rtl w:val="0"/>
                <w:lang w:val="en-US"/>
              </w:rPr>
              <w:t xml:space="preserve">This assignment is for the      </w:t>
            </w:r>
            <w:r>
              <w:rPr>
                <w:rFonts w:ascii="Arial" w:hAnsi="Arial"/>
                <w:b w:val="1"/>
                <w:bCs w:val="1"/>
                <w:sz w:val="22"/>
                <w:szCs w:val="22"/>
                <w:rtl w:val="0"/>
                <w:lang w:val="en-US"/>
              </w:rPr>
              <w:t xml:space="preserve"> 1</w:t>
            </w:r>
            <w:r>
              <w:rPr>
                <w:rFonts w:ascii="Arial" w:hAnsi="Arial"/>
                <w:b w:val="1"/>
                <w:bCs w:val="1"/>
                <w:sz w:val="22"/>
                <w:szCs w:val="22"/>
                <w:vertAlign w:val="superscript"/>
                <w:rtl w:val="0"/>
                <w:lang w:val="en-US"/>
              </w:rPr>
              <w:t xml:space="preserve">st </w:t>
            </w:r>
            <w:r>
              <w:rPr>
                <w:rFonts w:ascii="Arial" w:hAnsi="Arial"/>
                <w:b w:val="1"/>
                <w:bCs w:val="1"/>
                <w:sz w:val="22"/>
                <w:szCs w:val="22"/>
                <w:rtl w:val="0"/>
                <w:lang w:val="en-US"/>
              </w:rPr>
              <w:t xml:space="preserve"> </w:t>
            </w:r>
            <w:r>
              <w:rPr>
                <w:rFonts w:ascii="Arial" w:hAnsi="Arial"/>
                <w:sz w:val="22"/>
                <w:szCs w:val="22"/>
                <w:shd w:val="nil" w:color="auto" w:fill="auto"/>
                <w:rtl w:val="0"/>
                <w:lang w:val="en-US"/>
              </w:rPr>
              <w:t xml:space="preserve">   2</w:t>
            </w:r>
            <w:r>
              <w:rPr>
                <w:rFonts w:ascii="Arial" w:hAnsi="Arial"/>
                <w:sz w:val="22"/>
                <w:szCs w:val="22"/>
                <w:shd w:val="nil" w:color="auto" w:fill="auto"/>
                <w:vertAlign w:val="superscript"/>
                <w:rtl w:val="0"/>
                <w:lang w:val="en-US"/>
              </w:rPr>
              <w:t>nd</w:t>
            </w:r>
            <w:r>
              <w:rPr>
                <w:rFonts w:ascii="Arial" w:hAnsi="Arial"/>
                <w:sz w:val="22"/>
                <w:szCs w:val="22"/>
                <w:shd w:val="nil" w:color="auto" w:fill="auto"/>
                <w:rtl w:val="0"/>
                <w:lang w:val="en-US"/>
              </w:rPr>
              <w:t xml:space="preserve">       3</w:t>
            </w:r>
            <w:r>
              <w:rPr>
                <w:rFonts w:ascii="Arial" w:hAnsi="Arial"/>
                <w:sz w:val="22"/>
                <w:szCs w:val="22"/>
                <w:shd w:val="nil" w:color="auto" w:fill="auto"/>
                <w:vertAlign w:val="superscript"/>
                <w:rtl w:val="0"/>
                <w:lang w:val="en-US"/>
              </w:rPr>
              <w:t>rd</w:t>
            </w:r>
            <w:r>
              <w:rPr>
                <w:rFonts w:ascii="Arial" w:hAnsi="Arial"/>
                <w:sz w:val="22"/>
                <w:szCs w:val="22"/>
                <w:shd w:val="nil" w:color="auto" w:fill="auto"/>
                <w:rtl w:val="0"/>
                <w:lang w:val="en-US"/>
              </w:rPr>
              <w:t xml:space="preserve">        4</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5</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6</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module of the degree</w:t>
            </w:r>
          </w:p>
        </w:tc>
      </w:tr>
      <w:tr>
        <w:tblPrEx>
          <w:shd w:val="clear" w:color="auto" w:fill="ced7e7"/>
        </w:tblPrEx>
        <w:trPr>
          <w:trHeight w:val="158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lang w:val="en-US"/>
              </w:rPr>
              <w:t>……</w:t>
            </w:r>
            <w:r>
              <w:rPr>
                <w:rFonts w:ascii="Chalkduster" w:hAnsi="Chalkduster" w:hint="default"/>
                <w:sz w:val="18"/>
                <w:szCs w:val="18"/>
                <w:rtl w:val="0"/>
                <w:lang w:val="en-US"/>
              </w:rPr>
              <w:t>…</w:t>
            </w:r>
            <w:r>
              <w:rPr>
                <w:rFonts w:ascii="Chalkduster" w:hAnsi="Chalkduster"/>
                <w:sz w:val="18"/>
                <w:szCs w:val="18"/>
                <w:rtl w:val="0"/>
                <w:lang w:val="en-US"/>
              </w:rPr>
              <w:t>ANIL NAMBIAR</w:t>
            </w:r>
            <w:r>
              <w:rPr>
                <w:rFonts w:ascii="Chalkduster" w:hAnsi="Chalkduster" w:hint="default"/>
                <w:sz w:val="18"/>
                <w:szCs w:val="18"/>
                <w:rtl w:val="0"/>
                <w:lang w:val="en-US"/>
              </w:rPr>
              <w:t>…</w:t>
            </w:r>
            <w:r>
              <w:rPr>
                <w:rFonts w:ascii="Arial" w:hAnsi="Arial" w:hint="default"/>
                <w:sz w:val="22"/>
                <w:szCs w:val="22"/>
                <w:shd w:val="nil" w:color="auto" w:fill="auto"/>
                <w:rtl w:val="0"/>
                <w:lang w:val="en-US"/>
              </w:rPr>
              <w:t>…………………………………………………</w:t>
            </w:r>
          </w:p>
          <w:p>
            <w:pPr>
              <w:pStyle w:val="Normal (Web)"/>
              <w:bidi w:val="0"/>
              <w:spacing w:before="0" w:after="0"/>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r>
              <w:rPr>
                <w:rFonts w:ascii="Calibri" w:hAnsi="Calibri" w:hint="default"/>
                <w:b w:val="1"/>
                <w:bCs w:val="1"/>
                <w:sz w:val="44"/>
                <w:szCs w:val="44"/>
                <w:shd w:val="nil" w:color="auto" w:fill="auto"/>
                <w:rtl w:val="0"/>
                <w:lang w:val="en-US"/>
              </w:rPr>
              <w:t>□</w:t>
            </w:r>
          </w:p>
          <w:p>
            <w:pPr>
              <w:pStyle w:val="Normal (Web)"/>
              <w:bidi w:val="0"/>
              <w:spacing w:before="0" w:after="0"/>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shd w:val="nil" w:color="auto" w:fill="auto"/>
                <w:lang w:val="en-US"/>
              </w:rPr>
            </w:pPr>
          </w:p>
          <w:p>
            <w:pPr>
              <w:pStyle w:val="Normal.0"/>
              <w:bidi w:val="0"/>
              <w:ind w:left="0" w:right="0" w:firstLine="0"/>
              <w:jc w:val="left"/>
              <w:rPr>
                <w:rFonts w:ascii="Arial" w:cs="Arial" w:hAnsi="Arial" w:eastAsia="Arial"/>
                <w:shd w:val="nil" w:color="auto" w:fill="auto"/>
                <w:rtl w:val="0"/>
              </w:rPr>
            </w:pPr>
            <w:r>
              <w:rPr>
                <w:rFonts w:ascii="Arial" w:hAnsi="Arial"/>
                <w:b w:val="1"/>
                <w:bCs w:val="1"/>
                <w:shd w:val="nil" w:color="auto" w:fill="auto"/>
                <w:rtl w:val="0"/>
                <w:lang w:val="en-US"/>
              </w:rPr>
              <w:t>Assignment Mark</w:t>
            </w:r>
          </w:p>
          <w:p>
            <w:pPr>
              <w:pStyle w:val="Normal.0"/>
              <w:rPr>
                <w:rFonts w:ascii="Arial" w:cs="Arial" w:hAnsi="Arial" w:eastAsia="Arial"/>
                <w:sz w:val="20"/>
                <w:szCs w:val="20"/>
                <w:shd w:val="nil" w:color="auto" w:fill="auto"/>
                <w:lang w:val="en-US"/>
              </w:rPr>
            </w:pPr>
          </w:p>
          <w:p>
            <w:pPr>
              <w:pStyle w:val="Normal.0"/>
              <w:rPr>
                <w:rFonts w:ascii="Arial" w:cs="Arial" w:hAnsi="Arial" w:eastAsia="Arial"/>
                <w:sz w:val="20"/>
                <w:szCs w:val="20"/>
                <w:shd w:val="nil" w:color="auto" w:fill="auto"/>
                <w:lang w:val="en-US"/>
              </w:rPr>
            </w:pPr>
            <w:r>
              <w:rPr>
                <w:rFonts w:ascii="Arial" w:hAnsi="Arial"/>
                <w:sz w:val="20"/>
                <w:szCs w:val="20"/>
                <w:shd w:val="nil" w:color="auto" w:fill="auto"/>
                <w:rtl w:val="0"/>
                <w:lang w:val="en-US"/>
              </w:rPr>
              <w:t>1</w:t>
            </w:r>
            <w:r>
              <w:rPr>
                <w:rFonts w:ascii="Arial" w:hAnsi="Arial"/>
                <w:sz w:val="20"/>
                <w:szCs w:val="20"/>
                <w:shd w:val="nil" w:color="auto" w:fill="auto"/>
                <w:vertAlign w:val="superscript"/>
                <w:rtl w:val="0"/>
                <w:lang w:val="en-US"/>
              </w:rPr>
              <w:t>st</w:t>
            </w:r>
            <w:r>
              <w:rPr>
                <w:rFonts w:ascii="Arial" w:hAnsi="Arial"/>
                <w:sz w:val="20"/>
                <w:szCs w:val="20"/>
                <w:shd w:val="nil" w:color="auto" w:fill="auto"/>
                <w:rtl w:val="0"/>
                <w:lang w:val="en-US"/>
              </w:rPr>
              <w:t xml:space="preserve"> Marker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 Provisional mark</w:t>
              <w:tab/>
            </w:r>
          </w:p>
          <w:p>
            <w:pPr>
              <w:pStyle w:val="Normal.0"/>
              <w:rPr>
                <w:rFonts w:ascii="Arial" w:cs="Arial" w:hAnsi="Arial" w:eastAsia="Arial"/>
                <w:sz w:val="20"/>
                <w:szCs w:val="20"/>
                <w:shd w:val="nil" w:color="auto" w:fill="auto"/>
                <w:lang w:val="en-US"/>
              </w:rPr>
            </w:pPr>
          </w:p>
          <w:p>
            <w:pPr>
              <w:pStyle w:val="Normal.0"/>
              <w:rPr>
                <w:rFonts w:ascii="Arial" w:cs="Arial" w:hAnsi="Arial" w:eastAsia="Arial"/>
                <w:sz w:val="20"/>
                <w:szCs w:val="20"/>
                <w:shd w:val="nil" w:color="auto" w:fill="auto"/>
                <w:lang w:val="en-US"/>
              </w:rPr>
            </w:pPr>
            <w:r>
              <w:rPr>
                <w:rFonts w:ascii="Arial" w:hAnsi="Arial"/>
                <w:sz w:val="20"/>
                <w:szCs w:val="20"/>
                <w:shd w:val="nil" w:color="auto" w:fill="auto"/>
                <w:rtl w:val="0"/>
                <w:lang w:val="en-US"/>
              </w:rPr>
              <w:t>2</w:t>
            </w:r>
            <w:r>
              <w:rPr>
                <w:rFonts w:ascii="Arial" w:hAnsi="Arial"/>
                <w:sz w:val="20"/>
                <w:szCs w:val="20"/>
                <w:shd w:val="nil" w:color="auto" w:fill="auto"/>
                <w:vertAlign w:val="superscript"/>
                <w:rtl w:val="0"/>
                <w:lang w:val="en-US"/>
              </w:rPr>
              <w:t>nd</w:t>
            </w:r>
            <w:r>
              <w:rPr>
                <w:rFonts w:ascii="Arial" w:hAnsi="Arial"/>
                <w:sz w:val="20"/>
                <w:szCs w:val="20"/>
                <w:shd w:val="nil" w:color="auto" w:fill="auto"/>
                <w:rtl w:val="0"/>
                <w:lang w:val="en-US"/>
              </w:rPr>
              <w:t xml:space="preserve"> Marker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s/Moderator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 provisional mark</w:t>
              <w:tab/>
            </w:r>
          </w:p>
          <w:p>
            <w:pPr>
              <w:pStyle w:val="Normal.0"/>
              <w:rPr>
                <w:rFonts w:ascii="Arial" w:cs="Arial" w:hAnsi="Arial" w:eastAsia="Arial"/>
                <w:sz w:val="20"/>
                <w:szCs w:val="20"/>
                <w:shd w:val="nil" w:color="auto" w:fill="auto"/>
                <w:lang w:val="en-US"/>
              </w:rPr>
            </w:pPr>
          </w:p>
          <w:p>
            <w:pPr>
              <w:pStyle w:val="Normal.0"/>
              <w:rPr>
                <w:rFonts w:ascii="Arial" w:cs="Arial" w:hAnsi="Arial" w:eastAsia="Arial"/>
                <w:sz w:val="20"/>
                <w:szCs w:val="20"/>
                <w:shd w:val="nil" w:color="auto" w:fill="auto"/>
                <w:lang w:val="en-US"/>
              </w:rPr>
            </w:pPr>
            <w:r>
              <w:rPr>
                <w:rFonts w:ascii="Arial" w:hAnsi="Arial"/>
                <w:sz w:val="20"/>
                <w:szCs w:val="20"/>
                <w:shd w:val="nil" w:color="auto" w:fill="auto"/>
                <w:rtl w:val="0"/>
                <w:lang w:val="en-US"/>
              </w:rPr>
              <w:t>External Examiner</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 mark (if relevant)</w:t>
              <w:tab/>
            </w:r>
          </w:p>
          <w:p>
            <w:pPr>
              <w:pStyle w:val="Normal.0"/>
              <w:rPr>
                <w:rFonts w:ascii="Arial" w:cs="Arial" w:hAnsi="Arial" w:eastAsia="Arial"/>
                <w:sz w:val="20"/>
                <w:szCs w:val="20"/>
                <w:shd w:val="nil" w:color="auto" w:fill="auto"/>
                <w:lang w:val="en-US"/>
              </w:rPr>
            </w:pPr>
          </w:p>
          <w:p>
            <w:pPr>
              <w:pStyle w:val="Normal.0"/>
              <w:rPr>
                <w:rFonts w:ascii="Arial" w:cs="Arial" w:hAnsi="Arial" w:eastAsia="Arial"/>
                <w:b w:val="1"/>
                <w:bCs w:val="1"/>
                <w:sz w:val="20"/>
                <w:szCs w:val="20"/>
                <w:shd w:val="nil" w:color="auto" w:fill="auto"/>
              </w:rPr>
            </w:pPr>
            <w:r>
              <w:rPr>
                <w:rFonts w:ascii="Arial" w:hAnsi="Arial"/>
                <w:b w:val="1"/>
                <w:bCs w:val="1"/>
                <w:sz w:val="20"/>
                <w:szCs w:val="20"/>
                <w:shd w:val="nil" w:color="auto" w:fill="auto"/>
                <w:rtl w:val="0"/>
                <w:lang w:val="en-US"/>
              </w:rPr>
              <w:t>Final Mark</w:t>
            </w:r>
          </w:p>
          <w:p>
            <w:pPr>
              <w:pStyle w:val="Normal.0"/>
              <w:rPr>
                <w:rFonts w:ascii="Arial" w:cs="Arial" w:hAnsi="Arial" w:eastAsia="Arial"/>
                <w:b w:val="1"/>
                <w:bCs w:val="1"/>
                <w:sz w:val="20"/>
                <w:szCs w:val="20"/>
                <w:shd w:val="nil" w:color="auto" w:fill="auto"/>
              </w:rPr>
            </w:pPr>
            <w:r>
              <w:rPr>
                <w:rFonts w:ascii="Arial" w:cs="Arial" w:hAnsi="Arial" w:eastAsia="Arial"/>
                <w:b w:val="1"/>
                <w:bCs w:val="1"/>
                <w:sz w:val="20"/>
                <w:szCs w:val="20"/>
                <w:shd w:val="nil" w:color="auto" w:fill="auto"/>
              </w:rPr>
              <w:tab/>
            </w:r>
          </w:p>
          <w:p>
            <w:pPr>
              <w:pStyle w:val="Normal (Web)"/>
              <w:spacing w:before="0" w:after="0"/>
              <w:ind w:left="142" w:right="34" w:firstLine="0"/>
              <w:rPr>
                <w:rFonts w:ascii="Arial" w:cs="Arial" w:hAnsi="Arial" w:eastAsia="Arial"/>
                <w:b w:val="1"/>
                <w:bCs w:val="1"/>
                <w:sz w:val="22"/>
                <w:szCs w:val="22"/>
                <w:shd w:val="nil" w:color="auto" w:fill="auto"/>
                <w:lang w:val="en-US"/>
              </w:rPr>
            </w:pPr>
          </w:p>
          <w:p>
            <w:pPr>
              <w:pStyle w:val="Normal (Web)"/>
              <w:bidi w:val="0"/>
              <w:spacing w:before="0" w:after="0"/>
              <w:ind w:left="142" w:right="34"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lang w:val="en-US"/>
              </w:rPr>
            </w:pPr>
          </w:p>
          <w:p>
            <w:pPr>
              <w:pStyle w:val="Normal (Web)"/>
              <w:spacing w:before="0" w:after="0"/>
              <w:rPr>
                <w:rFonts w:ascii="Arial" w:cs="Arial" w:hAnsi="Arial" w:eastAsia="Arial"/>
                <w:b w:val="1"/>
                <w:bCs w:val="1"/>
                <w:sz w:val="22"/>
                <w:szCs w:val="22"/>
                <w:shd w:val="nil" w:color="auto" w:fill="auto"/>
                <w:lang w:val="en-US"/>
              </w:rPr>
            </w:pPr>
          </w:p>
          <w:p>
            <w:pPr>
              <w:pStyle w:val="Normal (Web)"/>
              <w:spacing w:before="0" w:after="0"/>
              <w:rPr>
                <w:rFonts w:ascii="Arial" w:cs="Arial" w:hAnsi="Arial" w:eastAsia="Arial"/>
                <w:b w:val="1"/>
                <w:bCs w:val="1"/>
                <w:sz w:val="22"/>
                <w:szCs w:val="22"/>
                <w:shd w:val="nil" w:color="auto" w:fill="auto"/>
                <w:lang w:val="en-US"/>
              </w:rPr>
            </w:pPr>
          </w:p>
          <w:p>
            <w:pPr>
              <w:pStyle w:val="Normal (Web)"/>
              <w:spacing w:before="0" w:after="0"/>
              <w:rPr>
                <w:rFonts w:ascii="Arial" w:cs="Arial" w:hAnsi="Arial" w:eastAsia="Arial"/>
                <w:b w:val="1"/>
                <w:bCs w:val="1"/>
                <w:sz w:val="22"/>
                <w:szCs w:val="22"/>
                <w:shd w:val="nil" w:color="auto" w:fill="auto"/>
                <w:lang w:val="en-US"/>
              </w:rPr>
            </w:pPr>
          </w:p>
          <w:p>
            <w:pPr>
              <w:pStyle w:val="Normal (Web)"/>
              <w:spacing w:before="0" w:after="0"/>
              <w:rPr>
                <w:rFonts w:ascii="Arial" w:cs="Arial" w:hAnsi="Arial" w:eastAsia="Arial"/>
                <w:b w:val="1"/>
                <w:bCs w:val="1"/>
                <w:sz w:val="22"/>
                <w:szCs w:val="22"/>
                <w:shd w:val="nil" w:color="auto" w:fill="auto"/>
                <w:lang w:val="en-US"/>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ind w:left="0" w:right="0" w:firstLine="0"/>
              <w:jc w:val="left"/>
              <w:rPr>
                <w:rtl w:val="0"/>
              </w:rPr>
            </w:pPr>
            <w:r>
              <w:rPr>
                <w:rFonts w:ascii="Arial" w:hAnsi="Arial"/>
                <w:sz w:val="22"/>
                <w:szCs w:val="22"/>
                <w:shd w:val="nil" w:color="auto" w:fill="auto"/>
                <w:rtl w:val="0"/>
                <w:lang w:val="en-US"/>
              </w:rPr>
              <w:t>Comments:</w:t>
            </w:r>
            <w:r>
              <w:rPr>
                <w:rFonts w:ascii="Arial" w:cs="Arial" w:hAnsi="Arial" w:eastAsia="Arial"/>
                <w:sz w:val="22"/>
                <w:szCs w:val="22"/>
                <w:shd w:val="nil" w:color="auto" w:fill="auto"/>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shd w:val="nil" w:color="auto" w:fill="auto"/>
                <w:rtl w:val="0"/>
                <w:lang w:val="en-US"/>
              </w:rPr>
              <w:t>Marker</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shd w:val="nil" w:color="auto" w:fill="auto"/>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Arial" w:cs="Arial" w:hAnsi="Arial" w:eastAsia="Arial"/>
                <w:i w:val="1"/>
                <w:iCs w:val="1"/>
                <w:sz w:val="22"/>
                <w:szCs w:val="22"/>
                <w:shd w:val="nil" w:color="auto" w:fill="auto"/>
                <w:lang w:val="en-US"/>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lang w:val="en-US"/>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pPr>
            <w:r>
              <w:rPr>
                <w:rFonts w:ascii="Arial" w:cs="Arial" w:hAnsi="Arial" w:eastAsia="Arial"/>
                <w:sz w:val="22"/>
                <w:szCs w:val="22"/>
                <w:shd w:val="nil" w:color="auto" w:fill="auto"/>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en-US"/>
              </w:rPr>
              <w:t>Marker</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External Examiner</w:t>
            </w: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s comments (if relevant)</w:t>
            </w: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rPr>
                <w:rFonts w:ascii="Arial" w:cs="Arial" w:hAnsi="Arial" w:eastAsia="Arial"/>
                <w:sz w:val="22"/>
                <w:szCs w:val="22"/>
                <w:shd w:val="nil" w:color="auto" w:fill="auto"/>
                <w:lang w:val="en-US"/>
              </w:rPr>
            </w:pPr>
          </w:p>
          <w:p>
            <w:pPr>
              <w:pStyle w:val="Normal (Web)"/>
              <w:spacing w:before="0" w:after="0"/>
            </w:pPr>
            <w:r>
              <w:rPr>
                <w:rFonts w:ascii="Arial" w:cs="Arial" w:hAnsi="Arial" w:eastAsia="Arial"/>
                <w:sz w:val="22"/>
                <w:szCs w:val="22"/>
                <w:shd w:val="nil" w:color="auto" w:fill="auto"/>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shd w:val="nil" w:color="auto" w:fill="auto"/>
                <w:rtl w:val="0"/>
                <w:lang w:val="en-US"/>
              </w:rPr>
              <w:t>External Examiner</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shd w:val="nil" w:color="auto" w:fill="auto"/>
                <w:rtl w:val="0"/>
                <w:lang w:val="en-US"/>
              </w:rPr>
              <w:t>Date:</w:t>
            </w:r>
          </w:p>
        </w:tc>
      </w:tr>
    </w:tbl>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pPr>
      <w:r>
        <w:rPr>
          <w:rFonts w:ascii="Arial Unicode MS" w:cs="Arial Unicode MS" w:hAnsi="Arial Unicode MS" w:eastAsia="Arial Unicode MS"/>
          <w:b w:val="0"/>
          <w:bCs w:val="0"/>
          <w:i w:val="0"/>
          <w:iCs w:val="0"/>
        </w:rPr>
        <w:br w:type="page"/>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A Critical Comparison of two Secondary Sources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Studying supernatural belief puts pressure on standard research methods. Experiences like premonitions or ritual trance states are not easily captured through empirical frameworks, yet for the people who have them they carry genuine meaning and shape how those people understand their lives</w:t>
      </w:r>
      <w:r>
        <w:rPr>
          <w:rFonts w:ascii="Times Roman" w:hAnsi="Times Roman"/>
          <w:rtl w:val="0"/>
          <w:lang w:val="en-US"/>
        </w:rPr>
        <w:t>.</w:t>
      </w:r>
      <w:r>
        <w:rPr>
          <w:rFonts w:ascii="Times Roman" w:hAnsi="Times Roman"/>
          <w:rtl w:val="0"/>
        </w:rPr>
        <w:t xml:space="preserve">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The methods a researcher chooses, and the </w:t>
      </w:r>
      <w:r>
        <w:rPr>
          <w:rFonts w:ascii="Times Roman" w:hAnsi="Times Roman"/>
          <w:rtl w:val="0"/>
          <w:lang w:val="en-US"/>
        </w:rPr>
        <w:t>stance</w:t>
      </w:r>
      <w:r>
        <w:rPr>
          <w:rFonts w:ascii="Times Roman" w:hAnsi="Times Roman"/>
          <w:rtl w:val="0"/>
          <w:lang w:val="en-US"/>
        </w:rPr>
        <w:t xml:space="preserve"> they take up relative to the community they are studying, directly determine what the research is capable of finding</w:t>
      </w:r>
      <w:r>
        <w:rPr>
          <w:rFonts w:ascii="Times Roman" w:hAnsi="Times Roman"/>
          <w:rtl w:val="0"/>
          <w:lang w:val="en-US"/>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This essay looks at two papers, one by Gillian Bennett on foreknowledge stories and another by Jenny Blain on seidr practice: Gillian Bennett, '</w:t>
      </w:r>
      <w:r>
        <w:rPr>
          <w:rFonts w:ascii="Times Roman" w:hAnsi="Times Roman"/>
          <w:i w:val="1"/>
          <w:iCs w:val="1"/>
          <w:rtl w:val="0"/>
          <w:lang w:val="en-US"/>
        </w:rPr>
        <w:t>If I Knew You Were Coming I'd Have Baked a Cake: The Folklore of Foreknowledge in a Neighborhood Group',</w:t>
      </w:r>
      <w:r>
        <w:rPr>
          <w:rFonts w:ascii="Times Roman" w:hAnsi="Times Roman"/>
          <w:rtl w:val="0"/>
          <w:lang w:val="en-US"/>
        </w:rPr>
        <w:t xml:space="preserve"> in Out of the Ordinary: Folklore and the Supernatural, edited by Barbara Walker (Logan, Utah: Utah State University Press, 1995), pp. 122-142, and Jenny Blain, 'Speaking Shamanistically: Seidr, Academia and Rationality', DISKUS, Volume 6 (2000).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Bennett worked with a group of older women in England who exchanged </w:t>
      </w:r>
      <w:r>
        <w:rPr>
          <w:rFonts w:ascii="Times Roman" w:hAnsi="Times Roman"/>
          <w:rtl w:val="0"/>
          <w:lang w:val="en-US"/>
        </w:rPr>
        <w:t>tales</w:t>
      </w:r>
      <w:r>
        <w:rPr>
          <w:rFonts w:ascii="Times Roman" w:hAnsi="Times Roman"/>
          <w:rtl w:val="0"/>
          <w:lang w:val="en-US"/>
        </w:rPr>
        <w:t xml:space="preserve"> about premonition: dreams that appeared in retrospect to have predicted events, or feelings whose significance only became clear afterwards. Blain's focus was seidr, a shamanic ritual practice drawn from Old Norse sources and currently active in heathen and pagan communities across North America and Europe. Both </w:t>
      </w:r>
      <w:r>
        <w:rPr>
          <w:rFonts w:ascii="Times Roman" w:hAnsi="Times Roman"/>
          <w:rtl w:val="0"/>
          <w:lang w:val="en-US"/>
        </w:rPr>
        <w:t xml:space="preserve">works </w:t>
      </w:r>
      <w:r>
        <w:rPr>
          <w:rFonts w:ascii="Times Roman" w:hAnsi="Times Roman"/>
          <w:rtl w:val="0"/>
          <w:lang w:val="en-US"/>
        </w:rPr>
        <w:t>are written for academic audiences in anthropology and folklore studies, though Blain's engages more</w:t>
      </w:r>
      <w:r>
        <w:rPr>
          <w:rFonts w:ascii="Times Roman" w:hAnsi="Times Roman"/>
          <w:rtl w:val="0"/>
          <w:lang w:val="en-US"/>
        </w:rPr>
        <w:t xml:space="preserve"> </w:t>
      </w:r>
      <w:r>
        <w:rPr>
          <w:rFonts w:ascii="Times Roman" w:hAnsi="Times Roman"/>
          <w:rtl w:val="0"/>
          <w:lang w:val="en-US"/>
        </w:rPr>
        <w:t>with ongoing methodological debates within the discipline.</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This essay examines both papers through three lenses: Fiona Bowie's account of how ethnographers negotiate the boundary between participation and analysis (2016), Michael York's exploration of insider and outsider </w:t>
      </w:r>
      <w:r>
        <w:rPr>
          <w:rFonts w:ascii="Times Roman" w:hAnsi="Times Roman"/>
          <w:rtl w:val="0"/>
          <w:lang w:val="en-US"/>
        </w:rPr>
        <w:t>place</w:t>
      </w:r>
      <w:r>
        <w:rPr>
          <w:rFonts w:ascii="Times Roman" w:hAnsi="Times Roman"/>
          <w:rtl w:val="0"/>
          <w:lang w:val="en-US"/>
        </w:rPr>
        <w:t xml:space="preserve"> within belief communities (2004), and, as a methodological contrast, Brink's quantitative approach to measuring inconsistency in supernatural belief (1978). Together these three </w:t>
      </w:r>
      <w:r>
        <w:rPr>
          <w:rFonts w:ascii="Times Roman" w:hAnsi="Times Roman"/>
          <w:rtl w:val="0"/>
          <w:lang w:val="en-US"/>
        </w:rPr>
        <w:t>viewpoints</w:t>
      </w:r>
      <w:r>
        <w:rPr>
          <w:rFonts w:ascii="Times Roman" w:hAnsi="Times Roman"/>
          <w:rtl w:val="0"/>
          <w:lang w:val="en-US"/>
        </w:rPr>
        <w:t xml:space="preserve"> make it possible to compare not just what each researcher did but how they positioned themselves and how they used their sources.</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Bennett stays outside throughout, working from what people tell rather than from shared participation. Blain moves inside the practice, </w:t>
      </w:r>
      <w:r>
        <w:rPr>
          <w:rFonts w:ascii="Times Roman" w:hAnsi="Times Roman"/>
          <w:rtl w:val="0"/>
          <w:lang w:val="en-US"/>
        </w:rPr>
        <w:t>involving herself</w:t>
      </w:r>
      <w:r>
        <w:rPr>
          <w:rFonts w:ascii="Times Roman" w:hAnsi="Times Roman"/>
          <w:rtl w:val="0"/>
          <w:lang w:val="en-US"/>
        </w:rPr>
        <w:t xml:space="preserve"> in rituals and treating her own responses as part of what the research needs to account for. This is not just a technical difference. It shapes what each paper is actually able to say</w:t>
      </w:r>
      <w:r>
        <w:rPr>
          <w:rFonts w:ascii="Times Roman" w:hAnsi="Times Roman"/>
          <w:rtl w:val="0"/>
          <w:lang w:val="en-US"/>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Bennett's research relies on a folklor</w:t>
      </w:r>
      <w:r>
        <w:rPr>
          <w:rFonts w:ascii="Times Roman" w:hAnsi="Times Roman"/>
          <w:rtl w:val="0"/>
          <w:lang w:val="en-US"/>
        </w:rPr>
        <w:t>e like</w:t>
      </w:r>
      <w:r>
        <w:rPr>
          <w:rFonts w:ascii="Times Roman" w:hAnsi="Times Roman"/>
          <w:rtl w:val="0"/>
          <w:lang w:val="en-US"/>
        </w:rPr>
        <w:t xml:space="preserve"> approach cent</w:t>
      </w:r>
      <w:r>
        <w:rPr>
          <w:rFonts w:ascii="Times Roman" w:hAnsi="Times Roman"/>
          <w:rtl w:val="0"/>
          <w:lang w:val="en-US"/>
        </w:rPr>
        <w:t>e</w:t>
      </w:r>
      <w:r>
        <w:rPr>
          <w:rFonts w:ascii="Times Roman" w:hAnsi="Times Roman"/>
          <w:rtl w:val="0"/>
          <w:lang w:val="en-US"/>
        </w:rPr>
        <w:t xml:space="preserve">red on collecting and </w:t>
      </w:r>
      <w:r>
        <w:rPr>
          <w:rFonts w:ascii="Times Roman" w:hAnsi="Times Roman"/>
          <w:rtl w:val="0"/>
          <w:lang w:val="en-US"/>
        </w:rPr>
        <w:t>analyzing</w:t>
      </w:r>
      <w:r>
        <w:rPr>
          <w:rFonts w:ascii="Times Roman" w:hAnsi="Times Roman"/>
          <w:rtl w:val="0"/>
          <w:lang w:val="en-US"/>
        </w:rPr>
        <w:t xml:space="preserve"> personal stories. The group</w:t>
      </w:r>
      <w:r>
        <w:rPr>
          <w:rFonts w:ascii="Times Roman" w:hAnsi="Times Roman" w:hint="default"/>
          <w:rtl w:val="1"/>
        </w:rPr>
        <w:t>’</w:t>
      </w:r>
      <w:r>
        <w:rPr>
          <w:rFonts w:ascii="Times Roman" w:hAnsi="Times Roman"/>
          <w:rtl w:val="0"/>
          <w:lang w:val="en-US"/>
        </w:rPr>
        <w:t xml:space="preserve">s similar background matters because it shapes how the research works. </w:t>
      </w:r>
      <w:r>
        <w:rPr>
          <w:rFonts w:ascii="Times Roman" w:hAnsi="Times Roman"/>
          <w:rtl w:val="0"/>
          <w:lang w:val="en-US"/>
        </w:rPr>
        <w:t>R</w:t>
      </w:r>
      <w:r>
        <w:rPr>
          <w:rFonts w:ascii="Times Roman" w:hAnsi="Times Roman"/>
          <w:rtl w:val="0"/>
          <w:lang w:val="en-US"/>
        </w:rPr>
        <w:t xml:space="preserve">ecurring patterns across </w:t>
      </w:r>
      <w:r>
        <w:rPr>
          <w:rFonts w:ascii="Times Roman" w:hAnsi="Times Roman"/>
          <w:rtl w:val="0"/>
          <w:lang w:val="en-US"/>
        </w:rPr>
        <w:t>narratives</w:t>
      </w:r>
      <w:r>
        <w:rPr>
          <w:rFonts w:ascii="Times Roman" w:hAnsi="Times Roman"/>
          <w:rtl w:val="0"/>
          <w:lang w:val="en-US"/>
        </w:rPr>
        <w:t xml:space="preserve"> are more likely to reflect shared belief than individual variation.</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lang w:val="en-US"/>
        </w:rPr>
        <w:t xml:space="preserve">Brink looked at belief inconsistency among Catholic students in 1978 and his questionnaire could show how widespread supernatural belief was but not what people did with it or said about it. Bennett's group would have been a data point in that framework. The </w:t>
      </w:r>
      <w:r>
        <w:rPr>
          <w:rFonts w:ascii="Times Roman" w:hAnsi="Times Roman"/>
          <w:rtl w:val="0"/>
          <w:lang w:val="en-US"/>
        </w:rPr>
        <w:t>stories</w:t>
      </w:r>
      <w:r>
        <w:rPr>
          <w:rFonts w:ascii="Times Roman" w:hAnsi="Times Roman"/>
          <w:rtl w:val="0"/>
          <w:lang w:val="en-US"/>
        </w:rPr>
        <w:t xml:space="preserve"> would not have been there.</w:t>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Bennett observed treatment sessions and allowed relevant topics to surface through conversation rather than directing them. Given that premonitions, omens and fortune-telling are subjects many people treat with some embarrassment, a structured interview format would likely have suppressed disclosure. The conversational setting got people talking in a way a formal interview probably would not have. Women described dreams that seemed, in retrospect, to have predicted something. Feelings that only made sense once an event had happened</w:t>
      </w:r>
      <w:r>
        <w:rPr>
          <w:rFonts w:ascii="Times Roman" w:hAnsi="Times Roman"/>
          <w:rtl w:val="0"/>
          <w:lang w:val="en-US"/>
        </w:rPr>
        <w:t xml:space="preserve">. </w:t>
      </w:r>
      <w:r>
        <w:rPr>
          <w:rFonts w:ascii="Times Roman" w:hAnsi="Times Roman"/>
          <w:rtl w:val="0"/>
          <w:lang w:val="en-US"/>
        </w:rPr>
        <w:t xml:space="preserve">Most of the cases she documents were not understood as prophetic when they happened. A feeling, a dream, a vague sense of something, none of this was </w:t>
      </w:r>
      <w:r>
        <w:rPr>
          <w:rFonts w:ascii="Times Roman" w:hAnsi="Times Roman"/>
          <w:rtl w:val="0"/>
          <w:lang w:val="en-US"/>
        </w:rPr>
        <w:t>recognized</w:t>
      </w:r>
      <w:r>
        <w:rPr>
          <w:rFonts w:ascii="Times Roman" w:hAnsi="Times Roman"/>
          <w:rtl w:val="0"/>
          <w:lang w:val="en-US"/>
        </w:rPr>
        <w:t xml:space="preserve"> as prediction at the time. The meaning</w:t>
      </w:r>
      <w:r>
        <w:rPr>
          <w:rFonts w:ascii="Times Roman" w:hAnsi="Times Roman"/>
          <w:rtl w:val="0"/>
          <w:lang w:val="en-US"/>
        </w:rPr>
        <w:t xml:space="preserve"> </w:t>
      </w:r>
      <w:r>
        <w:rPr>
          <w:rFonts w:ascii="Times Roman" w:hAnsi="Times Roman"/>
          <w:rtl w:val="0"/>
          <w:lang w:val="en-US"/>
        </w:rPr>
        <w:t>came later. Bennett argues that belief in foreknowledge tends to develop through</w:t>
      </w:r>
      <w:r>
        <w:rPr>
          <w:rFonts w:ascii="Times Roman" w:hAnsi="Times Roman"/>
          <w:rtl w:val="0"/>
          <w:lang w:val="en-US"/>
        </w:rPr>
        <w:t xml:space="preserve"> </w:t>
      </w:r>
      <w:r>
        <w:rPr>
          <w:rFonts w:ascii="Times Roman" w:hAnsi="Times Roman"/>
          <w:rtl w:val="0"/>
          <w:lang w:val="en-US"/>
        </w:rPr>
        <w:t>backwards reinterpretation, the experience only gets understood as significant once you know what came after it</w:t>
      </w:r>
      <w:r>
        <w:rPr>
          <w:rFonts w:ascii="Times Roman" w:hAnsi="Times Roman"/>
          <w:rtl w:val="0"/>
          <w:lang w:val="en-US"/>
        </w:rPr>
        <w:t xml:space="preserve">. </w:t>
      </w:r>
      <w:r>
        <w:rPr>
          <w:rFonts w:ascii="Times Roman" w:hAnsi="Times Roman"/>
          <w:rtl w:val="0"/>
          <w:lang w:val="en-US"/>
        </w:rPr>
        <w:t xml:space="preserve">You can see this more clearly when you look at how people retell </w:t>
      </w:r>
      <w:r>
        <w:rPr>
          <w:rFonts w:ascii="Times Roman" w:hAnsi="Times Roman"/>
          <w:rtl w:val="0"/>
          <w:lang w:val="en-US"/>
        </w:rPr>
        <w:t>their narratives</w:t>
      </w:r>
      <w:r>
        <w:rPr>
          <w:rFonts w:ascii="Times Roman" w:hAnsi="Times Roman"/>
          <w:rtl w:val="0"/>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Each retelling then makes the story more recognizable, more like what that community expects that story to sound like</w:t>
      </w:r>
      <w:r>
        <w:rPr>
          <w:rFonts w:ascii="Times Roman" w:hAnsi="Times Roman"/>
          <w:rtl w:val="0"/>
          <w:lang w:val="en-US"/>
        </w:rPr>
        <w:t xml:space="preserve">, </w:t>
      </w:r>
      <w:r>
        <w:rPr>
          <w:rFonts w:ascii="Times Roman" w:hAnsi="Times Roman"/>
          <w:rtl w:val="0"/>
          <w:lang w:val="en-US"/>
        </w:rPr>
        <w:t>a process only visible through being in the room over time.</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Bennett notices something social going on that the women themselves did not fully see. The women did not see it as research. Bennett did. Being outside the group is what let her see it as a group at all</w:t>
      </w:r>
      <w:r>
        <w:rPr>
          <w:rFonts w:ascii="Times Roman" w:hAnsi="Times Roman"/>
          <w:rtl w:val="0"/>
          <w:lang w:val="en-US"/>
        </w:rPr>
        <w:t>.</w:t>
      </w:r>
      <w:r>
        <w:rPr>
          <w:rFonts w:ascii="Times Roman" w:hAnsi="Times Roman"/>
          <w:rtl w:val="0"/>
          <w:lang w:val="en-US"/>
        </w:rPr>
        <w:t xml:space="preserve"> Women in the study consistently described psychic ability as a gift, something that came to them, not something they went looking for</w:t>
      </w:r>
      <w:r>
        <w:rPr>
          <w:rFonts w:ascii="Times Roman" w:hAnsi="Times Roman"/>
          <w:rtl w:val="0"/>
          <w:lang w:val="en-US"/>
        </w:rPr>
        <w:t>.</w:t>
      </w:r>
      <w:r>
        <w:rPr>
          <w:rFonts w:ascii="Times Roman" w:hAnsi="Times Roman"/>
          <w:rtl w:val="0"/>
        </w:rPr>
        <w:t xml:space="preserve"> Bennett </w:t>
      </w:r>
      <w:r>
        <w:rPr>
          <w:rFonts w:ascii="Times Roman" w:hAnsi="Times Roman"/>
          <w:rtl w:val="0"/>
          <w:lang w:val="en-US"/>
        </w:rPr>
        <w:t>says</w:t>
      </w:r>
      <w:r>
        <w:rPr>
          <w:rFonts w:ascii="Times Roman" w:hAnsi="Times Roman"/>
          <w:rtl w:val="0"/>
          <w:lang w:val="en-US"/>
        </w:rPr>
        <w:t xml:space="preserve"> this framing mattered because it let them claim </w:t>
      </w:r>
      <w:r>
        <w:rPr>
          <w:rFonts w:ascii="Times Roman" w:hAnsi="Times Roman"/>
          <w:rtl w:val="0"/>
          <w:lang w:val="en-US"/>
        </w:rPr>
        <w:t>a low key</w:t>
      </w:r>
      <w:r>
        <w:rPr>
          <w:rFonts w:ascii="Times Roman" w:hAnsi="Times Roman"/>
          <w:rtl w:val="0"/>
          <w:lang w:val="en-US"/>
        </w:rPr>
        <w:t xml:space="preserve"> authority without appearing to overstep the gender expectations of their generation. Being a little bit psychic was passive.</w:t>
      </w:r>
      <w:r>
        <w:rPr>
          <w:rFonts w:ascii="Times Roman" w:hAnsi="Times Roman"/>
          <w:rtl w:val="0"/>
          <w:lang w:val="en-US"/>
        </w:rPr>
        <w:t xml:space="preserve"> C</w:t>
      </w:r>
      <w:r>
        <w:rPr>
          <w:rFonts w:ascii="Times Roman" w:hAnsi="Times Roman"/>
          <w:rtl w:val="0"/>
          <w:lang w:val="en-US"/>
        </w:rPr>
        <w:t>laiming to know things outright would have been a different matter for women of that generation. The belief system is doing a social job there that nobody in the group would have put it in those terms.This is only recoverable through Bennett's conversational method</w:t>
      </w:r>
      <w:r>
        <w:rPr>
          <w:rFonts w:ascii="Times Roman" w:hAnsi="Times Roman"/>
          <w:rtl w:val="0"/>
          <w:lang w:val="en-US"/>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The research stays grounded in the community and makes no claims about whether the experiences are real.</w:t>
      </w:r>
      <w:r>
        <w:rPr>
          <w:rFonts w:ascii="Times Roman" w:hAnsi="Times Roman"/>
          <w:rtl w:val="0"/>
          <w:lang w:val="en-US"/>
        </w:rPr>
        <w:t xml:space="preserve"> </w:t>
      </w:r>
      <w:r>
        <w:rPr>
          <w:rFonts w:ascii="Times Roman" w:hAnsi="Times Roman"/>
          <w:rtl w:val="0"/>
          <w:lang w:val="en-US"/>
        </w:rPr>
        <w:t>Whereas Blain had to build relationships through months of attending rituals, Bennett's access to the group was already there through her father's work with them. This gave her a level of trust already in place that would have taken considerably longer to develop through fieldwork alone.</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Staying on the outside</w:t>
      </w:r>
      <w:r>
        <w:rPr>
          <w:rFonts w:ascii="Times Roman" w:hAnsi="Times Roman"/>
          <w:rtl w:val="0"/>
          <w:lang w:val="en-US"/>
        </w:rPr>
        <w:t xml:space="preserve"> comes with a price</w:t>
      </w:r>
      <w:r>
        <w:rPr>
          <w:rFonts w:ascii="Times Roman" w:hAnsi="Times Roman"/>
          <w:rtl w:val="0"/>
          <w:lang w:val="en-US"/>
        </w:rPr>
        <w:t xml:space="preserve">. Sticking to what the </w:t>
      </w:r>
      <w:r>
        <w:rPr>
          <w:rFonts w:ascii="Times Roman" w:hAnsi="Times Roman"/>
          <w:rtl w:val="0"/>
          <w:lang w:val="en-US"/>
        </w:rPr>
        <w:t>tales</w:t>
      </w:r>
      <w:r>
        <w:rPr>
          <w:rFonts w:ascii="Times Roman" w:hAnsi="Times Roman"/>
          <w:rtl w:val="0"/>
        </w:rPr>
        <w:t xml:space="preserve"> </w:t>
      </w:r>
      <w:r>
        <w:rPr>
          <w:rFonts w:ascii="Times Roman" w:hAnsi="Times Roman"/>
          <w:rtl w:val="0"/>
          <w:lang w:val="en-US"/>
        </w:rPr>
        <w:t>do</w:t>
      </w:r>
      <w:r>
        <w:rPr>
          <w:rFonts w:ascii="Times Roman" w:hAnsi="Times Roman"/>
          <w:rtl w:val="0"/>
        </w:rPr>
        <w:t xml:space="preserve"> </w:t>
      </w:r>
      <w:r>
        <w:rPr>
          <w:rFonts w:ascii="Times Roman" w:hAnsi="Times Roman"/>
          <w:rtl w:val="0"/>
          <w:lang w:val="en-US"/>
        </w:rPr>
        <w:t xml:space="preserve">means </w:t>
      </w:r>
      <w:r>
        <w:rPr>
          <w:rFonts w:ascii="Times Roman" w:hAnsi="Times Roman"/>
          <w:rtl w:val="0"/>
          <w:lang w:val="en-US"/>
        </w:rPr>
        <w:t>the research never gets at what it feels like to hold these beliefs. Bowie argues that certain kinds of knowledge are simply unavailable to a researcher who observes without participating (Bowie, 2016, p. 5).</w:t>
      </w:r>
      <w:r>
        <w:rPr>
          <w:rFonts w:ascii="Times Roman" w:hAnsi="Times Roman"/>
          <w:rtl w:val="0"/>
          <w:lang w:val="en-US"/>
        </w:rPr>
        <w:t xml:space="preserve"> </w:t>
      </w:r>
      <w:r>
        <w:rPr>
          <w:rFonts w:ascii="Times Roman" w:hAnsi="Times Roman"/>
          <w:rtl w:val="0"/>
          <w:lang w:val="en-US"/>
        </w:rPr>
        <w:t>Because Bennett stays outside, what the belief actually feels like never makes it into the analysis.</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Bennett's paper never gets at what foreknowledge actually feels like from the inside</w:t>
      </w:r>
      <w:r>
        <w:rPr>
          <w:rFonts w:ascii="Times Roman" w:hAnsi="Times Roman"/>
          <w:rtl w:val="0"/>
          <w:lang w:val="en-US"/>
        </w:rPr>
        <w:t>. It</w:t>
      </w:r>
      <w:r>
        <w:rPr>
          <w:rFonts w:ascii="Times Roman" w:hAnsi="Times Roman"/>
          <w:rtl w:val="0"/>
          <w:lang w:val="en-US"/>
        </w:rPr>
        <w:t xml:space="preserve"> documents what these </w:t>
      </w:r>
      <w:r>
        <w:rPr>
          <w:rFonts w:ascii="Times Roman" w:hAnsi="Times Roman"/>
          <w:rtl w:val="0"/>
          <w:lang w:val="en-US"/>
        </w:rPr>
        <w:t>tellings</w:t>
      </w:r>
      <w:r>
        <w:rPr>
          <w:rFonts w:ascii="Times Roman" w:hAnsi="Times Roman"/>
          <w:rtl w:val="0"/>
          <w:lang w:val="en-US"/>
        </w:rPr>
        <w:t xml:space="preserve"> do within a group but cannot account for what it means to actually hold such a belief or to have </w:t>
      </w:r>
      <w:r>
        <w:rPr>
          <w:rFonts w:ascii="Times Roman" w:hAnsi="Times Roman"/>
          <w:rtl w:val="0"/>
          <w:lang w:val="en-US"/>
        </w:rPr>
        <w:t>been through it</w:t>
      </w:r>
      <w:r>
        <w:rPr>
          <w:rFonts w:ascii="Times Roman" w:hAnsi="Times Roman"/>
          <w:rtl w:val="0"/>
        </w:rPr>
        <w:t>.</w:t>
      </w:r>
      <w:r>
        <w:rPr>
          <w:rFonts w:ascii="Times Roman" w:hAnsi="Times Roman"/>
          <w:rtl w:val="0"/>
          <w:lang w:val="en-US"/>
        </w:rPr>
        <w:t xml:space="preserve"> </w:t>
      </w:r>
      <w:r>
        <w:rPr>
          <w:rFonts w:ascii="Times Roman" w:hAnsi="Times Roman"/>
          <w:rtl w:val="0"/>
          <w:lang w:val="en-US"/>
        </w:rPr>
        <w:t>Her method cannot get there</w:t>
      </w:r>
      <w:r>
        <w:rPr>
          <w:rFonts w:ascii="Times Roman" w:hAnsi="Times Roman"/>
          <w:rtl w:val="0"/>
          <w:lang w:val="en-US"/>
        </w:rPr>
        <w:t xml:space="preserve">. </w:t>
      </w:r>
      <w:r>
        <w:rPr>
          <w:rFonts w:ascii="Times Roman" w:hAnsi="Times Roman"/>
          <w:rtl w:val="0"/>
          <w:lang w:val="en-US"/>
        </w:rPr>
        <w:t>These women were patients. Bennett was connected to the person treating them. Whether that relation affected what they were willing to disclose is something the research would have been stronger for addressing.</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lang w:val="en-US"/>
        </w:rPr>
        <w:t>The women in the group were connected to Bennett through a therapeutic relationship with her father. That is not a neutral context. People in treatment tend to manage what they disclose to anyone associated with their practitioner, whether consciously or not. Bennett does not acknowledge this at all</w:t>
      </w:r>
      <w:r>
        <w:rPr>
          <w:rFonts w:ascii="Times Roman" w:hAnsi="Times Roman"/>
          <w:rtl w:val="0"/>
          <w:lang w:val="en-US"/>
        </w:rPr>
        <w:t>, which weakens her argument.</w:t>
      </w: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Blain's approach is different from Bennett's. Where Bennett works with stories about supernatural experience told after the fact, Blain engages directly with a living ritual practice in which those </w:t>
      </w:r>
      <w:r>
        <w:rPr>
          <w:rFonts w:ascii="Times Roman" w:hAnsi="Times Roman"/>
          <w:rtl w:val="0"/>
          <w:lang w:val="en-US"/>
        </w:rPr>
        <w:t>states</w:t>
      </w:r>
      <w:r>
        <w:rPr>
          <w:rFonts w:ascii="Times Roman" w:hAnsi="Times Roman"/>
          <w:rtl w:val="0"/>
          <w:lang w:val="en-US"/>
        </w:rPr>
        <w:t xml:space="preserve"> are actively sought. Seidr involves entering trance states and journeying within a Norse cosmological framework to seek guidance or contact with spirits. The audience at a seidr ritual are participants, not observers, because they enter lighter trance states through the ritual process. </w:t>
      </w:r>
      <w:r>
        <w:rPr>
          <w:rFonts w:ascii="Times Roman" w:hAnsi="Times Roman"/>
          <w:rtl w:val="0"/>
          <w:lang w:val="en-US"/>
        </w:rPr>
        <w:t>Just</w:t>
      </w:r>
      <w:r>
        <w:rPr>
          <w:rFonts w:ascii="Times Roman" w:hAnsi="Times Roman"/>
          <w:rtl w:val="0"/>
          <w:lang w:val="en-US"/>
        </w:rPr>
        <w:t xml:space="preserve"> observational fieldwork could not capture what is happening. So her whole </w:t>
      </w:r>
      <w:r>
        <w:rPr>
          <w:rFonts w:ascii="Times Roman" w:hAnsi="Times Roman"/>
          <w:rtl w:val="0"/>
          <w:lang w:val="en-US"/>
        </w:rPr>
        <w:t>method</w:t>
      </w:r>
      <w:r>
        <w:rPr>
          <w:rFonts w:ascii="Times Roman" w:hAnsi="Times Roman"/>
          <w:rtl w:val="0"/>
          <w:lang w:val="en-US"/>
        </w:rPr>
        <w:t xml:space="preserve"> has to be built around that</w:t>
      </w:r>
      <w:r>
        <w:rPr>
          <w:rFonts w:ascii="Times Roman" w:hAnsi="Times Roman"/>
          <w:rtl w:val="0"/>
          <w:lang w:val="en-US"/>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Blain uses participant observation. </w:t>
      </w:r>
      <w:r>
        <w:rPr>
          <w:rFonts w:ascii="Times Roman" w:hAnsi="Times Roman"/>
          <w:rtl w:val="0"/>
          <w:lang w:val="en-US"/>
        </w:rPr>
        <w:t>S</w:t>
      </w:r>
      <w:r>
        <w:rPr>
          <w:rFonts w:ascii="Times Roman" w:hAnsi="Times Roman"/>
          <w:rtl w:val="0"/>
          <w:lang w:val="en-US"/>
        </w:rPr>
        <w:t xml:space="preserve">he could not simply turn up, watch and </w:t>
      </w:r>
      <w:r>
        <w:rPr>
          <w:rFonts w:ascii="Times Roman" w:hAnsi="Times Roman"/>
          <w:rtl w:val="0"/>
          <w:lang w:val="en-US"/>
        </w:rPr>
        <w:t xml:space="preserve">then </w:t>
      </w:r>
      <w:r>
        <w:rPr>
          <w:rFonts w:ascii="Times Roman" w:hAnsi="Times Roman"/>
          <w:rtl w:val="0"/>
          <w:lang w:val="en-US"/>
        </w:rPr>
        <w:t>leave. The practice required her to enter the ritual space as a participant, which changed what she was able to see but also changed her relationship to what she was studying.</w:t>
      </w:r>
      <w:r>
        <w:rPr>
          <w:rFonts w:ascii="Times Roman" w:hAnsi="Times Roman"/>
          <w:rtl w:val="0"/>
          <w:lang w:val="en-US"/>
        </w:rPr>
        <w:t xml:space="preserve"> </w:t>
      </w:r>
      <w:r>
        <w:rPr>
          <w:rFonts w:ascii="Times Roman" w:hAnsi="Times Roman"/>
          <w:rtl w:val="0"/>
          <w:lang w:val="en-US"/>
        </w:rPr>
        <w:t>She attended rituals, built relationships with practitioners, and included what she lived through inside ritual contexts</w:t>
      </w:r>
      <w:r>
        <w:rPr>
          <w:rFonts w:ascii="Times Roman" w:hAnsi="Times Roman"/>
          <w:rtl w:val="0"/>
          <w:lang w:val="en-US"/>
        </w:rPr>
        <w:t xml:space="preserve"> </w:t>
      </w:r>
      <w:r>
        <w:rPr>
          <w:rFonts w:ascii="Times Roman" w:hAnsi="Times Roman"/>
          <w:rtl w:val="0"/>
          <w:lang w:val="en-US"/>
        </w:rPr>
        <w:t xml:space="preserve">as part of the data </w:t>
      </w:r>
      <w:r>
        <w:rPr>
          <w:rFonts w:ascii="Times Roman" w:hAnsi="Times Roman"/>
          <w:rtl w:val="0"/>
          <w:lang w:val="en-US"/>
        </w:rPr>
        <w:t>rather t</w:t>
      </w:r>
      <w:r>
        <w:rPr>
          <w:rFonts w:ascii="Times Roman" w:hAnsi="Times Roman"/>
          <w:rtl w:val="0"/>
          <w:lang w:val="en-US"/>
        </w:rPr>
        <w:t xml:space="preserve">han filtering them out. Blain notes the difficulty of presenting seidr to academic audiences, who tend to reach for psychological or sociological frameworks that explain the practice away rather than engage with it on its own terms (Blain, 2000, n.p.).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The result, she argues, is a description that practitioners would not </w:t>
      </w:r>
      <w:r>
        <w:rPr>
          <w:rFonts w:ascii="Times Roman" w:hAnsi="Times Roman"/>
          <w:rtl w:val="0"/>
          <w:lang w:val="en-US"/>
        </w:rPr>
        <w:t>recognize</w:t>
      </w:r>
      <w:r>
        <w:rPr>
          <w:rFonts w:ascii="Times Roman" w:hAnsi="Times Roman"/>
          <w:rtl w:val="0"/>
          <w:lang w:val="en-US"/>
        </w:rPr>
        <w:t xml:space="preserve"> as an account of what they actually do.</w:t>
      </w:r>
      <w:r>
        <w:rPr>
          <w:rFonts w:ascii="Times Roman" w:hAnsi="Times Roman"/>
          <w:rtl w:val="0"/>
          <w:lang w:val="en-US"/>
        </w:rPr>
        <w:t xml:space="preserve"> </w:t>
      </w:r>
      <w:r>
        <w:rPr>
          <w:rFonts w:ascii="Times Roman" w:hAnsi="Times Roman"/>
          <w:rtl w:val="0"/>
          <w:lang w:val="en-US"/>
        </w:rPr>
        <w:t xml:space="preserve">Blain's response is to step back from the question of whether beliefs are true or false and instead treat the spirits and relationships in seidr as simply part of the community's reality, not things that need explaining away (Blain, 2000). Blain calls this refusing to adjudicate belief, arguing that treating the spirits as simply part of the community's world is honest </w:t>
      </w:r>
      <w:r>
        <w:rPr>
          <w:rFonts w:ascii="Times Roman" w:hAnsi="Times Roman"/>
          <w:rtl w:val="0"/>
          <w:lang w:val="en-US"/>
        </w:rPr>
        <w:t>instead of</w:t>
      </w:r>
      <w:r>
        <w:rPr>
          <w:rFonts w:ascii="Times Roman" w:hAnsi="Times Roman"/>
          <w:rtl w:val="0"/>
          <w:lang w:val="en-US"/>
        </w:rPr>
        <w:t xml:space="preserve"> positioning herself as having access to truth</w:t>
      </w:r>
      <w:r>
        <w:rPr>
          <w:rFonts w:ascii="Times Roman" w:hAnsi="Times Roman"/>
          <w:rtl w:val="0"/>
          <w:lang w:val="en-US"/>
        </w:rPr>
        <w:t>s</w:t>
      </w:r>
      <w:r>
        <w:rPr>
          <w:rFonts w:ascii="Times Roman" w:hAnsi="Times Roman"/>
          <w:rtl w:val="0"/>
          <w:lang w:val="en-US"/>
        </w:rPr>
        <w:t xml:space="preserve"> her participants lack.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Bowie's thinking on cognitive empathetic engagement argues for an approach that neither dismisses difficult data nor accepts everything practitioners say, but subjects what is encountered to an honestly held view of how the world works (Bowie, 2016, p. 15).</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York found himself on the other side of the same problem. His students, most of whom were </w:t>
      </w:r>
      <w:r>
        <w:rPr>
          <w:rFonts w:ascii="Times Roman" w:hAnsi="Times Roman"/>
          <w:rtl w:val="0"/>
          <w:lang w:val="en-US"/>
        </w:rPr>
        <w:t>practicing</w:t>
      </w:r>
      <w:r>
        <w:rPr>
          <w:rFonts w:ascii="Times Roman" w:hAnsi="Times Roman"/>
          <w:rtl w:val="0"/>
          <w:lang w:val="en-US"/>
        </w:rPr>
        <w:t xml:space="preserve"> astrologers at Bath Spa had </w:t>
      </w:r>
      <w:r>
        <w:rPr>
          <w:rFonts w:ascii="Times Roman" w:hAnsi="Times Roman"/>
          <w:rtl w:val="0"/>
          <w:lang w:val="en-US"/>
        </w:rPr>
        <w:t>no</w:t>
      </w:r>
      <w:r>
        <w:rPr>
          <w:rFonts w:ascii="Times Roman" w:hAnsi="Times Roman"/>
          <w:rtl w:val="0"/>
          <w:lang w:val="en-US"/>
        </w:rPr>
        <w:t xml:space="preserve"> interest in applying sociological frameworks to their own subject. Being asked to treat astrology as an object of external analysis seemed beside the point to them (York, 2004, p. 3).</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His</w:t>
      </w:r>
      <w:r>
        <w:rPr>
          <w:rFonts w:ascii="Times Roman" w:hAnsi="Times Roman"/>
          <w:rtl w:val="0"/>
          <w:lang w:val="en-US"/>
        </w:rPr>
        <w:t xml:space="preserve"> answer, drawing on Arweck, was to push for what he calls sustained reflexivity, a movement between insider experience and external critical perspective (York, 2004, p. 13).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Blain is sitting right in that uncomfortable middle position</w:t>
      </w:r>
      <w:r>
        <w:rPr>
          <w:rFonts w:ascii="Times Roman" w:hAnsi="Times Roman"/>
          <w:rtl w:val="0"/>
          <w:lang w:val="en-US"/>
        </w:rPr>
        <w:t xml:space="preserve"> and d</w:t>
      </w:r>
      <w:r>
        <w:rPr>
          <w:rFonts w:ascii="Times Roman" w:hAnsi="Times Roman"/>
          <w:rtl w:val="0"/>
          <w:lang w:val="en-US"/>
        </w:rPr>
        <w:t xml:space="preserve">oes not make clear exactly where she stands at different points in the argument, </w:t>
      </w:r>
      <w:r>
        <w:rPr>
          <w:rFonts w:ascii="Times Roman" w:hAnsi="Times Roman"/>
          <w:rtl w:val="0"/>
          <w:lang w:val="en-US"/>
        </w:rPr>
        <w:t>making it harder to follow her thinking.</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The </w:t>
      </w:r>
      <w:r>
        <w:rPr>
          <w:rFonts w:ascii="Times Roman" w:hAnsi="Times Roman"/>
          <w:rtl w:val="0"/>
          <w:lang w:val="en-US"/>
        </w:rPr>
        <w:t xml:space="preserve">reality </w:t>
      </w:r>
      <w:r>
        <w:rPr>
          <w:rFonts w:ascii="Times Roman" w:hAnsi="Times Roman"/>
          <w:rtl w:val="0"/>
          <w:lang w:val="en-US"/>
        </w:rPr>
        <w:t xml:space="preserve">of trance, the relationships between practitioners and the beings they encounter in seidr, the whole atmosphere of the ritual, none of this shows up in what an observer could record. A researcher who has journeyed alongside practitioners is going to get something different and richer than someone who watched from a chair.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Researcher bias is a limitation. When you have participated in what you are writing about, stepping back becomes difficult. There is a question about how representative Blain's own experiences are, given that practitioners describe their journeys differently from each other. Blain acknowledges a need for multiple situated </w:t>
      </w:r>
      <w:r>
        <w:rPr>
          <w:rFonts w:ascii="Times Roman" w:hAnsi="Times Roman"/>
          <w:rtl w:val="0"/>
          <w:lang w:val="en-US"/>
        </w:rPr>
        <w:t>narratives</w:t>
      </w:r>
      <w:r>
        <w:rPr>
          <w:rFonts w:ascii="Times Roman" w:hAnsi="Times Roman"/>
          <w:rtl w:val="0"/>
          <w:lang w:val="en-US"/>
        </w:rPr>
        <w:t xml:space="preserve"> because seidr is not one fixed </w:t>
      </w:r>
      <w:r>
        <w:rPr>
          <w:rFonts w:ascii="Times Roman" w:hAnsi="Times Roman"/>
          <w:rtl w:val="0"/>
          <w:lang w:val="en-US"/>
        </w:rPr>
        <w:t>thing</w:t>
      </w:r>
      <w:r>
        <w:rPr>
          <w:rFonts w:ascii="Times Roman" w:hAnsi="Times Roman"/>
          <w:rtl w:val="0"/>
        </w:rPr>
        <w:t xml:space="preserve"> (Blain, 2000, n.p.).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Blain acknowledges the problem but does not resolve it. The tension between her participation and her academic arguments</w:t>
      </w:r>
      <w:r>
        <w:rPr>
          <w:rFonts w:ascii="Times Roman" w:hAnsi="Times Roman"/>
          <w:rtl w:val="0"/>
          <w:lang w:val="en-US"/>
        </w:rPr>
        <w:t xml:space="preserve"> are</w:t>
      </w:r>
      <w:r>
        <w:rPr>
          <w:rFonts w:ascii="Times Roman" w:hAnsi="Times Roman"/>
          <w:rtl w:val="0"/>
          <w:lang w:val="en-US"/>
        </w:rPr>
        <w:t xml:space="preserve"> visible at several points in the </w:t>
      </w:r>
      <w:r>
        <w:rPr>
          <w:rFonts w:ascii="Times Roman" w:hAnsi="Times Roman"/>
          <w:rtl w:val="0"/>
          <w:lang w:val="en-US"/>
        </w:rPr>
        <w:t>work</w:t>
      </w:r>
      <w:r>
        <w:rPr>
          <w:rFonts w:ascii="Times Roman" w:hAnsi="Times Roman"/>
          <w:rtl w:val="0"/>
          <w:lang w:val="en-US"/>
        </w:rPr>
        <w:t>, where you cannot always tell where a particular claim is actually coming from</w:t>
      </w:r>
      <w:r>
        <w:rPr>
          <w:rFonts w:ascii="Times Roman" w:hAnsi="Times Roman"/>
          <w:rtl w:val="0"/>
          <w:lang w:val="en-US"/>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W</w:t>
      </w:r>
      <w:r>
        <w:rPr>
          <w:rFonts w:ascii="Times Roman" w:hAnsi="Times Roman"/>
          <w:rtl w:val="0"/>
          <w:lang w:val="en-US"/>
        </w:rPr>
        <w:t>here exactly the line falls between insider and outsider is</w:t>
      </w:r>
      <w:r>
        <w:rPr>
          <w:rFonts w:ascii="Times Roman" w:hAnsi="Times Roman"/>
          <w:rtl w:val="0"/>
          <w:lang w:val="en-US"/>
        </w:rPr>
        <w:t xml:space="preserve"> unclear. </w:t>
      </w:r>
      <w:r>
        <w:rPr>
          <w:rFonts w:ascii="Times Roman" w:hAnsi="Times Roman"/>
          <w:rtl w:val="0"/>
          <w:lang w:val="en-US"/>
        </w:rPr>
        <w:t xml:space="preserve">Bowie describes the boundary between them as a series of relationships moving along continua from distant to close, experience-far to experience-near (Bowie, 2016, p. 18).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Bennett and Blain end up in very different places on that spectrum</w:t>
      </w:r>
      <w:r>
        <w:rPr>
          <w:rFonts w:ascii="Times Roman" w:hAnsi="Times Roman"/>
          <w:rtl w:val="0"/>
          <w:lang w:val="en-US"/>
        </w:rPr>
        <w:t xml:space="preserve">. </w:t>
      </w:r>
      <w:r>
        <w:rPr>
          <w:rFonts w:ascii="Times Roman" w:hAnsi="Times Roman"/>
          <w:rtl w:val="0"/>
          <w:lang w:val="en-US"/>
        </w:rPr>
        <w:t>Bennett is clearly on the outside. She has a connection to the community through her father's practice</w:t>
      </w:r>
      <w:r>
        <w:rPr>
          <w:rFonts w:ascii="Times Roman" w:hAnsi="Times Roman"/>
          <w:rtl w:val="0"/>
          <w:lang w:val="en-US"/>
        </w:rPr>
        <w:t xml:space="preserve">, </w:t>
      </w:r>
      <w:r>
        <w:rPr>
          <w:rFonts w:ascii="Times Roman" w:hAnsi="Times Roman"/>
          <w:rtl w:val="0"/>
          <w:lang w:val="en-US"/>
        </w:rPr>
        <w:t>but does not share the beliefs she is documenting</w:t>
      </w:r>
      <w:r>
        <w:rPr>
          <w:rFonts w:ascii="Times Roman" w:hAnsi="Times Roman"/>
          <w:rtl w:val="0"/>
          <w:lang w:val="en-US"/>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She does not participate in anything related to the supernatural practices she is studying. That distance allows her to identify patterns that an insider might not register as patterns at all.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Bennett's analysis is strong at explaining what these stories do in the social life of the group. What it does not convey is what it feels like to hold these beliefs.</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Blain's position is much harder to pin down. She writes for academic audiences, uses academic frameworks, maintains a researcher role throughout. But she has </w:t>
      </w:r>
      <w:r>
        <w:rPr>
          <w:rFonts w:ascii="Times Roman" w:hAnsi="Times Roman"/>
          <w:rtl w:val="0"/>
          <w:lang w:val="en-US"/>
        </w:rPr>
        <w:t>been</w:t>
      </w:r>
      <w:r>
        <w:rPr>
          <w:rFonts w:ascii="Times Roman" w:hAnsi="Times Roman"/>
          <w:rtl w:val="0"/>
        </w:rPr>
        <w:t xml:space="preserve"> </w:t>
      </w:r>
      <w:r>
        <w:rPr>
          <w:rFonts w:ascii="Times Roman" w:hAnsi="Times Roman"/>
          <w:rtl w:val="0"/>
          <w:lang w:val="en-US"/>
        </w:rPr>
        <w:t>inside</w:t>
      </w:r>
      <w:r>
        <w:rPr>
          <w:rFonts w:ascii="Times Roman" w:hAnsi="Times Roman"/>
          <w:rtl w:val="0"/>
          <w:lang w:val="it-IT"/>
        </w:rPr>
        <w:t xml:space="preserve"> seidr rituals </w:t>
      </w:r>
      <w:r>
        <w:rPr>
          <w:rFonts w:ascii="Times Roman" w:hAnsi="Times Roman"/>
          <w:rtl w:val="0"/>
          <w:lang w:val="en-US"/>
        </w:rPr>
        <w:t xml:space="preserve">herself </w:t>
      </w:r>
      <w:r>
        <w:rPr>
          <w:rFonts w:ascii="Times Roman" w:hAnsi="Times Roman"/>
          <w:rtl w:val="0"/>
          <w:lang w:val="en-US"/>
        </w:rPr>
        <w:t xml:space="preserve">alongside practitioners. When Blain talks about entering the world of the seidworker as a native speaker while keeping critical academic awareness (Blain, 2000, n.p.), that is a real and interesting goal, but the paper does not always show how she is actually doing it.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Sometimes Blain is describing what she felt and </w:t>
      </w:r>
      <w:r>
        <w:rPr>
          <w:rFonts w:ascii="Times Roman" w:hAnsi="Times Roman"/>
          <w:rtl w:val="0"/>
          <w:lang w:val="en-US"/>
        </w:rPr>
        <w:t>encountered</w:t>
      </w:r>
      <w:r>
        <w:rPr>
          <w:rFonts w:ascii="Times Roman" w:hAnsi="Times Roman"/>
          <w:rtl w:val="0"/>
          <w:lang w:val="en-US"/>
        </w:rPr>
        <w:t xml:space="preserve">, other times she is making academic arguments. She does not always tell you which she is doing. Is the claim coming from something she </w:t>
      </w:r>
      <w:r>
        <w:rPr>
          <w:rFonts w:ascii="Times Roman" w:hAnsi="Times Roman"/>
          <w:rtl w:val="0"/>
          <w:lang w:val="en-US"/>
        </w:rPr>
        <w:t>lived through</w:t>
      </w:r>
      <w:r>
        <w:rPr>
          <w:rFonts w:ascii="Times Roman" w:hAnsi="Times Roman"/>
          <w:rtl w:val="0"/>
          <w:lang w:val="en-US"/>
        </w:rPr>
        <w:t xml:space="preserve"> herself, something a practitioner told her, or something she read. Each of those would sit differently in the argument. Bowie suggests that good ethnography sometimes requires losing yourself as an observer, but that you have to come back out still thinking like a researcher (Bowie, 2016, p. 18).</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lang w:val="en-US"/>
        </w:rPr>
        <w:t xml:space="preserve">When Blain writes about encountering spirits in seidr the source of what she is saying is unclear. She could be describing her own experience, reporting what a practitioner said, or </w:t>
      </w:r>
      <w:r>
        <w:rPr>
          <w:rFonts w:ascii="Times Roman" w:hAnsi="Times Roman"/>
          <w:rtl w:val="0"/>
          <w:lang w:val="en-US"/>
        </w:rPr>
        <w:t>summarizing</w:t>
      </w:r>
      <w:r>
        <w:rPr>
          <w:rFonts w:ascii="Times Roman" w:hAnsi="Times Roman"/>
          <w:rtl w:val="0"/>
          <w:lang w:val="en-US"/>
        </w:rPr>
        <w:t xml:space="preserve"> something she read. For anyone trying to follow the argument that is a real problem.</w:t>
      </w:r>
      <w:r>
        <w:rPr>
          <w:rFonts w:ascii="Times Roman" w:hAnsi="Times Roman"/>
          <w:rtl w:val="0"/>
          <w:lang w:val="en-US"/>
        </w:rPr>
        <w:t xml:space="preserve"> </w:t>
      </w:r>
      <w:r>
        <w:rPr>
          <w:rFonts w:ascii="Times Roman" w:hAnsi="Times Roman"/>
          <w:rtl w:val="0"/>
          <w:lang w:val="en-US"/>
        </w:rPr>
        <w:t>She does not manage it but she is upfront and frank about the difficulty, which is more than ethnographies that pretend the researcher has no position at all</w:t>
      </w:r>
      <w:r>
        <w:rPr>
          <w:rFonts w:ascii="Times Roman" w:hAnsi="Times Roman"/>
          <w:rtl w:val="0"/>
          <w:lang w:val="en-US"/>
        </w:rPr>
        <w:t xml:space="preserve">. </w:t>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rPr>
        <w:t>Bennett</w:t>
      </w:r>
      <w:r>
        <w:rPr>
          <w:rFonts w:ascii="Times Roman" w:hAnsi="Times Roman" w:hint="default"/>
          <w:rtl w:val="0"/>
          <w:lang w:val="en-US"/>
        </w:rPr>
        <w:t>’</w:t>
      </w:r>
      <w:r>
        <w:rPr>
          <w:rFonts w:ascii="Times Roman" w:hAnsi="Times Roman"/>
          <w:rtl w:val="0"/>
          <w:lang w:val="en-US"/>
        </w:rPr>
        <w:t>s reading comes out of folklore.</w:t>
      </w:r>
      <w:r>
        <w:rPr>
          <w:rFonts w:ascii="Times Roman" w:hAnsi="Times Roman"/>
          <w:rtl w:val="0"/>
          <w:lang w:val="en-US"/>
        </w:rPr>
        <w:t xml:space="preserve"> </w:t>
      </w:r>
      <w:r>
        <w:rPr>
          <w:rFonts w:ascii="Times Roman" w:hAnsi="Times Roman"/>
          <w:rtl w:val="0"/>
          <w:lang w:val="en-US"/>
        </w:rPr>
        <w:t xml:space="preserve">She draws on work on legends, </w:t>
      </w:r>
      <w:r>
        <w:rPr>
          <w:rFonts w:ascii="Times Roman" w:hAnsi="Times Roman"/>
          <w:rtl w:val="0"/>
          <w:lang w:val="en-US"/>
        </w:rPr>
        <w:t>first person</w:t>
      </w:r>
      <w:r>
        <w:rPr>
          <w:rFonts w:ascii="Times Roman" w:hAnsi="Times Roman"/>
          <w:rtl w:val="0"/>
        </w:rPr>
        <w:t xml:space="preserve"> </w:t>
      </w:r>
      <w:r>
        <w:rPr>
          <w:rFonts w:ascii="Times Roman" w:hAnsi="Times Roman"/>
          <w:rtl w:val="0"/>
          <w:lang w:val="en-US"/>
        </w:rPr>
        <w:t xml:space="preserve">narratives </w:t>
      </w:r>
      <w:r>
        <w:rPr>
          <w:rFonts w:ascii="Times Roman" w:hAnsi="Times Roman"/>
          <w:rtl w:val="0"/>
          <w:lang w:val="en-US"/>
        </w:rPr>
        <w:t xml:space="preserve">and </w:t>
      </w:r>
      <w:r>
        <w:rPr>
          <w:rFonts w:ascii="Times Roman" w:hAnsi="Times Roman"/>
          <w:rtl w:val="0"/>
          <w:lang w:val="en-US"/>
        </w:rPr>
        <w:t>popular</w:t>
      </w:r>
      <w:r>
        <w:rPr>
          <w:rFonts w:ascii="Times Roman" w:hAnsi="Times Roman"/>
          <w:rtl w:val="0"/>
          <w:lang w:val="en-US"/>
        </w:rPr>
        <w:t xml:space="preserve"> belief to </w:t>
      </w:r>
      <w:r>
        <w:rPr>
          <w:rFonts w:ascii="Times Roman" w:hAnsi="Times Roman"/>
          <w:rtl w:val="0"/>
          <w:lang w:val="en-US"/>
        </w:rPr>
        <w:t>link</w:t>
      </w:r>
      <w:r>
        <w:rPr>
          <w:rFonts w:ascii="Times Roman" w:hAnsi="Times Roman"/>
          <w:rtl w:val="0"/>
          <w:lang w:val="en-US"/>
        </w:rPr>
        <w:t xml:space="preserve"> her findings. </w:t>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Historical sources like John Aubrey let her trace these kinds of beliefs back several centuries, which suggests what the women in her group were describing was not a modern phenomenon but something with a much longer history behind it.</w:t>
      </w:r>
      <w:r>
        <w:rPr>
          <w:rFonts w:ascii="Times Roman" w:hAnsi="Times Roman"/>
          <w:rtl w:val="0"/>
          <w:lang w:val="en-US"/>
        </w:rPr>
        <w:t xml:space="preserve"> </w:t>
      </w:r>
      <w:r>
        <w:rPr>
          <w:rFonts w:ascii="Times Roman" w:hAnsi="Times Roman"/>
          <w:rtl w:val="0"/>
          <w:lang w:val="en-US"/>
        </w:rPr>
        <w:t>Survey data from Britain and Finland backs this up</w:t>
      </w:r>
      <w:r>
        <w:rPr>
          <w:rFonts w:ascii="Times Roman" w:hAnsi="Times Roman"/>
          <w:rtl w:val="0"/>
          <w:lang w:val="en-US"/>
        </w:rPr>
        <w:t>. Th</w:t>
      </w:r>
      <w:r>
        <w:rPr>
          <w:rFonts w:ascii="Times Roman" w:hAnsi="Times Roman"/>
          <w:rtl w:val="0"/>
          <w:lang w:val="en-US"/>
        </w:rPr>
        <w:t>e strongest piece of literature use</w:t>
      </w:r>
      <w:r>
        <w:rPr>
          <w:rFonts w:ascii="Times Roman" w:hAnsi="Times Roman"/>
          <w:rtl w:val="0"/>
          <w:lang w:val="en-US"/>
        </w:rPr>
        <w:t xml:space="preserve"> </w:t>
      </w:r>
      <w:r>
        <w:rPr>
          <w:rFonts w:ascii="Times Roman" w:hAnsi="Times Roman"/>
          <w:rtl w:val="0"/>
          <w:lang w:val="en-US"/>
        </w:rPr>
        <w:t xml:space="preserve">is how Bennett applies Hufford's concept of traditions of disbelief to the </w:t>
      </w:r>
      <w:r>
        <w:rPr>
          <w:rFonts w:ascii="Times Roman" w:hAnsi="Times Roman"/>
          <w:rtl w:val="0"/>
          <w:lang w:val="en-US"/>
        </w:rPr>
        <w:t>skeptical</w:t>
      </w:r>
      <w:r>
        <w:rPr>
          <w:rFonts w:ascii="Times Roman" w:hAnsi="Times Roman"/>
          <w:rtl w:val="0"/>
          <w:lang w:val="en-US"/>
        </w:rPr>
        <w:t xml:space="preserve"> women in her group (Bennett, 1995, p. 125). Hufford worked it out elsewhere but Bennett picks it up. That is the thing a literature review should</w:t>
      </w:r>
      <w:r>
        <w:rPr>
          <w:rFonts w:ascii="Times Roman" w:hAnsi="Times Roman"/>
          <w:rtl w:val="0"/>
          <w:lang w:val="en-US"/>
        </w:rPr>
        <w:t xml:space="preserve"> </w:t>
      </w:r>
      <w:r>
        <w:rPr>
          <w:rFonts w:ascii="Times Roman" w:hAnsi="Times Roman"/>
          <w:rtl w:val="0"/>
          <w:lang w:val="pt-PT"/>
        </w:rPr>
        <w:t>do.</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Blain's literature is different. She draws on feminist critiques of ethnography and work on situated knowledge and reflexivity. None of this is about seidr directly. It is about whether the idea of a detached objective researcher makes sense at all. Blain argues it does not, and that acknowledging your own position is more honest. </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Bennett uses her sources to show this is not a new or unusual thing. Blain uses hers to say the whole way researchers approach this material needs looking at again. </w:t>
      </w:r>
      <w:r>
        <w:rPr>
          <w:rFonts w:ascii="Times Roman" w:hAnsi="Times Roman"/>
          <w:rtl w:val="0"/>
          <w:lang w:val="en-US"/>
        </w:rPr>
        <w:t xml:space="preserve">Reading </w:t>
      </w:r>
      <w:r>
        <w:rPr>
          <w:rFonts w:ascii="Times Roman" w:hAnsi="Times Roman"/>
          <w:rtl w:val="0"/>
          <w:lang w:val="en-US"/>
        </w:rPr>
        <w:t>both together</w:t>
      </w:r>
      <w:r>
        <w:rPr>
          <w:rFonts w:ascii="Times Roman" w:hAnsi="Times Roman"/>
          <w:rtl w:val="0"/>
          <w:lang w:val="en-US"/>
        </w:rPr>
        <w:t xml:space="preserve"> shows they ar</w:t>
      </w:r>
      <w:r>
        <w:rPr>
          <w:rFonts w:ascii="Times Roman" w:hAnsi="Times Roman"/>
          <w:rtl w:val="0"/>
          <w:lang w:val="en-US"/>
        </w:rPr>
        <w:t>e asking different questions, and getting different things back</w:t>
      </w:r>
      <w:r>
        <w:rPr>
          <w:rFonts w:ascii="Times Roman" w:hAnsi="Times Roman"/>
          <w:rtl w:val="0"/>
          <w:lang w:val="en-US"/>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Bennett's reading of it works well for what she is trying to do. The argument about how these accounts get reworked in light of later events and what they are doing for the group socially, is convincing. But she stays outside the </w:t>
      </w:r>
      <w:r>
        <w:rPr>
          <w:rFonts w:ascii="Times Roman" w:hAnsi="Times Roman"/>
          <w:rtl w:val="0"/>
          <w:lang w:val="en-US"/>
        </w:rPr>
        <w:t>encounters</w:t>
      </w:r>
      <w:r>
        <w:rPr>
          <w:rFonts w:ascii="Times Roman" w:hAnsi="Times Roman"/>
          <w:rtl w:val="0"/>
          <w:lang w:val="en-US"/>
        </w:rPr>
        <w:t xml:space="preserve">. Blain goes in. Participating in seidr rather than observing it from a distance is the decision the whole </w:t>
      </w:r>
      <w:r>
        <w:rPr>
          <w:rFonts w:ascii="Times Roman" w:hAnsi="Times Roman"/>
          <w:rtl w:val="0"/>
          <w:lang w:val="en-US"/>
        </w:rPr>
        <w:t>premise</w:t>
      </w:r>
      <w:r>
        <w:rPr>
          <w:rFonts w:ascii="Times Roman" w:hAnsi="Times Roman"/>
          <w:rtl w:val="0"/>
          <w:lang w:val="en-US"/>
        </w:rPr>
        <w:t xml:space="preserve"> is built on, and it is why she gets access to things Bennett simply cannot.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What you get from going inside is richer than watching ever could be, but it does raise real questions about bias</w:t>
      </w:r>
      <w:r>
        <w:rPr>
          <w:rFonts w:ascii="Times Roman" w:hAnsi="Times Roman"/>
          <w:rtl w:val="0"/>
          <w:lang w:val="en-US"/>
        </w:rPr>
        <w:t>, q</w:t>
      </w:r>
      <w:r>
        <w:rPr>
          <w:rFonts w:ascii="Times Roman" w:hAnsi="Times Roman"/>
          <w:rtl w:val="0"/>
          <w:lang w:val="en-US"/>
        </w:rPr>
        <w:t>uestions that</w:t>
      </w:r>
      <w:r>
        <w:rPr>
          <w:rFonts w:ascii="Times Roman" w:hAnsi="Times Roman"/>
          <w:rtl w:val="0"/>
          <w:lang w:val="en-US"/>
        </w:rPr>
        <w:t xml:space="preserve"> </w:t>
      </w:r>
      <w:r>
        <w:rPr>
          <w:rFonts w:ascii="Times Roman" w:hAnsi="Times Roman"/>
          <w:rtl w:val="0"/>
          <w:lang w:val="en-US"/>
        </w:rPr>
        <w:t>as Bowie suggests, may be the price of doing this kind of research at all rather than a failure of rigour (Bowie, 2016, p. 18).</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 xml:space="preserve">Read alongside each other, Bennett and Blain point to the same issue in the study of supernatural belief. Staying outside lets you see how belief moves through a group, what it does socially, how the </w:t>
      </w:r>
      <w:r>
        <w:rPr>
          <w:rFonts w:ascii="Times Roman" w:hAnsi="Times Roman"/>
          <w:rtl w:val="0"/>
          <w:lang w:val="en-US"/>
        </w:rPr>
        <w:t>narratives</w:t>
      </w:r>
      <w:r>
        <w:rPr>
          <w:rFonts w:ascii="Times Roman" w:hAnsi="Times Roman"/>
          <w:rtl w:val="0"/>
          <w:lang w:val="en-US"/>
        </w:rPr>
        <w:t xml:space="preserve"> settle into </w:t>
      </w:r>
      <w:r>
        <w:rPr>
          <w:rFonts w:ascii="Times Roman" w:hAnsi="Times Roman"/>
          <w:rtl w:val="0"/>
          <w:lang w:val="en-US"/>
        </w:rPr>
        <w:t>recognizable</w:t>
      </w:r>
      <w:r>
        <w:rPr>
          <w:rFonts w:ascii="Times Roman" w:hAnsi="Times Roman"/>
          <w:rtl w:val="0"/>
          <w:lang w:val="en-US"/>
        </w:rPr>
        <w:t xml:space="preserve"> forms over time. Going inside gets you something else entirely, something closer to what the practice actually feels like, which watching from the outside simply cannot do. </w:t>
      </w:r>
    </w:p>
    <w:p>
      <w:pPr>
        <w:pStyle w:val="Default"/>
        <w:bidi w:val="0"/>
        <w:spacing w:before="0" w:after="240" w:line="240" w:lineRule="auto"/>
        <w:ind w:left="0" w:right="0" w:firstLine="0"/>
        <w:jc w:val="left"/>
        <w:rPr>
          <w:rtl w:val="0"/>
        </w:rPr>
      </w:pPr>
      <w:r>
        <w:rPr>
          <w:rFonts w:ascii="Times Roman" w:hAnsi="Times Roman"/>
          <w:rtl w:val="0"/>
          <w:lang w:val="en-US"/>
        </w:rPr>
        <w:t xml:space="preserve">Neither fully bridges that gap, and it is not clear that any single researcher could. What the comparison suggests is that studies which set out from the start to use more than one </w:t>
      </w:r>
      <w:r>
        <w:rPr>
          <w:rFonts w:ascii="Times Roman" w:hAnsi="Times Roman"/>
          <w:rtl w:val="0"/>
          <w:lang w:val="en-US"/>
        </w:rPr>
        <w:t>way of looking at it</w:t>
      </w:r>
      <w:r>
        <w:rPr>
          <w:rFonts w:ascii="Times Roman" w:hAnsi="Times Roman"/>
          <w:rtl w:val="0"/>
          <w:lang w:val="en-US"/>
        </w:rPr>
        <w:t xml:space="preserve"> would get further than asking one method to cover everything.</w:t>
      </w:r>
      <w:r>
        <w:rPr>
          <w:rFonts w:ascii="Times Roman" w:hAnsi="Times Roman"/>
          <w:rtl w:val="0"/>
          <w:lang w:val="en-US"/>
        </w:rPr>
        <w:t xml:space="preserve"> </w:t>
      </w:r>
      <w:r>
        <w:rPr>
          <w:rFonts w:ascii="Times Roman" w:hAnsi="Times Roman"/>
          <w:rtl w:val="0"/>
          <w:lang w:val="en-US"/>
        </w:rPr>
        <w:t xml:space="preserve">Bowie, York and Brink all </w:t>
      </w:r>
      <w:r>
        <w:rPr>
          <w:rFonts w:ascii="Times Roman" w:hAnsi="Times Roman"/>
          <w:rtl w:val="0"/>
          <w:lang w:val="en-US"/>
        </w:rPr>
        <w:t>circle</w:t>
      </w:r>
      <w:r>
        <w:rPr>
          <w:rFonts w:ascii="Times Roman" w:hAnsi="Times Roman"/>
          <w:rtl w:val="0"/>
          <w:lang w:val="en-US"/>
        </w:rPr>
        <w:t xml:space="preserve"> the same problem from different directions. None of their positions settles it. Bennett and Blain together suggest that the gap between inside and outside may not be something any single study can close.</w:t>
      </w:r>
      <w:r>
        <w:rPr>
          <w:rFonts w:ascii="Arial Unicode MS" w:cs="Arial Unicode MS" w:hAnsi="Arial Unicode MS" w:eastAsia="Arial Unicode MS"/>
          <w:b w:val="0"/>
          <w:bCs w:val="0"/>
          <w:i w:val="0"/>
          <w:iCs w:val="0"/>
          <w:rtl w:val="0"/>
        </w:rPr>
        <w:br w:type="page"/>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fr-FR"/>
        </w:rPr>
        <w:t>Bibliography</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rPr>
        <w:t>Bennett, G. 1995. '</w:t>
      </w:r>
      <w:r>
        <w:rPr>
          <w:rFonts w:ascii="Times Roman" w:hAnsi="Times Roman"/>
          <w:i w:val="1"/>
          <w:iCs w:val="1"/>
          <w:rtl w:val="0"/>
          <w:lang w:val="en-US"/>
        </w:rPr>
        <w:t>If I Knew You Were Coming I'd Have Baked a Cake: The Folklore of Foreknowledge in a Neighborhood Group.</w:t>
      </w:r>
      <w:r>
        <w:rPr>
          <w:rFonts w:ascii="Times Roman" w:hAnsi="Times Roman"/>
          <w:rtl w:val="0"/>
          <w:lang w:val="en-US"/>
        </w:rPr>
        <w:t>' In Out of the Ordinary: Folklore and the Supernatural, edited by Barbara Walker, 122-142. Logan, Utah: Utah State University Press.</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Blain, J. 2000. 'Speaking Shamanistically: Seidr, Academia and Rationality.' DISKUS Volume 6.</w:t>
      </w:r>
      <w:r>
        <w:rPr>
          <w:rFonts w:ascii="Times Roman" w:hAnsi="Times Roman"/>
          <w:rtl w:val="0"/>
          <w:lang w:val="en-US"/>
        </w:rPr>
        <w:t xml:space="preserve">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"http://www.uni-marburg.de/fb03/religionswissenschaft/journal/diskus"</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de-DE"/>
        </w:rPr>
        <w:t>http://www.uni-marburg.de/fb03/religionswissenschaft/journal/diskus</w:t>
      </w:r>
      <w:r>
        <w:rPr>
          <w:rFonts w:ascii="Times Roman" w:cs="Times Roman" w:hAnsi="Times Roman" w:eastAsia="Times Roman"/>
          <w:rtl w:val="0"/>
        </w:rPr>
        <w:fldChar w:fldCharType="end" w:fldLock="0"/>
      </w:r>
      <w:r>
        <w:rPr>
          <w:rFonts w:ascii="Times Roman" w:hAnsi="Times Roman"/>
          <w:rtl w:val="0"/>
          <w:lang w:val="en-US"/>
        </w:rPr>
        <w:t xml:space="preserve"> </w:t>
      </w:r>
      <w:r>
        <w:rPr>
          <w:rFonts w:ascii="Times Roman" w:hAnsi="Times Roman"/>
          <w:rtl w:val="0"/>
          <w:lang w:val="en-US"/>
        </w:rPr>
        <w:t xml:space="preserve">[Accessed: </w:t>
      </w:r>
      <w:r>
        <w:rPr>
          <w:rFonts w:ascii="Times Roman" w:hAnsi="Times Roman"/>
          <w:rtl w:val="0"/>
          <w:lang w:val="en-US"/>
        </w:rPr>
        <w:t>14/02/2026</w:t>
      </w:r>
      <w:r>
        <w:rPr>
          <w:rFonts w:ascii="Times Roman" w:hAnsi="Times Roman"/>
          <w:rtl w:val="0"/>
          <w:lang w:val="pt-PT"/>
        </w:rPr>
        <w: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Bowie, F. 2016. 'Negotiating Blurred Boundaries: Ethnographic and Methodological Considerations.' In The Insider/Outsider Debate: New Perspectives in the Study of Religion, edited by George Chryssides and Stephen Gregg. London: Equinox.</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Brink, T. L. 1978. 'Inconsistency of Belief among Roman Catholic Girls: Concerning Religion, Astrology, Reincarnation.' Review of Religious Research, Vol. 20, No. 1: 82-85.</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rtl w:val="0"/>
          <w:lang w:val="en-US"/>
        </w:rPr>
        <w:t>Walker, B. (ed.) 1995. Out of the Ordinary: Folklore and the Supernatural. Logan, Utah: Utah State University Press.</w:t>
      </w:r>
    </w:p>
    <w:p>
      <w:pPr>
        <w:pStyle w:val="Default"/>
        <w:bidi w:val="0"/>
        <w:spacing w:before="0" w:after="240" w:line="240" w:lineRule="auto"/>
        <w:ind w:left="0" w:right="0" w:firstLine="0"/>
        <w:jc w:val="left"/>
        <w:rPr>
          <w:rtl w:val="0"/>
        </w:rPr>
      </w:pPr>
      <w:r>
        <w:rPr>
          <w:rFonts w:ascii="Times Roman" w:hAnsi="Times Roman"/>
          <w:rtl w:val="0"/>
          <w:lang w:val="en-US"/>
        </w:rPr>
        <w:t>York, M. 2004. 'Insider/Outsider Methodological Problems with the Study of Astrology.' Paper presented at the British Association for the Study of Religion 50th Anniversary Conference, Oxford, September 2004.</w:t>
      </w:r>
    </w:p>
    <w:sectPr>
      <w:headerReference w:type="default" r:id="rId5"/>
      <w:footerReference w:type="default" r:id="rId6"/>
      <w:pgSz w:w="12240" w:h="15840" w:orient="portrait"/>
      <w:pgMar w:top="567" w:right="1797" w:bottom="567" w:left="1797" w:header="567"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rebuchet MS">
    <w:charset w:val="00"/>
    <w:family w:val="roman"/>
    <w:pitch w:val="default"/>
  </w:font>
  <w:font w:name="Georgia">
    <w:charset w:val="00"/>
    <w:family w:val="roman"/>
    <w:pitch w:val="default"/>
  </w:font>
  <w:font w:name="Tahoma">
    <w:charset w:val="00"/>
    <w:family w:val="roman"/>
    <w:pitch w:val="default"/>
  </w:font>
  <w:font w:name="Cambria">
    <w:charset w:val="00"/>
    <w:family w:val="roman"/>
    <w:pitch w:val="default"/>
  </w:font>
  <w:font w:name="Chalkduster">
    <w:charset w:val="00"/>
    <w:family w:val="roman"/>
    <w:pitch w:val="default"/>
  </w:font>
  <w:font w:name="Calibri">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626"/>
        <w:tab w:val="clear" w:pos="9026"/>
      </w:tabs>
    </w:pPr>
    <w:r>
      <w:rPr>
        <w:rFonts w:ascii="Trebuchet MS" w:hAnsi="Trebuchet MS"/>
        <w:sz w:val="18"/>
        <w:szCs w:val="18"/>
        <w:rtl w:val="0"/>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