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Title: “A comparison of the marketing methods of two multinational hotel brands”.</w:t>
      </w:r>
    </w:p>
    <w:p>
      <w:pPr>
        <w:spacing w:before="0" w:after="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Student’s Name: Mohammed Ali Hayder</w:t>
      </w:r>
    </w:p>
    <w:p>
      <w:pPr>
        <w:spacing w:before="0" w:after="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Student’s ID: 2210332</w:t>
      </w:r>
    </w:p>
    <w:p>
      <w:pPr>
        <w:spacing w:before="0" w:after="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The module title: Marketing Essentials BMIH4005</w:t>
      </w:r>
    </w:p>
    <w:p>
      <w:pPr>
        <w:spacing w:before="0" w:after="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Lecturer’s Name: Gayathri Senanayake Mudiyanselage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i/>
          <w:color w:val="auto"/>
          <w:spacing w:val="-10"/>
          <w:position w:val="0"/>
          <w:sz w:val="56"/>
          <w:shd w:fill="auto" w:val="clear"/>
        </w:rPr>
      </w:pPr>
      <w:r>
        <w:rPr>
          <w:rFonts w:ascii="Times New Roman" w:hAnsi="Times New Roman" w:cs="Times New Roman" w:eastAsia="Times New Roman"/>
          <w:i/>
          <w:color w:val="auto"/>
          <w:spacing w:val="0"/>
          <w:position w:val="0"/>
          <w:sz w:val="32"/>
          <w:u w:val="single"/>
          <w:shd w:fill="auto" w:val="clear"/>
        </w:rPr>
        <w:t xml:space="preserve">Essay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essay will provide a thorough analysis of the whole marketing strategies used by two renowned worldwide hotel companies, namely Marriot and Ibis. These two companies were chosen as a result of a number of criteria. Full-service hotels and resorts under the Marriott Hotels &amp; Resorts brand are located in Bethesda, Maryland. Currently Marriot has 582 hotels all over the world and are regularly expanding their boundaries. They have approximately 30, 2020 rooms in all their hotels. They are also planning to expand the number of hotels they own as plans suggest that they will have more 160 hotels by the year 2024 respectively. One the other hand Ibis was established during 1974. It is a different kind of hotel than the Marriot as it focused on more styles and decoration to offer their customers of a certain segment. They have their operation going the 67 countries and they have 1218 hotels under their name (Marriott, 2013).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1950s, the Marriott chain had its beginnings in a pair of hotels. The first one was a Quality Inn airport hotel that came up close to Washington, D.C. A few years later, another motel called the Twin Bridges built up in the same general area. A brand name bearing the Marriott name was established with the launch of the second motel. The Key Bridge property is still in operation, although it is now a full-service hotel. In contrast, the Twin Bridges building was destroyed in the year 1990. Camelback Inn was the first resort hotel ever established by Marriott, and it was located in Arizona, United States, in 1967. The first Marriott Hotel &amp; Resort to open outside of the United States was in Acapulco, Mexico, in 1969. This was the beginning of Marriott Hotels &amp; Resorts' expansion outside of the United States. 1975 marked the beginning of Marriott Hotels &amp; Resorts' expansion into Europe with the inauguration of their first European property, the Amsterdam Marriott hotel. During these first several decades of its existence, Marriott International served as owner and manager of a significant number of the properties that were included in its portfolio (Saepudin, Putra and Adrian, 2019). In 1993, the firm made the decision to separate the real estate owning activities into a new company that would be known as Host Marriott.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1974, Bordeaux was the location of the opening of the first Ibis hotel. The Accor group, at the time known as Novotel-SIEH, devised it in order to make Novotel more accessible financially. By the year 1988, Ibis managed 182 hotels around the country of France. In 1983, the first Ibis hotel opened its doors in the United States. The network eventually reached the states of Florida and Georgia in addition to Texa</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However, by the end of the 1980s, Ibis had withdrawn from the market in the United States. By 1995, Ibis had a total of 8 hotels under its management in the UK. The 15-minute guarantee program was introduced by Ibis in 1997. Under this policy, the hotel would pay for a customer's stay if an Ibis hotelier was unable to resolve a problem with the customer's room within 15 minutes (Birkhead et al., 2021). By 2004, Ibis had 700 hotels in 36 countries under its management. Ibis first opened its doors in South Korea in 2003, followed by China and Thailand in 2005. Ibis surpassed the landmark of 100,000 rooms in October 2009 and launched its first hotel in Moscow at the same time. This was followed by the opening of Ibis's 50th hotel in Brazil and its first hotel in Japan. Ibis Hotels &amp; Resorts launched their biggest hotel in the Asia-Pacific area in the year 2012. The corporation classifies its brands as Luxury, Premium, Select, and Longer Stays according to the categories they fall under, respectively (Showstack, 2019).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terms of reputation and prestige Marriott has it all. It has created such a brand image because of their distinctive marketing strategies which are unmatched for their competitors. They basically target the rich segment of the visitors who do not hesitate much to spend if they get their desired service. Their marketing activities fulfil each aspect their potential customers may want to have desire for. For their promotional stuff they are incorporated with more than 30 different brands which makes their brand shine more than their competitors.  The promotional brands include Ritz-Carlton, Sheraton, Renaissance and many more (Pattnaik, 2013). The corporation classifies its brands as Luxury, Premium, Select and Longer stays according to the categories they fall under, respectively. Seeing these variations tourists choose their desired services and hotel rooms. This promotional strategy helps them to gain customer satisfactions as they provide suitable information. They target the advertisement on TVC and other media to deliver their information. Recently the have invested in NBA for their promotion</w:t>
      </w:r>
      <w:r>
        <w:rPr>
          <w:rFonts w:ascii="Times New Roman" w:hAnsi="Times New Roman" w:cs="Times New Roman" w:eastAsia="Times New Roman"/>
          <w:color w:val="FF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is an explanation of the promotional and advertising strategy that is included in the Ibis marketing strategy. Ibis hotels provide unique discounts and deals to customers who make reservations via their website (Giulianelli R, 2013). They offer a loyalty program called Le Club Accor Hotels, which comes with a number of perks such as access to private sales of discounted rates held twice a year 48 hours before they are made available to the general public, online check-in and fast check-out, room upgrades, and free nights, as well as a discount of 40 euros for every 2,000 points that are accumulated. Other advantages, such as accommodations that are accessible two to three days before your arrival and free internet access everywhere you go, are also included in the membership (Silberstein, 2022). There is access to the exclusive Le Club Accor Hotel Lounge as well as complimentary refreshments upon arrival. They run advertisements that are succinct and explain about one of the USPs that ibis delivers with real life circumstances where ibis gives value to the clients. These advertisements are run by ibis. Their commitment to putting the needs of their clients first is reflected in the tagline "for you, you, and you" (White et al., 2021). All of these promotions assist to give it an edge over its competitors and attract new consumers by offering value for those clients</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 helps the company grow.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Apart from that, as the marketing strategy is the part of the marketing mix, the other components are the price, products and place. The Pricing strategy of Marriot demand and supply pricing strategy which actually means the competitive pricing strategy because of covering large number of customers at a time which would increase the volume of their services (Hanh, Chen and Van Hop, 2022). Conversely, the Ibis hotel considers the economical pricing strategy which is more useful than the Marriot as more customers will be covered under this. Another one is the product is the prime concern of two hotels because of having same form of products. Their services are quite same as they belong to the hotel industry. Another component of marketing mix is place that is attractive for both hotel as their business is in a good position in the market.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Establishing meaningful relationships with prospective customers on both a personal and professional level is one strategy that might provide a business an edge in today's highly competitive market environment (Connors and Pearl, 2021). The competition between hotels and other hospitality businesses has heated up as passengers have grown more discerning and aware of emerging trends. Because of this, international hotels should focus their marketing and sales efforts on high-end products and services and cater to their desires. Through targeted marketing efforts, you may build up a solid customer base and keep it going strong. a rigorous examination of the many aspects that influence consumer demand and satisfaction, in addition to careful observation of those aspects themselves (Alshammakh and Azmin, 2021). The production of brand-new goods and services that, when combined with existing ones, let a company meet the requirements and requirements of its clients successfully. It is crucial for a hotel to both maintain the clients it already has and create new customers who are loyal to the brand over time. They are able to supply a variety of combinations, including a mix of possibilities in the professional and leisure spheres.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COVID-19, concerns regarding health increased therefore the Marriot  provided healthcare assistance in order to operate during the pandemic (M, Gurunathan and Rajendran, 2020). The company was also supported through partnerships. To maintain their position the Marriot should offer good pricing and product strategy to attract customers. Moreover, their motive should be based on relationship marketing to grab the whole market. Besides, competitive pricing strategy must be followed to attract custom for example through discounts; economical pricing strategy is a strong area fror Ibis that would attract customers, this should be maintained and mass marketing conducted so that middle and low income groups now about their facilities and the overall reach is extended.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Alshammakh, A.M. and Azmin, A.A. (2021). THE RELATIONSHIP BETWEEN COMPETITIVE INTELLIGENCE PROCESSES AND HOTELS’ PERFORMANCE: EVIDENCE FROM MALAYSIA. </w:t>
      </w:r>
      <w:r>
        <w:rPr>
          <w:rFonts w:ascii="Times New Roman" w:hAnsi="Times New Roman" w:cs="Times New Roman" w:eastAsia="Times New Roman"/>
          <w:i/>
          <w:color w:val="auto"/>
          <w:spacing w:val="0"/>
          <w:position w:val="0"/>
          <w:sz w:val="24"/>
          <w:shd w:fill="auto" w:val="clear"/>
        </w:rPr>
        <w:t xml:space="preserve">Journal of Tourism, Hospitality and Environment Management</w:t>
      </w:r>
      <w:r>
        <w:rPr>
          <w:rFonts w:ascii="Times New Roman" w:hAnsi="Times New Roman" w:cs="Times New Roman" w:eastAsia="Times New Roman"/>
          <w:color w:val="auto"/>
          <w:spacing w:val="0"/>
          <w:position w:val="0"/>
          <w:sz w:val="24"/>
          <w:shd w:fill="auto" w:val="clear"/>
        </w:rPr>
        <w:t xml:space="preserve">, 6(26), pp.27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46. doi:10.35631/jthem.626002.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Birkhead, T.R., Fiebig, J., Montgomerie, R. and Schulze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Hagen, K. (2021). The Great Auk ( Pinguinus impennis ) had two brood patches, not one: confirmation and implications. </w:t>
      </w:r>
      <w:r>
        <w:rPr>
          <w:rFonts w:ascii="Times New Roman" w:hAnsi="Times New Roman" w:cs="Times New Roman" w:eastAsia="Times New Roman"/>
          <w:i/>
          <w:color w:val="auto"/>
          <w:spacing w:val="0"/>
          <w:position w:val="0"/>
          <w:sz w:val="24"/>
          <w:shd w:fill="auto" w:val="clear"/>
        </w:rPr>
        <w:t xml:space="preserve">Ibis</w:t>
      </w:r>
      <w:r>
        <w:rPr>
          <w:rFonts w:ascii="Times New Roman" w:hAnsi="Times New Roman" w:cs="Times New Roman" w:eastAsia="Times New Roman"/>
          <w:color w:val="auto"/>
          <w:spacing w:val="0"/>
          <w:position w:val="0"/>
          <w:sz w:val="24"/>
          <w:shd w:fill="auto" w:val="clear"/>
        </w:rPr>
        <w:t xml:space="preserve">. doi:10.1111/ibi.13019.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Connors, L.J. and Pearl, J.H. (2021). Introduction: Scholarship across the Aisle (Establishing Meaningful Scholarly Relationships Outside of One’s Linguistic/Cultural Tradition). </w:t>
      </w:r>
      <w:r>
        <w:rPr>
          <w:rFonts w:ascii="Times New Roman" w:hAnsi="Times New Roman" w:cs="Times New Roman" w:eastAsia="Times New Roman"/>
          <w:i/>
          <w:color w:val="auto"/>
          <w:spacing w:val="0"/>
          <w:position w:val="0"/>
          <w:sz w:val="24"/>
          <w:shd w:fill="auto" w:val="clear"/>
        </w:rPr>
        <w:t xml:space="preserve">Studies in Eighteenth-Century Culture</w:t>
      </w:r>
      <w:r>
        <w:rPr>
          <w:rFonts w:ascii="Times New Roman" w:hAnsi="Times New Roman" w:cs="Times New Roman" w:eastAsia="Times New Roman"/>
          <w:color w:val="auto"/>
          <w:spacing w:val="0"/>
          <w:position w:val="0"/>
          <w:sz w:val="24"/>
          <w:shd w:fill="auto" w:val="clear"/>
        </w:rPr>
        <w:t xml:space="preserve">, 50(1), pp.25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29. doi:10.1353/sec.2021.0004.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Gheribi, E. (2018). Competition Strategies of Selected International Hotels Groups on the Polish Market. </w:t>
      </w:r>
      <w:r>
        <w:rPr>
          <w:rFonts w:ascii="Times New Roman" w:hAnsi="Times New Roman" w:cs="Times New Roman" w:eastAsia="Times New Roman"/>
          <w:i/>
          <w:color w:val="auto"/>
          <w:spacing w:val="0"/>
          <w:position w:val="0"/>
          <w:sz w:val="24"/>
          <w:shd w:fill="auto" w:val="clear"/>
        </w:rPr>
        <w:t xml:space="preserve">Journal of Tourism &amp; Hospitality</w:t>
      </w:r>
      <w:r>
        <w:rPr>
          <w:rFonts w:ascii="Times New Roman" w:hAnsi="Times New Roman" w:cs="Times New Roman" w:eastAsia="Times New Roman"/>
          <w:color w:val="auto"/>
          <w:spacing w:val="0"/>
          <w:position w:val="0"/>
          <w:sz w:val="24"/>
          <w:shd w:fill="auto" w:val="clear"/>
        </w:rPr>
        <w:t xml:space="preserve">, 07(05). doi:10.4172/2167-0269.1000381.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Giulianelli R, R.G. (2013). Urethral Diverticula Following Explanation of Artificial Urinary Sphincter. </w:t>
      </w:r>
      <w:r>
        <w:rPr>
          <w:rFonts w:ascii="Times New Roman" w:hAnsi="Times New Roman" w:cs="Times New Roman" w:eastAsia="Times New Roman"/>
          <w:i/>
          <w:color w:val="auto"/>
          <w:spacing w:val="0"/>
          <w:position w:val="0"/>
          <w:sz w:val="24"/>
          <w:shd w:fill="auto" w:val="clear"/>
        </w:rPr>
        <w:t xml:space="preserve">Journal of Genital System &amp; Disorders</w:t>
      </w:r>
      <w:r>
        <w:rPr>
          <w:rFonts w:ascii="Times New Roman" w:hAnsi="Times New Roman" w:cs="Times New Roman" w:eastAsia="Times New Roman"/>
          <w:color w:val="auto"/>
          <w:spacing w:val="0"/>
          <w:position w:val="0"/>
          <w:sz w:val="24"/>
          <w:shd w:fill="auto" w:val="clear"/>
        </w:rPr>
        <w:t xml:space="preserve">, 02(03). doi:10.4172/2325-9728.1000112.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Hanh, N.T.M., Chen, J.M. and Van Hop, N. (2022). Pricing strategy and order quantity allocation with price-sensitive demand in three-echelon supply chain. </w:t>
      </w:r>
      <w:r>
        <w:rPr>
          <w:rFonts w:ascii="Times New Roman" w:hAnsi="Times New Roman" w:cs="Times New Roman" w:eastAsia="Times New Roman"/>
          <w:i/>
          <w:color w:val="auto"/>
          <w:spacing w:val="0"/>
          <w:position w:val="0"/>
          <w:sz w:val="24"/>
          <w:shd w:fill="auto" w:val="clear"/>
        </w:rPr>
        <w:t xml:space="preserve">Expert Systems with Applications</w:t>
      </w:r>
      <w:r>
        <w:rPr>
          <w:rFonts w:ascii="Times New Roman" w:hAnsi="Times New Roman" w:cs="Times New Roman" w:eastAsia="Times New Roman"/>
          <w:color w:val="auto"/>
          <w:spacing w:val="0"/>
          <w:position w:val="0"/>
          <w:sz w:val="24"/>
          <w:shd w:fill="auto" w:val="clear"/>
        </w:rPr>
        <w:t xml:space="preserve">, 206, p.117873. doi:10.1016/j.eswa.2022.117873.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Jun, S.M. (2019). Consumer Satisfaction on On-Demand O2O Service. </w:t>
      </w:r>
      <w:r>
        <w:rPr>
          <w:rFonts w:ascii="Times New Roman" w:hAnsi="Times New Roman" w:cs="Times New Roman" w:eastAsia="Times New Roman"/>
          <w:i/>
          <w:color w:val="auto"/>
          <w:spacing w:val="0"/>
          <w:position w:val="0"/>
          <w:sz w:val="24"/>
          <w:shd w:fill="auto" w:val="clear"/>
        </w:rPr>
        <w:t xml:space="preserve">Journal of Consumer Studies</w:t>
      </w:r>
      <w:r>
        <w:rPr>
          <w:rFonts w:ascii="Times New Roman" w:hAnsi="Times New Roman" w:cs="Times New Roman" w:eastAsia="Times New Roman"/>
          <w:color w:val="auto"/>
          <w:spacing w:val="0"/>
          <w:position w:val="0"/>
          <w:sz w:val="24"/>
          <w:shd w:fill="auto" w:val="clear"/>
        </w:rPr>
        <w:t xml:space="preserve">, 30(5), pp.53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75. doi:10.35736/jcs.30.5.3.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Logan, C. and Brand, D. (2017). Participation: An Ethic for New Architecture in Historic Settings. </w:t>
      </w:r>
      <w:r>
        <w:rPr>
          <w:rFonts w:ascii="Times New Roman" w:hAnsi="Times New Roman" w:cs="Times New Roman" w:eastAsia="Times New Roman"/>
          <w:i/>
          <w:color w:val="auto"/>
          <w:spacing w:val="0"/>
          <w:position w:val="0"/>
          <w:sz w:val="24"/>
          <w:shd w:fill="auto" w:val="clear"/>
        </w:rPr>
        <w:t xml:space="preserve">Change Over Time</w:t>
      </w:r>
      <w:r>
        <w:rPr>
          <w:rFonts w:ascii="Times New Roman" w:hAnsi="Times New Roman" w:cs="Times New Roman" w:eastAsia="Times New Roman"/>
          <w:color w:val="auto"/>
          <w:spacing w:val="0"/>
          <w:position w:val="0"/>
          <w:sz w:val="24"/>
          <w:shd w:fill="auto" w:val="clear"/>
        </w:rPr>
        <w:t xml:space="preserve">, 7(2), pp.272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289. doi:10.1353/cot.2017.0015.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 M., Gurunathan, D. and Rajendran, D. (2020). Parents Concern Regarding Dental Treatment for Children During COVID-19 - A Survey. </w:t>
      </w:r>
      <w:r>
        <w:rPr>
          <w:rFonts w:ascii="Times New Roman" w:hAnsi="Times New Roman" w:cs="Times New Roman" w:eastAsia="Times New Roman"/>
          <w:i/>
          <w:color w:val="auto"/>
          <w:spacing w:val="0"/>
          <w:position w:val="0"/>
          <w:sz w:val="24"/>
          <w:shd w:fill="auto" w:val="clear"/>
        </w:rPr>
        <w:t xml:space="preserve">International Journal of Current Research and Review</w:t>
      </w:r>
      <w:r>
        <w:rPr>
          <w:rFonts w:ascii="Times New Roman" w:hAnsi="Times New Roman" w:cs="Times New Roman" w:eastAsia="Times New Roman"/>
          <w:color w:val="auto"/>
          <w:spacing w:val="0"/>
          <w:position w:val="0"/>
          <w:sz w:val="24"/>
          <w:shd w:fill="auto" w:val="clear"/>
        </w:rPr>
        <w:t xml:space="preserve">, 12(19), pp.74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83. doi:10.31782/ijcrr.2020.sp09.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(2013). </w:t>
      </w:r>
      <w:r>
        <w:rPr>
          <w:rFonts w:ascii="Times New Roman" w:hAnsi="Times New Roman" w:cs="Times New Roman" w:eastAsia="Times New Roman"/>
          <w:i/>
          <w:color w:val="auto"/>
          <w:spacing w:val="0"/>
          <w:position w:val="0"/>
          <w:sz w:val="24"/>
          <w:shd w:fill="auto" w:val="clear"/>
        </w:rPr>
        <w:t xml:space="preserve">Hotels &amp; Resorts | Book your Hotel directly with Marriott Bonvoy</w:t>
      </w:r>
      <w:r>
        <w:rPr>
          <w:rFonts w:ascii="Times New Roman" w:hAnsi="Times New Roman" w:cs="Times New Roman" w:eastAsia="Times New Roman"/>
          <w:color w:val="auto"/>
          <w:spacing w:val="0"/>
          <w:position w:val="0"/>
          <w:sz w:val="24"/>
          <w:shd w:fill="auto" w:val="clear"/>
        </w:rPr>
        <w:t xml:space="preserve">. [online] Marriott.com.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https://www.marriott.com/default.mi</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Pattnaik, M. (2013). Optimization in an instantaneous economic order quantity (EOQ) model incorporated with promotional effort cost, variable ordering cost and units lost due to deterioration. </w:t>
      </w:r>
      <w:r>
        <w:rPr>
          <w:rFonts w:ascii="Times New Roman" w:hAnsi="Times New Roman" w:cs="Times New Roman" w:eastAsia="Times New Roman"/>
          <w:i/>
          <w:color w:val="auto"/>
          <w:spacing w:val="0"/>
          <w:position w:val="0"/>
          <w:sz w:val="24"/>
          <w:shd w:fill="auto" w:val="clear"/>
        </w:rPr>
        <w:t xml:space="preserve">Uncertain Supply Chain Management</w:t>
      </w:r>
      <w:r>
        <w:rPr>
          <w:rFonts w:ascii="Times New Roman" w:hAnsi="Times New Roman" w:cs="Times New Roman" w:eastAsia="Times New Roman"/>
          <w:color w:val="auto"/>
          <w:spacing w:val="0"/>
          <w:position w:val="0"/>
          <w:sz w:val="24"/>
          <w:shd w:fill="auto" w:val="clear"/>
        </w:rPr>
        <w:t xml:space="preserve">, 1(2), pp.57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66. doi:10.5267/j.uscm.2013.06.005.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Saepudin, P., Putra, F.K.K. and Adrian, I.G.A.W. (2019). Feasibility study for full-service independent hotel : A case study in hotel X Bandung, Indonesia. </w:t>
      </w:r>
      <w:r>
        <w:rPr>
          <w:rFonts w:ascii="Times New Roman" w:hAnsi="Times New Roman" w:cs="Times New Roman" w:eastAsia="Times New Roman"/>
          <w:i/>
          <w:color w:val="auto"/>
          <w:spacing w:val="0"/>
          <w:position w:val="0"/>
          <w:sz w:val="24"/>
          <w:shd w:fill="auto" w:val="clear"/>
        </w:rPr>
        <w:t xml:space="preserve">Journal of Economics, Business &amp; Accountancy Ventura</w:t>
      </w:r>
      <w:r>
        <w:rPr>
          <w:rFonts w:ascii="Times New Roman" w:hAnsi="Times New Roman" w:cs="Times New Roman" w:eastAsia="Times New Roman"/>
          <w:color w:val="auto"/>
          <w:spacing w:val="0"/>
          <w:position w:val="0"/>
          <w:sz w:val="24"/>
          <w:shd w:fill="auto" w:val="clear"/>
        </w:rPr>
        <w:t xml:space="preserve">, 22(1). doi:10.14414/jebav.v22i1.1662.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Showstack, R. (2019). Mayor Signs Landmark Clean Energy Law for D.C. </w:t>
      </w:r>
      <w:r>
        <w:rPr>
          <w:rFonts w:ascii="Times New Roman" w:hAnsi="Times New Roman" w:cs="Times New Roman" w:eastAsia="Times New Roman"/>
          <w:i/>
          <w:color w:val="auto"/>
          <w:spacing w:val="0"/>
          <w:position w:val="0"/>
          <w:sz w:val="24"/>
          <w:shd w:fill="auto" w:val="clear"/>
        </w:rPr>
        <w:t xml:space="preserve">Eos</w:t>
      </w:r>
      <w:r>
        <w:rPr>
          <w:rFonts w:ascii="Times New Roman" w:hAnsi="Times New Roman" w:cs="Times New Roman" w:eastAsia="Times New Roman"/>
          <w:color w:val="auto"/>
          <w:spacing w:val="0"/>
          <w:position w:val="0"/>
          <w:sz w:val="24"/>
          <w:shd w:fill="auto" w:val="clear"/>
        </w:rPr>
        <w:t xml:space="preserve">, 100. doi:10.1029/2019eo114189.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Silberstein, D. (2022). Not an exclusive club anymore. </w:t>
      </w:r>
      <w:r>
        <w:rPr>
          <w:rFonts w:ascii="Times New Roman" w:hAnsi="Times New Roman" w:cs="Times New Roman" w:eastAsia="Times New Roman"/>
          <w:i/>
          <w:color w:val="auto"/>
          <w:spacing w:val="0"/>
          <w:position w:val="0"/>
          <w:sz w:val="24"/>
          <w:shd w:fill="auto" w:val="clear"/>
        </w:rPr>
        <w:t xml:space="preserve">Developmental Observer</w:t>
      </w:r>
      <w:r>
        <w:rPr>
          <w:rFonts w:ascii="Times New Roman" w:hAnsi="Times New Roman" w:cs="Times New Roman" w:eastAsia="Times New Roman"/>
          <w:color w:val="auto"/>
          <w:spacing w:val="0"/>
          <w:position w:val="0"/>
          <w:sz w:val="24"/>
          <w:shd w:fill="auto" w:val="clear"/>
        </w:rPr>
        <w:t xml:space="preserve">, 15(2). doi:10.14434/do.v15i2.34366.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Wang, Y., Wang, X. and Zhong, H. (2011). A Thorough Analysis on Chinese livelihood. </w:t>
      </w:r>
      <w:r>
        <w:rPr>
          <w:rFonts w:ascii="Times New Roman" w:hAnsi="Times New Roman" w:cs="Times New Roman" w:eastAsia="Times New Roman"/>
          <w:i/>
          <w:color w:val="auto"/>
          <w:spacing w:val="0"/>
          <w:position w:val="0"/>
          <w:sz w:val="24"/>
          <w:shd w:fill="auto" w:val="clear"/>
        </w:rPr>
        <w:t xml:space="preserve">Procedia Engineering</w:t>
      </w:r>
      <w:r>
        <w:rPr>
          <w:rFonts w:ascii="Times New Roman" w:hAnsi="Times New Roman" w:cs="Times New Roman" w:eastAsia="Times New Roman"/>
          <w:color w:val="auto"/>
          <w:spacing w:val="0"/>
          <w:position w:val="0"/>
          <w:sz w:val="24"/>
          <w:shd w:fill="auto" w:val="clear"/>
        </w:rPr>
        <w:t xml:space="preserve">, 15, pp.5305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5309. doi:10.1016/j.proeng.2011.08.983.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White, R.G., Bethell, A., Charnock, L., Leckey, S., Penpraze, V. and Link, S. (2021). </w:t>
      </w:r>
      <w:r>
        <w:rPr>
          <w:rFonts w:ascii="Times New Roman" w:hAnsi="Times New Roman" w:cs="Times New Roman" w:eastAsia="Times New Roman"/>
          <w:i/>
          <w:color w:val="auto"/>
          <w:spacing w:val="0"/>
          <w:position w:val="0"/>
          <w:sz w:val="24"/>
          <w:shd w:fill="auto" w:val="clear"/>
        </w:rPr>
        <w:t xml:space="preserve">Acceptance and commitment approaches for athletes’ wellbeing and performance : the flexible mind</w:t>
      </w:r>
      <w:r>
        <w:rPr>
          <w:rFonts w:ascii="Times New Roman" w:hAnsi="Times New Roman" w:cs="Times New Roman" w:eastAsia="Times New Roman"/>
          <w:color w:val="auto"/>
          <w:spacing w:val="0"/>
          <w:position w:val="0"/>
          <w:sz w:val="24"/>
          <w:shd w:fill="auto" w:val="clear"/>
        </w:rPr>
        <w:t xml:space="preserve">. Basingstoke: Palgrave Macmillan.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arriott.com/default.mi"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