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3A3A802D" w14:textId="2EA31141" w:rsidR="33572C6E" w:rsidRDefault="7908378C" w:rsidP="33572C6E">
            <w:pPr>
              <w:ind w:right="237"/>
              <w:rPr>
                <w:b/>
                <w:bCs/>
                <w:color w:val="auto"/>
                <w:sz w:val="32"/>
                <w:szCs w:val="32"/>
              </w:rPr>
            </w:pPr>
            <w:r w:rsidRPr="33572C6E">
              <w:rPr>
                <w:b/>
                <w:bCs/>
                <w:color w:val="auto"/>
                <w:sz w:val="32"/>
                <w:szCs w:val="32"/>
              </w:rPr>
              <w:t>Learner name:</w:t>
            </w:r>
            <w:r w:rsidR="00877252">
              <w:rPr>
                <w:b/>
                <w:bCs/>
                <w:color w:val="auto"/>
                <w:sz w:val="32"/>
                <w:szCs w:val="32"/>
              </w:rPr>
              <w:t xml:space="preserve"> Cerys Jones </w:t>
            </w:r>
          </w:p>
          <w:p w14:paraId="7944B67F" w14:textId="77777777" w:rsidR="00877252" w:rsidRDefault="00877252"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3637D6D5" w:rsidR="7908378C" w:rsidRDefault="00877252" w:rsidP="33572C6E">
            <w:pPr>
              <w:ind w:right="237"/>
              <w:rPr>
                <w:b/>
                <w:bCs/>
                <w:color w:val="auto"/>
                <w:sz w:val="32"/>
                <w:szCs w:val="32"/>
              </w:rPr>
            </w:pPr>
            <w:r>
              <w:rPr>
                <w:b/>
                <w:color w:val="auto"/>
                <w:sz w:val="32"/>
              </w:rPr>
              <w:t>2319754</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5F8928E7"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4578E4">
        <w:rPr>
          <w:b/>
          <w:bCs/>
          <w:i/>
          <w:iCs/>
          <w:color w:val="auto"/>
          <w:sz w:val="24"/>
          <w:szCs w:val="24"/>
        </w:rPr>
        <w:t>9</w:t>
      </w:r>
      <w:r w:rsidR="3DBF3393" w:rsidRPr="45B99DA0">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E20594">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E20594">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E20594">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E20594">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rsidP="00E20594">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E20594">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E20594">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E20594">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3EFE5FE8" w:rsidP="3EFE5FE8">
      <w:pPr>
        <w:jc w:val="both"/>
      </w:pPr>
      <w:hyperlink r:id="rId13">
        <w:r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E20594">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E20594">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E20594">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E20594">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E20594">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E20594">
      <w:pPr>
        <w:numPr>
          <w:ilvl w:val="0"/>
          <w:numId w:val="3"/>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00E20594">
      <w:pPr>
        <w:numPr>
          <w:ilvl w:val="0"/>
          <w:numId w:val="3"/>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00E20594">
      <w:pPr>
        <w:numPr>
          <w:ilvl w:val="0"/>
          <w:numId w:val="3"/>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00E20594">
      <w:pPr>
        <w:numPr>
          <w:ilvl w:val="0"/>
          <w:numId w:val="3"/>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32933C98" w14:textId="630BE021" w:rsidR="00AA666E" w:rsidRDefault="00AA666E" w:rsidP="00340E9A">
      <w:pPr>
        <w:ind w:right="237"/>
        <w:rPr>
          <w:sz w:val="24"/>
          <w:szCs w:val="24"/>
        </w:rPr>
      </w:pPr>
    </w:p>
    <w:p w14:paraId="3E610B36" w14:textId="77777777" w:rsidR="00C63C30" w:rsidRPr="00E676F7" w:rsidRDefault="00C63C30" w:rsidP="00340E9A">
      <w:pPr>
        <w:ind w:right="237"/>
      </w:pP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4BBC525A" w14:textId="2BF7FB79"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1E96D16A" w14:textId="302F013D" w:rsidR="5B843AF0" w:rsidRPr="00E676F7" w:rsidRDefault="5B843AF0" w:rsidP="5B843AF0">
      <w:pPr>
        <w:ind w:right="237"/>
        <w:jc w:val="center"/>
        <w:rPr>
          <w:b/>
          <w:bCs/>
          <w:sz w:val="24"/>
          <w:szCs w:val="24"/>
        </w:rPr>
      </w:pPr>
      <w:bookmarkStart w:id="0" w:name="_Hlk188462102"/>
    </w:p>
    <w:bookmarkEnd w:id="0"/>
    <w:p w14:paraId="0158DD5A" w14:textId="6657B9DD" w:rsidR="00286848" w:rsidRDefault="00286848" w:rsidP="003713B7">
      <w:pPr>
        <w:spacing w:line="360" w:lineRule="auto"/>
      </w:pPr>
      <w:r>
        <w:t>This essay will discuss a policing incident I have dealt with in which I played a significant role with a victim of crime</w:t>
      </w:r>
      <w:r w:rsidR="00DD05A9">
        <w:t xml:space="preserve">. This essay will </w:t>
      </w:r>
      <w:r w:rsidR="00F4011C">
        <w:t xml:space="preserve">begin by </w:t>
      </w:r>
      <w:r>
        <w:t>explor</w:t>
      </w:r>
      <w:r w:rsidR="00F4011C">
        <w:t>ing</w:t>
      </w:r>
      <w:r>
        <w:t xml:space="preserve"> this incident in terms of its social and legislative context. This essay will</w:t>
      </w:r>
      <w:r w:rsidR="00F4011C">
        <w:t xml:space="preserve"> then</w:t>
      </w:r>
      <w:r>
        <w:t xml:space="preserve"> use Borton’s (1970) reflective model to critically evaluate the appropriateness of different approaches to supporting and managing vulnerable people. Borton’s reflective model asks three questions, the first being “What?” which will discuss what approaches are used by different agencies to help manage and support vulnerable people. The second question “So what?” will discuss the benefits and limitations of these approaches and the last question “Now what?” will discuss the implications </w:t>
      </w:r>
      <w:r w:rsidR="00073470">
        <w:t xml:space="preserve">of these </w:t>
      </w:r>
      <w:r w:rsidR="00660891">
        <w:t>approaches</w:t>
      </w:r>
      <w:r>
        <w:t xml:space="preserve"> and how these approaches can be improved. This essay will then discuss what works in tackling repeat victimisation and offending and will do so through the lens of evidence-based policing (EBP) and the OSARA model. The OSARA model </w:t>
      </w:r>
      <w:r w:rsidR="00E938B9">
        <w:t>is</w:t>
      </w:r>
      <w:r>
        <w:t xml:space="preserve"> a model that stands for: objective, scanning, analysis, response and assessment which aims to understand the objective of an initiative, what and why there is a problem, how it’s going to be dealt with and was the objective achieved (Rabaiotti, E. and Harrison, M., 2023).</w:t>
      </w:r>
      <w:r w:rsidR="00C829CB">
        <w:t xml:space="preserve"> This essay will use this model to </w:t>
      </w:r>
      <w:r w:rsidR="007A07D8">
        <w:t xml:space="preserve">understand how effect </w:t>
      </w:r>
      <w:r w:rsidR="005E0E11">
        <w:t xml:space="preserve">examples of EBP </w:t>
      </w:r>
      <w:r w:rsidR="00CF7AF7">
        <w:t xml:space="preserve">tactics </w:t>
      </w:r>
      <w:r w:rsidR="007A07D8">
        <w:t xml:space="preserve">are in terms of tackling repeat victimisation and offending. </w:t>
      </w:r>
    </w:p>
    <w:p w14:paraId="49308828" w14:textId="77777777" w:rsidR="00286848" w:rsidRDefault="00286848" w:rsidP="003713B7">
      <w:pPr>
        <w:spacing w:line="360" w:lineRule="auto"/>
      </w:pPr>
    </w:p>
    <w:p w14:paraId="65E444CA" w14:textId="77777777" w:rsidR="00286848" w:rsidRDefault="00286848" w:rsidP="003713B7">
      <w:pPr>
        <w:spacing w:line="360" w:lineRule="auto"/>
      </w:pPr>
      <w:r>
        <w:t xml:space="preserve">The incident this essay is centred around is a domestic incident in which a female was being coercively controlled by her partner for a number of years. The relationship had elements of emotional, physical and financial abuse. </w:t>
      </w:r>
    </w:p>
    <w:p w14:paraId="012FF206" w14:textId="77777777" w:rsidR="00286848" w:rsidRDefault="00286848" w:rsidP="003713B7">
      <w:pPr>
        <w:spacing w:line="360" w:lineRule="auto"/>
      </w:pPr>
    </w:p>
    <w:p w14:paraId="27646E3A" w14:textId="77777777" w:rsidR="00286848" w:rsidRDefault="00286848" w:rsidP="003713B7">
      <w:pPr>
        <w:spacing w:line="360" w:lineRule="auto"/>
      </w:pPr>
      <w:r>
        <w:lastRenderedPageBreak/>
        <w:t>Domestic abuse (DA) is defined as any behaviour that is abusive and occurs between people who are aged 16 and over and are personally connected. Behaviour is abusive if it consist of the following:</w:t>
      </w:r>
    </w:p>
    <w:p w14:paraId="52E57AB1" w14:textId="77777777" w:rsidR="00286848" w:rsidRDefault="00286848" w:rsidP="003713B7">
      <w:pPr>
        <w:spacing w:line="360" w:lineRule="auto"/>
      </w:pPr>
    </w:p>
    <w:p w14:paraId="48A0B28D" w14:textId="77777777" w:rsidR="00286848" w:rsidRDefault="00286848" w:rsidP="003713B7">
      <w:pPr>
        <w:pStyle w:val="ListParagraph"/>
        <w:numPr>
          <w:ilvl w:val="0"/>
          <w:numId w:val="7"/>
        </w:numPr>
        <w:overflowPunct/>
        <w:autoSpaceDE/>
        <w:autoSpaceDN/>
        <w:adjustRightInd/>
        <w:spacing w:after="160" w:line="360" w:lineRule="auto"/>
        <w:textAlignment w:val="auto"/>
      </w:pPr>
      <w:r>
        <w:t xml:space="preserve">Physical or sexual abuse </w:t>
      </w:r>
    </w:p>
    <w:p w14:paraId="57EEB013" w14:textId="77777777" w:rsidR="00286848" w:rsidRDefault="00286848" w:rsidP="003713B7">
      <w:pPr>
        <w:pStyle w:val="ListParagraph"/>
        <w:numPr>
          <w:ilvl w:val="0"/>
          <w:numId w:val="7"/>
        </w:numPr>
        <w:overflowPunct/>
        <w:autoSpaceDE/>
        <w:autoSpaceDN/>
        <w:adjustRightInd/>
        <w:spacing w:after="160" w:line="360" w:lineRule="auto"/>
        <w:textAlignment w:val="auto"/>
      </w:pPr>
      <w:r>
        <w:t xml:space="preserve">Violent or threatening behaviour </w:t>
      </w:r>
    </w:p>
    <w:p w14:paraId="7AE5B578" w14:textId="77777777" w:rsidR="00286848" w:rsidRDefault="00286848" w:rsidP="003713B7">
      <w:pPr>
        <w:pStyle w:val="ListParagraph"/>
        <w:numPr>
          <w:ilvl w:val="0"/>
          <w:numId w:val="7"/>
        </w:numPr>
        <w:overflowPunct/>
        <w:autoSpaceDE/>
        <w:autoSpaceDN/>
        <w:adjustRightInd/>
        <w:spacing w:after="160" w:line="360" w:lineRule="auto"/>
        <w:textAlignment w:val="auto"/>
      </w:pPr>
      <w:r>
        <w:t xml:space="preserve">Controlling or coercive behaviour </w:t>
      </w:r>
    </w:p>
    <w:p w14:paraId="596FC45D" w14:textId="77777777" w:rsidR="00286848" w:rsidRDefault="00286848" w:rsidP="003713B7">
      <w:pPr>
        <w:pStyle w:val="ListParagraph"/>
        <w:numPr>
          <w:ilvl w:val="0"/>
          <w:numId w:val="7"/>
        </w:numPr>
        <w:overflowPunct/>
        <w:autoSpaceDE/>
        <w:autoSpaceDN/>
        <w:adjustRightInd/>
        <w:spacing w:after="160" w:line="360" w:lineRule="auto"/>
        <w:textAlignment w:val="auto"/>
      </w:pPr>
      <w:r>
        <w:t xml:space="preserve">Economic abuse </w:t>
      </w:r>
    </w:p>
    <w:p w14:paraId="2FCD02B8" w14:textId="77777777" w:rsidR="00286848" w:rsidRDefault="00286848" w:rsidP="003713B7">
      <w:pPr>
        <w:pStyle w:val="ListParagraph"/>
        <w:numPr>
          <w:ilvl w:val="0"/>
          <w:numId w:val="7"/>
        </w:numPr>
        <w:overflowPunct/>
        <w:autoSpaceDE/>
        <w:autoSpaceDN/>
        <w:adjustRightInd/>
        <w:spacing w:after="160" w:line="360" w:lineRule="auto"/>
        <w:textAlignment w:val="auto"/>
      </w:pPr>
      <w:r>
        <w:t xml:space="preserve">Psychological, emotional or other abuse. </w:t>
      </w:r>
    </w:p>
    <w:p w14:paraId="66EE2C00" w14:textId="77777777" w:rsidR="00286848" w:rsidRDefault="00286848" w:rsidP="003713B7">
      <w:pPr>
        <w:spacing w:line="360" w:lineRule="auto"/>
      </w:pPr>
      <w:r>
        <w:t xml:space="preserve">(COP, 2015a) </w:t>
      </w:r>
    </w:p>
    <w:p w14:paraId="5A1AF010" w14:textId="77777777" w:rsidR="00286848" w:rsidRDefault="00286848" w:rsidP="003713B7">
      <w:pPr>
        <w:spacing w:line="360" w:lineRule="auto"/>
        <w:ind w:right="237"/>
        <w:rPr>
          <w:sz w:val="24"/>
          <w:szCs w:val="24"/>
        </w:rPr>
      </w:pPr>
    </w:p>
    <w:p w14:paraId="56787D83" w14:textId="77777777" w:rsidR="00286848" w:rsidRDefault="00286848" w:rsidP="003713B7">
      <w:pPr>
        <w:spacing w:line="360" w:lineRule="auto"/>
        <w:ind w:right="237"/>
      </w:pPr>
      <w:r>
        <w:t xml:space="preserve">The Crime Survey for England and Wales estimates that approximately 2.3 million people aged 16 and above experienced DA in 2024 (ONS, 2024). Statistics show that 1 in 4 women experience DA at least once in their lifetime and a large percentage of abuse is experienced by a partner, ex-partner or family member (ONS, 2024; Refuge, 2024). Females are statically more likely to be repeat victims and males more likely to be perpetrators (Weir, 2024). Victims of DA are a vulnerable category of victims. Vulnerability is defined as someone who, due to their situation or circumstances, cannot properly care for themselves or protect themselves from the risk of harm (COP, 2020). By definition DA victims are therefore vulnerable as often than not they cannot protect themselves from harm or abuse especially if the abuse is from their current partner. </w:t>
      </w:r>
    </w:p>
    <w:p w14:paraId="6773F36A" w14:textId="77777777" w:rsidR="00286848" w:rsidRDefault="00286848" w:rsidP="003713B7">
      <w:pPr>
        <w:spacing w:line="360" w:lineRule="auto"/>
        <w:ind w:right="237"/>
      </w:pPr>
    </w:p>
    <w:p w14:paraId="664E07C4" w14:textId="77777777" w:rsidR="00286848" w:rsidRDefault="00286848" w:rsidP="003713B7">
      <w:pPr>
        <w:spacing w:line="360" w:lineRule="auto"/>
        <w:ind w:right="237"/>
      </w:pPr>
      <w:r>
        <w:t xml:space="preserve">The legislative context of this incident centres around coercive and controlling behaviour (CCB). CCB is defined as the following: </w:t>
      </w:r>
    </w:p>
    <w:p w14:paraId="5A8CD75F" w14:textId="77777777" w:rsidR="00286848" w:rsidRDefault="00286848" w:rsidP="003713B7">
      <w:pPr>
        <w:spacing w:line="360" w:lineRule="auto"/>
        <w:ind w:right="237"/>
      </w:pPr>
    </w:p>
    <w:p w14:paraId="682F4A4D" w14:textId="77777777" w:rsidR="00286848" w:rsidRDefault="00286848" w:rsidP="003713B7">
      <w:pPr>
        <w:spacing w:line="360" w:lineRule="auto"/>
        <w:ind w:left="360" w:right="237"/>
      </w:pPr>
      <w:r>
        <w:t xml:space="preserve">A person (A) commits an offence if: </w:t>
      </w:r>
    </w:p>
    <w:p w14:paraId="7942504C" w14:textId="77777777" w:rsidR="00286848" w:rsidRDefault="00286848" w:rsidP="003713B7">
      <w:pPr>
        <w:spacing w:line="360" w:lineRule="auto"/>
        <w:ind w:left="360" w:right="237"/>
      </w:pPr>
    </w:p>
    <w:p w14:paraId="000F7C22" w14:textId="77777777" w:rsidR="00286848" w:rsidRDefault="00286848" w:rsidP="003713B7">
      <w:pPr>
        <w:pStyle w:val="ListParagraph"/>
        <w:numPr>
          <w:ilvl w:val="0"/>
          <w:numId w:val="8"/>
        </w:numPr>
        <w:spacing w:line="360" w:lineRule="auto"/>
        <w:ind w:left="1080" w:right="237"/>
      </w:pPr>
      <w:r>
        <w:t xml:space="preserve">A repeatedly or continuously engages in behaviour towards another person B that is controlling or coercive. </w:t>
      </w:r>
    </w:p>
    <w:p w14:paraId="6D19D607" w14:textId="77777777" w:rsidR="00286848" w:rsidRDefault="00286848" w:rsidP="003713B7">
      <w:pPr>
        <w:pStyle w:val="ListParagraph"/>
        <w:numPr>
          <w:ilvl w:val="0"/>
          <w:numId w:val="8"/>
        </w:numPr>
        <w:spacing w:line="360" w:lineRule="auto"/>
        <w:ind w:left="1080" w:right="237"/>
      </w:pPr>
      <w:r>
        <w:t>At the time of the behaviour, A and B are personally connected</w:t>
      </w:r>
    </w:p>
    <w:p w14:paraId="1334B4CC" w14:textId="77777777" w:rsidR="00286848" w:rsidRDefault="00286848" w:rsidP="003713B7">
      <w:pPr>
        <w:pStyle w:val="ListParagraph"/>
        <w:numPr>
          <w:ilvl w:val="0"/>
          <w:numId w:val="8"/>
        </w:numPr>
        <w:spacing w:line="360" w:lineRule="auto"/>
        <w:ind w:left="1080" w:right="237"/>
      </w:pPr>
      <w:r>
        <w:t xml:space="preserve">The behaviour has a serious effect on B and </w:t>
      </w:r>
    </w:p>
    <w:p w14:paraId="6808A6BC" w14:textId="77777777" w:rsidR="00286848" w:rsidRDefault="00286848" w:rsidP="003713B7">
      <w:pPr>
        <w:pStyle w:val="ListParagraph"/>
        <w:numPr>
          <w:ilvl w:val="0"/>
          <w:numId w:val="8"/>
        </w:numPr>
        <w:spacing w:line="360" w:lineRule="auto"/>
        <w:ind w:left="1080" w:right="237"/>
      </w:pPr>
      <w:r>
        <w:t xml:space="preserve">A knows or ought to know that the behaviour will have a serious effect on B </w:t>
      </w:r>
    </w:p>
    <w:p w14:paraId="2EF17614" w14:textId="77777777" w:rsidR="00286848" w:rsidRDefault="00286848" w:rsidP="003713B7">
      <w:pPr>
        <w:spacing w:line="360" w:lineRule="auto"/>
        <w:ind w:left="360" w:right="237"/>
      </w:pPr>
    </w:p>
    <w:p w14:paraId="004BB9CE" w14:textId="77777777" w:rsidR="00286848" w:rsidRDefault="00286848" w:rsidP="003713B7">
      <w:pPr>
        <w:spacing w:line="360" w:lineRule="auto"/>
        <w:ind w:left="360" w:right="237"/>
      </w:pPr>
      <w:r>
        <w:t xml:space="preserve">(Home Office, 2023, p.70) </w:t>
      </w:r>
    </w:p>
    <w:p w14:paraId="7423D3D2" w14:textId="77777777" w:rsidR="00286848" w:rsidRDefault="00286848" w:rsidP="003713B7">
      <w:pPr>
        <w:spacing w:line="360" w:lineRule="auto"/>
        <w:ind w:right="237"/>
      </w:pPr>
    </w:p>
    <w:p w14:paraId="1D822424" w14:textId="7C97EBD3" w:rsidR="00286848" w:rsidRDefault="00286848" w:rsidP="003713B7">
      <w:pPr>
        <w:spacing w:line="360" w:lineRule="auto"/>
        <w:ind w:right="237"/>
      </w:pPr>
      <w:r>
        <w:t>In the year ending March 2023 there were approximately 43,774 offences of CCB recorded in England and Wales (Womens Aid, 2024). CCB is a way for offenders to control, deprive</w:t>
      </w:r>
      <w:r w:rsidR="00AA1EE7">
        <w:t xml:space="preserve"> and </w:t>
      </w:r>
      <w:r>
        <w:t xml:space="preserve">isolate a person which can be done through social isolation, restricting access to money and controlling and monitoring movements of a person (Lohmann, Cowlishaw and Felmingham, 2023). CCB behaviours have been strongly associated with causing mental health conditions such as depression and PTSD (Lohmann, Cowlishaw and Felmingham, 2023). CCB behaviours such as economic deprivation, social isolation and monitoring, can leave a victim extremely vulnerable and </w:t>
      </w:r>
      <w:r>
        <w:lastRenderedPageBreak/>
        <w:t xml:space="preserve">at risk of harm from the offender. It is therefore important to try and identify those individuals who are vulnerable to harm so interventions can be put in place to protect them. </w:t>
      </w:r>
    </w:p>
    <w:p w14:paraId="24B13CE4" w14:textId="77777777" w:rsidR="00286848" w:rsidRDefault="00286848" w:rsidP="003713B7">
      <w:pPr>
        <w:spacing w:line="360" w:lineRule="auto"/>
        <w:ind w:right="237"/>
        <w:jc w:val="both"/>
      </w:pPr>
    </w:p>
    <w:p w14:paraId="3E79B911" w14:textId="241EBB69" w:rsidR="00286848" w:rsidRDefault="00286848" w:rsidP="003713B7">
      <w:pPr>
        <w:spacing w:line="360" w:lineRule="auto"/>
        <w:ind w:right="237"/>
        <w:jc w:val="both"/>
      </w:pPr>
      <w:r>
        <w:t>There are many different ways professionals and the police try to support and manage vulnerable victims of DA,  one of these ways is through the completion of a DASH (Domestic Abuse Stalking and Harassment) risk assessment. Using Borton’s (1970) “What?” phase, I will discuss what a DASH is. DASH is a risk assessment that is used to help officers identify the risk and threat of future or current harm to an individual (Ringland, 2018). A DASH includes a list of 27 questions which cover a range of different topics such as offenders domestic abuse history and violence. These questions are then used to indicate a risk grading</w:t>
      </w:r>
      <w:r w:rsidR="009155C7">
        <w:t xml:space="preserve"> of </w:t>
      </w:r>
      <w:r>
        <w:t xml:space="preserve">standard, medium or high (Myhill, Hohl and Johnson, 2023). The amount of questions answered yes depends on the risk grading given, therefore the more yes’s, the higher the grading (Myhill, Hohl and Johnson, 2023). The level of risk identified then dictates the safeguarding and level of intervention other specialist agencies can give. </w:t>
      </w:r>
    </w:p>
    <w:p w14:paraId="5EBD8A87" w14:textId="77777777" w:rsidR="00286848" w:rsidRDefault="00286848" w:rsidP="003713B7">
      <w:pPr>
        <w:spacing w:line="360" w:lineRule="auto"/>
        <w:ind w:right="237"/>
        <w:jc w:val="both"/>
      </w:pPr>
    </w:p>
    <w:p w14:paraId="28785694" w14:textId="752E5E56" w:rsidR="00286848" w:rsidRDefault="00286848" w:rsidP="003713B7">
      <w:pPr>
        <w:spacing w:line="360" w:lineRule="auto"/>
        <w:ind w:right="237"/>
        <w:jc w:val="both"/>
      </w:pPr>
      <w:r>
        <w:t>Moving onto Borton’s next two stage of his reflective model “So what?” and “Now what?”</w:t>
      </w:r>
      <w:r w:rsidR="00CE2FD0">
        <w:t>,</w:t>
      </w:r>
      <w:r>
        <w:t xml:space="preserve"> I will discuss the strengths and limitations of DASH and discuss recommendations and implications for future use. DASH is a useful tool to help to identify the risk an individual may be in and the support they may require. The 27 questions often overlap which is useful as it provides multiple  opportunities for victim disclosure (Myhill, Hohl and Johnson, 2023). However, many studies have critiqued the DASH process by stating that officers do not apply the tool consistently which causes errors in recording and understanding the risk posed to individuals (COP, 2016). Furthermore, victims have to be willing to complete a DASH. If a victim is not willing to then understanding their level of risk is difficult (Walton and Hendy, 2023). Although officers do complete one on their behalf the information officers will use will be limited, therefore the victims true risk of harm is not known and safeguarding cannot be put in place. Other studies have found that DASH gradings are a poor indicator of homicide and fail to identify the most vulnerable victims (</w:t>
      </w:r>
      <w:r w:rsidRPr="008E60E7">
        <w:t>Chalkley and Strang 2017; Thornton 2017</w:t>
      </w:r>
      <w:r>
        <w:t xml:space="preserve">). Furthermore, DASH has been critiqued in terms of its ability to “create a lottery for victims” (Myhill, Hohl and Johnson, 2023, p. 17). This means often than not safeguarding and intervention for victims is based on the risk grading officers attribute to them. Therefore, the higher risk the more interventions put in place, so victims who are considered lower risk often don’t get the specialist support they need as victims. Thus, more training on DASH for officers needs to be offered as well as developing more support for lower risk victims. </w:t>
      </w:r>
    </w:p>
    <w:p w14:paraId="2B9E3712" w14:textId="77777777" w:rsidR="00286848" w:rsidRDefault="00286848" w:rsidP="003713B7">
      <w:pPr>
        <w:spacing w:line="360" w:lineRule="auto"/>
        <w:ind w:right="237"/>
        <w:jc w:val="both"/>
      </w:pPr>
    </w:p>
    <w:p w14:paraId="6FB37611" w14:textId="77777777" w:rsidR="00286848" w:rsidRDefault="00286848" w:rsidP="003713B7">
      <w:pPr>
        <w:spacing w:line="360" w:lineRule="auto"/>
        <w:ind w:right="237"/>
        <w:jc w:val="both"/>
      </w:pPr>
      <w:r>
        <w:t>The next approach in managing and supporting vulnerable individuals that will be discussed using Borton’s (1970) “What?” stage is a Multi-Agency Risk Assessment Conference (MARAC). This is a meeting in which representatives from statutory agencies such as the police and social services come together with non-statutory agencies like charities, to discuss high risk cases of DA (Safe Lives, 2024). Borton’s (1970) next two stages “So what?” and “Now what?” will be discussed.</w:t>
      </w:r>
    </w:p>
    <w:p w14:paraId="52C563C9" w14:textId="77777777" w:rsidR="00286848" w:rsidRDefault="00286848" w:rsidP="003713B7">
      <w:pPr>
        <w:spacing w:line="360" w:lineRule="auto"/>
        <w:ind w:right="237"/>
        <w:jc w:val="both"/>
      </w:pPr>
    </w:p>
    <w:p w14:paraId="7991E85D" w14:textId="4F2BF150" w:rsidR="00286848" w:rsidRPr="006666FA" w:rsidRDefault="00286848" w:rsidP="003713B7">
      <w:pPr>
        <w:spacing w:line="360" w:lineRule="auto"/>
        <w:ind w:right="237"/>
        <w:jc w:val="both"/>
      </w:pPr>
      <w:r>
        <w:lastRenderedPageBreak/>
        <w:t>MARAC aims to safeguard adult victims by having various agencies come together and propose actions to protect and reduce the risk of harm to the victim. MARAC also aims to try and propose ways to deal with the perpetrators of the harm (CAADA, 2012). MARAC has shown evidence to be effective in ensuring victims of crime do not become repeat victims. One study found that 79% of victims did not report any further instances of crime and 70% did not call the police for any further domestic incidents (Robinson, 2006). This has also been evidenced in a study of DA victims in Cardiff. Robinson and Tregidga (2007) found that 47% of victims did not experience repeat victimisation 12 months after MARAC and the victims expressed their gratitude at the support they received from MARAC and the agencies working within it (Robinson and Tregidga, 2007). However, despite these studies dictating the benefits of MARAC other studies how found it has many limitations. MARAC works best with victim co-operation so when victims do not want help or do not admit they need help there is only so much MARAC can do to safeguard and support them (Robinson, 2006). Like the limitation of DASH, MARAC only deals with high risk victims, so victims who score lower on the DASH scale lose out on the benefits of the multi-agency approach that could protect them from further harm (Robinson, 2006). This is evident as one study found that MARAC only prioritises 10% of victims who become eligible for their service due to their high risk grading, therefore only a fraction of DA victims receive the support they need (Welsh, 2023). Therefore, although MARAC has been evidenced to benefit high risk victims of DA, like DASH,</w:t>
      </w:r>
      <w:r w:rsidR="00F73E53">
        <w:t xml:space="preserve"> it</w:t>
      </w:r>
      <w:r>
        <w:t xml:space="preserve"> fails victims deemed lower risk. Thus, more needs to be done to help lower risk victims of DA and more interventions need to be put in place to support them. </w:t>
      </w:r>
    </w:p>
    <w:p w14:paraId="6D8C2986" w14:textId="77777777" w:rsidR="00286848" w:rsidRDefault="00286848" w:rsidP="003713B7">
      <w:pPr>
        <w:spacing w:line="360" w:lineRule="auto"/>
        <w:ind w:right="237"/>
        <w:jc w:val="both"/>
      </w:pPr>
    </w:p>
    <w:p w14:paraId="3521EFB1" w14:textId="0AFB0FBE" w:rsidR="00286848" w:rsidRDefault="00286848" w:rsidP="003713B7">
      <w:pPr>
        <w:spacing w:line="360" w:lineRule="auto"/>
        <w:ind w:right="237"/>
        <w:jc w:val="both"/>
      </w:pPr>
      <w:r>
        <w:t xml:space="preserve">Tackling repeat victimisation and repeat offending is beneficial in trying to protect the most vulnerable of society. In policing it is widely accepted that the best way to do this is to be informed by evidence-based policing (EBP). EBP is based on research by Sherman who believed that decisions should be based on “rigorous scientific evaluation” (Sherman, 1998; Pepper, Rogers and Martin, 2020). One example of EBP is based around the concept of situational crime prevention which is the idea that in order to reduce crime you have to change the environment to make the commission of the offence more difficult (COP, 2022). An example of EBP is Operation Swordfish which will be discussed using the OSARA model. </w:t>
      </w:r>
      <w:r w:rsidR="001A2406">
        <w:t xml:space="preserve">Operation </w:t>
      </w:r>
      <w:r>
        <w:t xml:space="preserve">Swordfish was a target-hardening program implemented in the West Midlands which had the objective to reducing repeat victimisation of burglaries due to a large number of residential burglaries in the area. Operation Swordfish believed a reason for the increase in burglaries was due to lack of security houses had in the area and decided that they were going to provide houses with lighting units which created the illusion that a television was on, door and window chimes, electronic timers and crime prevention stickers with the aim to try and reduce re-victimisation (Johnson et al., 2017). Operation Swordfish found positive effects on limiting repeat victimisation and found that it reduced burglaries in the area and residents overall felt safer (Johnson et al., 2017). These findings are also seen in studies by Budd (1999) who found that houses with low level security (window locks) were 77% more likely to experience burglary than houses with high security like alarms and security lights. However, Operation Swordfish did find that victims of burglary in high crime areas were not found to experience significant reduction in the risk of further crime (Johnson </w:t>
      </w:r>
      <w:r>
        <w:lastRenderedPageBreak/>
        <w:t xml:space="preserve">et al., 2017). Ultimately, an operation like this would also benefit victims of DA as it could provide deterrents for offenders to go near their homes and also capture further incidents on CCTV for evidence. </w:t>
      </w:r>
    </w:p>
    <w:p w14:paraId="71F5366F" w14:textId="77777777" w:rsidR="00286848" w:rsidRDefault="00286848" w:rsidP="003713B7">
      <w:pPr>
        <w:spacing w:line="360" w:lineRule="auto"/>
        <w:ind w:right="237"/>
        <w:jc w:val="both"/>
      </w:pPr>
    </w:p>
    <w:p w14:paraId="6736380F" w14:textId="77777777" w:rsidR="00286848" w:rsidRDefault="00286848" w:rsidP="003713B7">
      <w:pPr>
        <w:spacing w:line="360" w:lineRule="auto"/>
        <w:ind w:right="237"/>
        <w:jc w:val="both"/>
      </w:pPr>
      <w:r>
        <w:t xml:space="preserve">Evidence led policing has also found deterrence strategies to be effective in targeting repeat offenders. Deterrence works by communicating with offenders and coming up with support for them to stop re-offending. This includes signposting them to appropriate services and community engagement (COP, 2022). Braga, Weisburd and Turchan (2019) reviewed 24 studies focused on deterrence strategies which spanned from 2001-2015. This review found that overall deterrence strategies reduce crime and re-offending (COP, 2022). Programmes to reduce serious violence amongst gangs had the strongest decrease in crime (COP, 2022). 79% of the studies studied found a significant reduction in crime and re-offending due to deterrence strategies (Braga, Weisburd and Turchan, 2019). However, deterrence strategies were less effective for reducing crime and repeat offending in drug market intervention (Braga, Weisburd and Turchan, 2019). </w:t>
      </w:r>
    </w:p>
    <w:p w14:paraId="26117B7B" w14:textId="77777777" w:rsidR="00286848" w:rsidRDefault="00286848" w:rsidP="003713B7">
      <w:pPr>
        <w:spacing w:line="360" w:lineRule="auto"/>
        <w:ind w:right="237"/>
        <w:jc w:val="both"/>
      </w:pPr>
    </w:p>
    <w:p w14:paraId="07BAE3F8" w14:textId="77777777" w:rsidR="00286848" w:rsidRDefault="00286848" w:rsidP="003713B7">
      <w:pPr>
        <w:spacing w:line="360" w:lineRule="auto"/>
        <w:ind w:right="237"/>
        <w:jc w:val="both"/>
      </w:pPr>
      <w:r>
        <w:t xml:space="preserve">This essay has discussed a domestic incident that I was involved with and the social and legislative context of it. This essay discussed how DASH and MARAC are two approaches to managing and supporting vulnerable people. This essay found that both of these approaches are beneficial in assisting agencies to provide support to vulnerable victims through identifying their risk and then implementing a multiagency strategy approach to help put protective measures in place. However, this essay found that both these approaches have limitations in terms of officer errors, victims willingness to cooperate and failure to support low risk victims of DA. This essay found that more needs to be done to support lower risk victims and recommends that more supports need to be in place for these groups of victims. This essay then concluded by using EPB to show what works in reducing victimisation and re-offending. This essay found that situational crime prevention strategies work in reducing repeat victimisation and repeat offending by reducing opportunities for crimes to take place and deterring offenders from re-offending. </w:t>
      </w:r>
    </w:p>
    <w:p w14:paraId="27C8631B" w14:textId="77777777" w:rsidR="00286848" w:rsidRDefault="00286848" w:rsidP="003713B7">
      <w:pPr>
        <w:spacing w:line="360" w:lineRule="auto"/>
      </w:pPr>
    </w:p>
    <w:p w14:paraId="4D8EDD9F" w14:textId="55FF19BB" w:rsidR="00286848" w:rsidRDefault="00286848" w:rsidP="003713B7">
      <w:pPr>
        <w:spacing w:line="360" w:lineRule="auto"/>
        <w:rPr>
          <w:b/>
          <w:bCs/>
        </w:rPr>
      </w:pPr>
      <w:r w:rsidRPr="00EF5B91">
        <w:rPr>
          <w:b/>
          <w:bCs/>
        </w:rPr>
        <w:t>Word count:</w:t>
      </w:r>
      <w:r>
        <w:rPr>
          <w:b/>
          <w:bCs/>
        </w:rPr>
        <w:t xml:space="preserve"> </w:t>
      </w:r>
      <w:r w:rsidRPr="00EF5B91">
        <w:rPr>
          <w:b/>
          <w:bCs/>
        </w:rPr>
        <w:t>2</w:t>
      </w:r>
      <w:r>
        <w:rPr>
          <w:b/>
          <w:bCs/>
        </w:rPr>
        <w:t>1</w:t>
      </w:r>
      <w:r w:rsidR="00DB4348">
        <w:rPr>
          <w:b/>
          <w:bCs/>
        </w:rPr>
        <w:t>59</w:t>
      </w:r>
    </w:p>
    <w:p w14:paraId="5C778F9B" w14:textId="77777777" w:rsidR="006666FA" w:rsidRDefault="006666FA" w:rsidP="006666FA">
      <w:pPr>
        <w:ind w:right="237"/>
        <w:jc w:val="both"/>
      </w:pPr>
    </w:p>
    <w:p w14:paraId="62950318" w14:textId="77777777" w:rsidR="006666FA" w:rsidRDefault="006666FA" w:rsidP="006666FA">
      <w:pPr>
        <w:ind w:right="237"/>
        <w:jc w:val="both"/>
      </w:pPr>
    </w:p>
    <w:p w14:paraId="0B5760EE" w14:textId="77777777" w:rsidR="006666FA" w:rsidRDefault="006666FA" w:rsidP="006666FA">
      <w:pPr>
        <w:ind w:right="237"/>
        <w:jc w:val="both"/>
      </w:pPr>
    </w:p>
    <w:p w14:paraId="34FF1B5C" w14:textId="77777777" w:rsidR="006666FA" w:rsidRDefault="006666FA" w:rsidP="006666FA">
      <w:pPr>
        <w:ind w:right="237"/>
        <w:jc w:val="both"/>
      </w:pPr>
    </w:p>
    <w:p w14:paraId="7C267491" w14:textId="77777777" w:rsidR="006666FA" w:rsidRDefault="006666FA" w:rsidP="006666FA">
      <w:pPr>
        <w:ind w:right="237"/>
        <w:jc w:val="both"/>
      </w:pPr>
    </w:p>
    <w:p w14:paraId="064905FE" w14:textId="77777777" w:rsidR="006666FA" w:rsidRDefault="006666FA" w:rsidP="006666FA">
      <w:pPr>
        <w:ind w:right="237"/>
        <w:jc w:val="both"/>
      </w:pPr>
    </w:p>
    <w:p w14:paraId="17C6449B" w14:textId="77777777" w:rsidR="006666FA" w:rsidRDefault="006666FA" w:rsidP="006666FA">
      <w:pPr>
        <w:ind w:right="237"/>
        <w:jc w:val="both"/>
      </w:pPr>
    </w:p>
    <w:p w14:paraId="16CEE4F5" w14:textId="77777777" w:rsidR="006666FA" w:rsidRDefault="006666FA" w:rsidP="006666FA">
      <w:pPr>
        <w:ind w:right="237"/>
        <w:jc w:val="both"/>
      </w:pPr>
    </w:p>
    <w:p w14:paraId="15711C66" w14:textId="77777777" w:rsidR="006666FA" w:rsidRDefault="006666FA" w:rsidP="006666FA">
      <w:pPr>
        <w:ind w:right="237"/>
        <w:jc w:val="both"/>
        <w:rPr>
          <w:b/>
          <w:bCs/>
        </w:rPr>
      </w:pP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0A068B3A" w14:textId="77777777" w:rsidR="00D223A4" w:rsidRDefault="00D223A4" w:rsidP="69F7424F">
      <w:pPr>
        <w:ind w:right="237"/>
        <w:jc w:val="center"/>
        <w:rPr>
          <w:b/>
          <w:bCs/>
          <w:sz w:val="24"/>
          <w:szCs w:val="24"/>
        </w:rPr>
      </w:pPr>
    </w:p>
    <w:p w14:paraId="61B0C2D6" w14:textId="77777777" w:rsidR="00286848" w:rsidRDefault="00286848" w:rsidP="00286848">
      <w:pPr>
        <w:ind w:right="237"/>
        <w:rPr>
          <w:b/>
          <w:bCs/>
          <w:sz w:val="24"/>
          <w:szCs w:val="24"/>
        </w:rPr>
      </w:pPr>
    </w:p>
    <w:p w14:paraId="2E52FFE8" w14:textId="77777777" w:rsidR="003713B7" w:rsidRDefault="003713B7" w:rsidP="00286848">
      <w:pPr>
        <w:ind w:right="237"/>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lastRenderedPageBreak/>
        <w:t>Task 2</w:t>
      </w: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7087252" w14:textId="77777777" w:rsidR="00D223A4" w:rsidRDefault="00D223A4" w:rsidP="5CE196A1">
      <w:pPr>
        <w:ind w:right="237"/>
        <w:jc w:val="both"/>
        <w:rPr>
          <w:color w:val="000000" w:themeColor="text1"/>
          <w:sz w:val="24"/>
          <w:szCs w:val="24"/>
        </w:rPr>
      </w:pPr>
    </w:p>
    <w:p w14:paraId="7A0E3BA7" w14:textId="77777777" w:rsidR="00D223A4" w:rsidRDefault="00D223A4" w:rsidP="5CE196A1">
      <w:pPr>
        <w:ind w:right="237"/>
        <w:jc w:val="both"/>
        <w:rPr>
          <w:color w:val="000000" w:themeColor="text1"/>
          <w:sz w:val="24"/>
          <w:szCs w:val="24"/>
        </w:rPr>
      </w:pPr>
    </w:p>
    <w:p w14:paraId="7A2D4BDB" w14:textId="77777777" w:rsidR="00D223A4" w:rsidRDefault="00D223A4" w:rsidP="5CE196A1">
      <w:pPr>
        <w:ind w:right="237"/>
        <w:jc w:val="both"/>
        <w:rPr>
          <w:color w:val="000000" w:themeColor="text1"/>
          <w:sz w:val="24"/>
          <w:szCs w:val="24"/>
        </w:rPr>
      </w:pPr>
    </w:p>
    <w:p w14:paraId="176E2113" w14:textId="77777777" w:rsidR="00D223A4" w:rsidRDefault="00D223A4" w:rsidP="5CE196A1">
      <w:pPr>
        <w:ind w:right="237"/>
        <w:jc w:val="both"/>
        <w:rPr>
          <w:color w:val="000000" w:themeColor="text1"/>
          <w:sz w:val="24"/>
          <w:szCs w:val="24"/>
        </w:rPr>
      </w:pPr>
    </w:p>
    <w:p w14:paraId="12D6AEF9" w14:textId="77777777" w:rsidR="00D223A4" w:rsidRDefault="00D223A4" w:rsidP="5CE196A1">
      <w:pPr>
        <w:ind w:right="237"/>
        <w:jc w:val="both"/>
        <w:rPr>
          <w:color w:val="000000" w:themeColor="text1"/>
          <w:sz w:val="24"/>
          <w:szCs w:val="24"/>
        </w:rPr>
      </w:pPr>
    </w:p>
    <w:p w14:paraId="03599CEF" w14:textId="77777777" w:rsidR="00D223A4" w:rsidRDefault="00D223A4" w:rsidP="5CE196A1">
      <w:pPr>
        <w:ind w:right="237"/>
        <w:jc w:val="both"/>
        <w:rPr>
          <w:color w:val="000000" w:themeColor="text1"/>
          <w:sz w:val="24"/>
          <w:szCs w:val="24"/>
        </w:rPr>
      </w:pPr>
    </w:p>
    <w:p w14:paraId="59F7ECC0" w14:textId="77777777" w:rsidR="00D223A4" w:rsidRDefault="00D223A4" w:rsidP="5CE196A1">
      <w:pPr>
        <w:ind w:right="237"/>
        <w:jc w:val="both"/>
        <w:rPr>
          <w:color w:val="000000" w:themeColor="text1"/>
          <w:sz w:val="24"/>
          <w:szCs w:val="24"/>
        </w:rPr>
      </w:pPr>
    </w:p>
    <w:p w14:paraId="6A8F2132" w14:textId="77777777" w:rsidR="00D223A4" w:rsidRDefault="00D223A4" w:rsidP="5CE196A1">
      <w:pPr>
        <w:ind w:right="237"/>
        <w:jc w:val="both"/>
        <w:rPr>
          <w:color w:val="000000" w:themeColor="text1"/>
          <w:sz w:val="24"/>
          <w:szCs w:val="24"/>
        </w:rPr>
      </w:pPr>
    </w:p>
    <w:p w14:paraId="6C02503D" w14:textId="77777777" w:rsidR="00D223A4" w:rsidRDefault="00D223A4" w:rsidP="5CE196A1">
      <w:pPr>
        <w:ind w:right="237"/>
        <w:jc w:val="both"/>
        <w:rPr>
          <w:color w:val="000000" w:themeColor="text1"/>
          <w:sz w:val="24"/>
          <w:szCs w:val="24"/>
        </w:rPr>
      </w:pPr>
    </w:p>
    <w:p w14:paraId="6C8CFA7B" w14:textId="77777777" w:rsidR="00D223A4" w:rsidRDefault="00D223A4" w:rsidP="5CE196A1">
      <w:pPr>
        <w:ind w:right="237"/>
        <w:jc w:val="both"/>
        <w:rPr>
          <w:color w:val="000000" w:themeColor="text1"/>
          <w:sz w:val="24"/>
          <w:szCs w:val="24"/>
        </w:rPr>
      </w:pPr>
    </w:p>
    <w:p w14:paraId="72BA9275" w14:textId="77777777" w:rsidR="00D223A4" w:rsidRDefault="00D223A4" w:rsidP="5CE196A1">
      <w:pPr>
        <w:ind w:right="237"/>
        <w:jc w:val="both"/>
        <w:rPr>
          <w:color w:val="000000" w:themeColor="text1"/>
          <w:sz w:val="24"/>
          <w:szCs w:val="24"/>
        </w:rPr>
      </w:pPr>
    </w:p>
    <w:p w14:paraId="3AED1B93" w14:textId="77777777" w:rsidR="00D223A4" w:rsidRDefault="00D223A4" w:rsidP="5CE196A1">
      <w:pPr>
        <w:ind w:right="237"/>
        <w:jc w:val="both"/>
        <w:rPr>
          <w:color w:val="000000" w:themeColor="text1"/>
          <w:sz w:val="24"/>
          <w:szCs w:val="24"/>
        </w:rPr>
      </w:pPr>
    </w:p>
    <w:p w14:paraId="192D189D" w14:textId="77777777" w:rsidR="00D223A4" w:rsidRDefault="00D223A4" w:rsidP="5CE196A1">
      <w:pPr>
        <w:ind w:right="237"/>
        <w:jc w:val="both"/>
        <w:rPr>
          <w:color w:val="000000" w:themeColor="text1"/>
          <w:sz w:val="24"/>
          <w:szCs w:val="24"/>
        </w:rPr>
      </w:pPr>
    </w:p>
    <w:p w14:paraId="50C00958" w14:textId="77777777" w:rsidR="00D223A4" w:rsidRDefault="00D223A4" w:rsidP="5CE196A1">
      <w:pPr>
        <w:ind w:right="237"/>
        <w:jc w:val="both"/>
        <w:rPr>
          <w:color w:val="000000" w:themeColor="text1"/>
          <w:sz w:val="24"/>
          <w:szCs w:val="24"/>
        </w:rPr>
      </w:pPr>
    </w:p>
    <w:p w14:paraId="37F28F63" w14:textId="77777777" w:rsidR="00D223A4" w:rsidRDefault="00D223A4" w:rsidP="5CE196A1">
      <w:pPr>
        <w:ind w:right="237"/>
        <w:jc w:val="both"/>
        <w:rPr>
          <w:color w:val="000000" w:themeColor="text1"/>
          <w:sz w:val="24"/>
          <w:szCs w:val="24"/>
        </w:rPr>
      </w:pPr>
    </w:p>
    <w:p w14:paraId="3F59AB9E" w14:textId="77777777" w:rsidR="00D223A4" w:rsidRDefault="00D223A4" w:rsidP="5CE196A1">
      <w:pPr>
        <w:ind w:right="237"/>
        <w:jc w:val="both"/>
        <w:rPr>
          <w:color w:val="000000" w:themeColor="text1"/>
          <w:sz w:val="24"/>
          <w:szCs w:val="24"/>
        </w:rPr>
      </w:pPr>
    </w:p>
    <w:p w14:paraId="661FE574" w14:textId="77777777" w:rsidR="00D223A4" w:rsidRDefault="00D223A4" w:rsidP="5CE196A1">
      <w:pPr>
        <w:ind w:right="237"/>
        <w:jc w:val="both"/>
        <w:rPr>
          <w:color w:val="000000" w:themeColor="text1"/>
          <w:sz w:val="24"/>
          <w:szCs w:val="24"/>
        </w:rPr>
      </w:pPr>
    </w:p>
    <w:p w14:paraId="0D586DD1" w14:textId="77777777" w:rsidR="00D223A4" w:rsidRDefault="00D223A4" w:rsidP="5CE196A1">
      <w:pPr>
        <w:ind w:right="237"/>
        <w:jc w:val="both"/>
        <w:rPr>
          <w:color w:val="000000" w:themeColor="text1"/>
          <w:sz w:val="24"/>
          <w:szCs w:val="24"/>
        </w:rPr>
      </w:pPr>
    </w:p>
    <w:p w14:paraId="1A6813F4" w14:textId="77777777" w:rsidR="00D223A4" w:rsidRDefault="00D223A4" w:rsidP="5CE196A1">
      <w:pPr>
        <w:ind w:right="237"/>
        <w:jc w:val="both"/>
        <w:rPr>
          <w:color w:val="000000" w:themeColor="text1"/>
          <w:sz w:val="24"/>
          <w:szCs w:val="24"/>
        </w:rPr>
      </w:pPr>
    </w:p>
    <w:p w14:paraId="0B5129A0" w14:textId="77777777" w:rsidR="00D223A4" w:rsidRDefault="00D223A4" w:rsidP="5CE196A1">
      <w:pPr>
        <w:ind w:right="237"/>
        <w:jc w:val="both"/>
        <w:rPr>
          <w:color w:val="000000" w:themeColor="text1"/>
          <w:sz w:val="24"/>
          <w:szCs w:val="24"/>
        </w:rPr>
      </w:pPr>
    </w:p>
    <w:p w14:paraId="4E67EC83" w14:textId="77777777" w:rsidR="00D223A4" w:rsidRDefault="00D223A4" w:rsidP="5CE196A1">
      <w:pPr>
        <w:ind w:right="237"/>
        <w:jc w:val="both"/>
        <w:rPr>
          <w:color w:val="000000" w:themeColor="text1"/>
          <w:sz w:val="24"/>
          <w:szCs w:val="24"/>
        </w:rPr>
      </w:pPr>
    </w:p>
    <w:p w14:paraId="275BED7A" w14:textId="77777777" w:rsidR="00D223A4" w:rsidRDefault="00D223A4" w:rsidP="5CE196A1">
      <w:pPr>
        <w:ind w:right="237"/>
        <w:jc w:val="both"/>
        <w:rPr>
          <w:color w:val="000000" w:themeColor="text1"/>
          <w:sz w:val="24"/>
          <w:szCs w:val="24"/>
        </w:rPr>
      </w:pPr>
    </w:p>
    <w:p w14:paraId="294D0B55" w14:textId="77777777" w:rsidR="00D223A4" w:rsidRDefault="00D223A4" w:rsidP="5CE196A1">
      <w:pPr>
        <w:ind w:right="237"/>
        <w:jc w:val="both"/>
        <w:rPr>
          <w:color w:val="000000" w:themeColor="text1"/>
          <w:sz w:val="24"/>
          <w:szCs w:val="24"/>
        </w:rPr>
      </w:pPr>
    </w:p>
    <w:p w14:paraId="3F9FF032" w14:textId="77777777" w:rsidR="00D223A4" w:rsidRDefault="00D223A4" w:rsidP="5CE196A1">
      <w:pPr>
        <w:ind w:right="237"/>
        <w:jc w:val="both"/>
        <w:rPr>
          <w:color w:val="000000" w:themeColor="text1"/>
          <w:sz w:val="24"/>
          <w:szCs w:val="24"/>
        </w:rPr>
      </w:pPr>
    </w:p>
    <w:p w14:paraId="0C088549" w14:textId="77777777" w:rsidR="00D223A4" w:rsidRDefault="00D223A4" w:rsidP="5CE196A1">
      <w:pPr>
        <w:ind w:right="237"/>
        <w:jc w:val="both"/>
        <w:rPr>
          <w:color w:val="000000" w:themeColor="text1"/>
          <w:sz w:val="24"/>
          <w:szCs w:val="24"/>
        </w:rPr>
      </w:pPr>
    </w:p>
    <w:p w14:paraId="6C7530F6" w14:textId="77777777" w:rsidR="00D223A4" w:rsidRDefault="00D223A4" w:rsidP="5CE196A1">
      <w:pPr>
        <w:ind w:right="237"/>
        <w:jc w:val="both"/>
        <w:rPr>
          <w:color w:val="000000" w:themeColor="text1"/>
          <w:sz w:val="24"/>
          <w:szCs w:val="24"/>
        </w:rPr>
      </w:pPr>
    </w:p>
    <w:p w14:paraId="5EABF55B" w14:textId="77777777" w:rsidR="00D223A4" w:rsidRDefault="00D223A4" w:rsidP="5CE196A1">
      <w:pPr>
        <w:ind w:right="237"/>
        <w:jc w:val="both"/>
        <w:rPr>
          <w:color w:val="000000" w:themeColor="text1"/>
          <w:sz w:val="24"/>
          <w:szCs w:val="24"/>
        </w:rPr>
      </w:pPr>
    </w:p>
    <w:p w14:paraId="76CA0A56" w14:textId="77777777" w:rsidR="00D223A4" w:rsidRDefault="00D223A4" w:rsidP="5CE196A1">
      <w:pPr>
        <w:ind w:right="237"/>
        <w:jc w:val="both"/>
        <w:rPr>
          <w:color w:val="000000" w:themeColor="text1"/>
          <w:sz w:val="24"/>
          <w:szCs w:val="24"/>
        </w:rPr>
      </w:pPr>
    </w:p>
    <w:p w14:paraId="2BFC7D9D" w14:textId="77777777" w:rsidR="00D223A4" w:rsidRDefault="00D223A4" w:rsidP="5CE196A1">
      <w:pPr>
        <w:ind w:right="237"/>
        <w:jc w:val="both"/>
        <w:rPr>
          <w:color w:val="000000" w:themeColor="text1"/>
          <w:sz w:val="24"/>
          <w:szCs w:val="24"/>
        </w:rPr>
      </w:pPr>
    </w:p>
    <w:p w14:paraId="68E2F300" w14:textId="77777777" w:rsidR="002C1723" w:rsidRDefault="002C1723" w:rsidP="5CE196A1">
      <w:pPr>
        <w:ind w:right="237"/>
        <w:jc w:val="both"/>
        <w:rPr>
          <w:color w:val="000000" w:themeColor="text1"/>
          <w:sz w:val="24"/>
          <w:szCs w:val="24"/>
        </w:rPr>
      </w:pPr>
    </w:p>
    <w:p w14:paraId="0F37C0A8" w14:textId="77777777" w:rsidR="002C1723" w:rsidRDefault="002C1723" w:rsidP="5CE196A1">
      <w:pPr>
        <w:ind w:right="237"/>
        <w:jc w:val="both"/>
        <w:rPr>
          <w:color w:val="000000" w:themeColor="text1"/>
          <w:sz w:val="24"/>
          <w:szCs w:val="24"/>
        </w:rPr>
      </w:pPr>
    </w:p>
    <w:p w14:paraId="0EB43003" w14:textId="77777777" w:rsidR="00D223A4" w:rsidRDefault="00D223A4" w:rsidP="5CE196A1">
      <w:pPr>
        <w:ind w:right="237"/>
        <w:jc w:val="both"/>
        <w:rPr>
          <w:color w:val="000000" w:themeColor="text1"/>
          <w:sz w:val="24"/>
          <w:szCs w:val="24"/>
        </w:rPr>
      </w:pPr>
    </w:p>
    <w:p w14:paraId="0EE557A4" w14:textId="77777777" w:rsidR="00D223A4" w:rsidRDefault="00D223A4" w:rsidP="5CE196A1">
      <w:pPr>
        <w:ind w:right="237"/>
        <w:jc w:val="both"/>
        <w:rPr>
          <w:color w:val="000000" w:themeColor="text1"/>
          <w:sz w:val="24"/>
          <w:szCs w:val="24"/>
        </w:rPr>
      </w:pPr>
    </w:p>
    <w:p w14:paraId="6E756D7A" w14:textId="77777777" w:rsidR="00D223A4" w:rsidRDefault="00D223A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596CEBB4" w14:textId="6A438F4B" w:rsidR="00025650" w:rsidRDefault="005C76DE" w:rsidP="0FF883D4">
      <w:pPr>
        <w:ind w:right="237"/>
        <w:jc w:val="both"/>
        <w:rPr>
          <w:b/>
          <w:bCs/>
          <w:sz w:val="24"/>
          <w:szCs w:val="24"/>
        </w:rPr>
      </w:pPr>
      <w:r w:rsidRPr="5CE196A1">
        <w:rPr>
          <w:b/>
          <w:bCs/>
          <w:sz w:val="24"/>
          <w:szCs w:val="24"/>
        </w:rPr>
        <w:t>ANSWER:</w:t>
      </w:r>
    </w:p>
    <w:p w14:paraId="64A6A3E0" w14:textId="77777777" w:rsidR="007C46DA" w:rsidRDefault="007C46DA" w:rsidP="0FF883D4">
      <w:pPr>
        <w:ind w:right="237"/>
        <w:jc w:val="both"/>
        <w:rPr>
          <w:b/>
          <w:bCs/>
          <w:sz w:val="24"/>
          <w:szCs w:val="24"/>
        </w:rPr>
      </w:pPr>
    </w:p>
    <w:p w14:paraId="0CF8D9AA" w14:textId="3822356C" w:rsidR="007466E1" w:rsidRDefault="007466E1" w:rsidP="003713B7">
      <w:pPr>
        <w:spacing w:line="360" w:lineRule="auto"/>
        <w:ind w:right="237"/>
        <w:jc w:val="both"/>
      </w:pPr>
      <w:r>
        <w:t xml:space="preserve">This essay will discuss a domestic abuse (DA) incident that I dealt with that was complex in nature and will use Borton’s (1970) reflective model. Borton’s (1970) model is </w:t>
      </w:r>
      <w:r w:rsidR="002C1723">
        <w:t>comprised</w:t>
      </w:r>
      <w:r>
        <w:t xml:space="preserve"> of 3 stages: ‘What?’, ‘So What?’ and ‘Now What?’. This essay will begin by using Borton’s ‘What?’ phase by describing the DA incident and explaining the challenges associated with it. These challenges will include victims unwillingness to provide information to police as well as victims unwillingness to make a complaint and pursue a conviction. This essay will then use Borton’s second stage ‘So what?’ to discuss different strategies used to try and mitigate the challenges faced with the incident. These strategies will include discussion on the use of evidence led prosecution, </w:t>
      </w:r>
      <w:r w:rsidR="00E170D2">
        <w:t>body worn</w:t>
      </w:r>
      <w:r>
        <w:t xml:space="preserve"> </w:t>
      </w:r>
      <w:r w:rsidR="00E170D2">
        <w:t xml:space="preserve">video </w:t>
      </w:r>
      <w:r>
        <w:t>and witness statements and how they can be utilised to keep a victim of DA safe. The positives and negatives of these strategies will</w:t>
      </w:r>
      <w:r w:rsidR="00E170D2">
        <w:t xml:space="preserve"> also</w:t>
      </w:r>
      <w:r>
        <w:t xml:space="preserve"> be discussed. The essay will then conclude by using Borton’s ‘Now What?’ phase which will include a discussion on DVPN’s/DVPO’s (Domestic violence protection notices and domestic violence protection orders)</w:t>
      </w:r>
      <w:r w:rsidR="00DB69CE">
        <w:t xml:space="preserve"> and how these can be utilised in DA incidents</w:t>
      </w:r>
      <w:r>
        <w:t xml:space="preserve"> and </w:t>
      </w:r>
      <w:r w:rsidR="00DB69CE">
        <w:t xml:space="preserve">also discuss </w:t>
      </w:r>
      <w:r>
        <w:t>what was learnt from this incident</w:t>
      </w:r>
      <w:r w:rsidR="00DB69CE">
        <w:t xml:space="preserve">. </w:t>
      </w:r>
    </w:p>
    <w:p w14:paraId="41C31437" w14:textId="77777777" w:rsidR="007466E1" w:rsidRDefault="007466E1" w:rsidP="003713B7">
      <w:pPr>
        <w:spacing w:line="360" w:lineRule="auto"/>
        <w:ind w:right="237"/>
        <w:jc w:val="both"/>
      </w:pPr>
    </w:p>
    <w:p w14:paraId="73EB6A6D" w14:textId="77777777" w:rsidR="007466E1" w:rsidRDefault="007466E1" w:rsidP="003713B7">
      <w:pPr>
        <w:spacing w:line="360" w:lineRule="auto"/>
        <w:ind w:right="237"/>
        <w:jc w:val="both"/>
      </w:pPr>
      <w:r>
        <w:lastRenderedPageBreak/>
        <w:t xml:space="preserve">The domestic incident that I was involved with centred around an elderly female who was experiencing coercive and controlling behaviour from her husband. The female lived with her husband and had no family or friends near-by. She was experiencing financial abuse and emotional abuse from her husband. This incident was reported by a neighbour who had concerns the female was being locked out of the house and not allowed back in. This neighboured had reported concerns numerous times. </w:t>
      </w:r>
    </w:p>
    <w:p w14:paraId="295EDFBE" w14:textId="77777777" w:rsidR="007466E1" w:rsidRDefault="007466E1" w:rsidP="003713B7">
      <w:pPr>
        <w:spacing w:line="360" w:lineRule="auto"/>
        <w:ind w:right="237"/>
        <w:jc w:val="both"/>
      </w:pPr>
    </w:p>
    <w:p w14:paraId="37BA5783" w14:textId="19718FD7" w:rsidR="007466E1" w:rsidRDefault="007466E1" w:rsidP="003713B7">
      <w:pPr>
        <w:spacing w:line="360" w:lineRule="auto"/>
        <w:ind w:right="237"/>
        <w:jc w:val="both"/>
      </w:pPr>
      <w:r>
        <w:t>This incident presented many challenges and using Borton’s first stage of his reflective model the ‘What?’ stage I will begin to discuss the</w:t>
      </w:r>
      <w:r w:rsidR="001328A7">
        <w:t xml:space="preserve">se </w:t>
      </w:r>
      <w:r>
        <w:t xml:space="preserve">issues. The first issue faced in this incident was the victims unwillingness to provide information and cooperate. This female was not willing to provide much information on her and her husband’s relationship. She mentioned a few behaviours that were coercive and controlling such as not having access to money and being monitored by her husband but when probed for more details would shut down. One of the reasons why the female would not provide us with information was because she said she had no one else to live with as she had no friends or family nearby and did not want to leave her family home. Research has found that older victims of DA may experience anxiety and fear over leaving their home and assets that they lived with for many years (Safelives, 2016). Furthermore, coercive and controlling behaviour can isolate victims from family and friends and this female did say she had no one near her for support. Research on elder abuse does show that specifically older women experience isolation from family and friends and have limited support around them due to coercive and controlling behaviours from their partner (Meyer, Lasater and Garcia-Moreno, 2020). Furthermore, Meyer, Lasater and Garcia-Moreno (2020) found that the older women in their study said that they deliberately isolated themselves from friends and family to hide the abuse. This female was also being cared for by her partner which could also explain why she was unwilling to provide information to us. This has been found in studies of elder abuse as research shows that older people find it hard to report or disclose their abuse or even leave the relationship as they are being looked after by their abuser (Safelives, 2016; Age UK, 2021). Furthermore, this female was also dependent on her abuser financially. She stated that if she left the relationship she would have no money and nowhere to go as the house belonged to the male. This </w:t>
      </w:r>
      <w:r w:rsidR="00BA3329">
        <w:t>i</w:t>
      </w:r>
      <w:r>
        <w:t>s a common theme found in research on elder abuse with many victims of DA stating that a barrier to them leaving was concerns about their financial stability (Cravens, Whiting and Aamar, 2015). The victim not being forthcoming with information was a major challenge in this incident as the true extent of the risk to the victim was not known.</w:t>
      </w:r>
    </w:p>
    <w:p w14:paraId="02BC0E1E" w14:textId="77777777" w:rsidR="007466E1" w:rsidRDefault="007466E1" w:rsidP="003713B7">
      <w:pPr>
        <w:spacing w:line="360" w:lineRule="auto"/>
        <w:ind w:right="237"/>
        <w:jc w:val="both"/>
      </w:pPr>
    </w:p>
    <w:p w14:paraId="037639FE" w14:textId="77777777" w:rsidR="007466E1" w:rsidRDefault="007466E1" w:rsidP="003713B7">
      <w:pPr>
        <w:spacing w:line="360" w:lineRule="auto"/>
        <w:ind w:right="237"/>
        <w:jc w:val="both"/>
      </w:pPr>
      <w:r>
        <w:t xml:space="preserve">Another challenge faced in this incident was the victims unwillingness to make a complaint, without a positive complaint the realistic prospect of conviction was low. A large percentage of DA cases are closed down due to evidential difficulties as the victim does not provide a positive complaint and does not support a prosecution (ONS, 2021). If a victim does provide a complaint very often in DA cases the victims will withdraw their support very early on in the investigation (ONS, 2021). Victim retraction in DA cases is higher than any other crime type and it has been found that the reason for this includes fear of the defendant and their family, the hope the relationship can rebuild itself and fear of the </w:t>
      </w:r>
      <w:r>
        <w:lastRenderedPageBreak/>
        <w:t>investigation and court process (</w:t>
      </w:r>
      <w:r w:rsidRPr="00E25950">
        <w:t>Cretney and Davis, 1997; Ellison, 2002; Robinson and Cook, 2006).</w:t>
      </w:r>
      <w:r>
        <w:t xml:space="preserve"> Furthermore, research by HMICFRS (2021) found that 54.7% of DA cases were discontinued because the victim withdrew their statement. Victims of DA are also more likely to retract their complaint as soon as 5 days after they made the complaint (Barrow-Grint, 2016). Research has also found that half of victims never had any intention to support a prosecution they simply achieved what they wanted by reporting the behaviour or getting the person arrested (Boivin and Leclerc, 2016; McPhee et al., 2022). Lack of complaint and victims willingness to retract means that often than not victims will continue to experience the abuse (Barrow-Grint, 2016). </w:t>
      </w:r>
    </w:p>
    <w:p w14:paraId="699B7561" w14:textId="77777777" w:rsidR="007466E1" w:rsidRDefault="007466E1" w:rsidP="003713B7">
      <w:pPr>
        <w:spacing w:line="360" w:lineRule="auto"/>
        <w:ind w:right="237"/>
        <w:jc w:val="both"/>
      </w:pPr>
    </w:p>
    <w:p w14:paraId="0BF2EC3D" w14:textId="77777777" w:rsidR="007466E1" w:rsidRDefault="007466E1" w:rsidP="003713B7">
      <w:pPr>
        <w:spacing w:line="360" w:lineRule="auto"/>
        <w:ind w:right="237"/>
        <w:jc w:val="both"/>
      </w:pPr>
      <w:r>
        <w:t>The incident and the challenges faced have been discussed in Borton’s ‘What?’ phase. Using Borton’s ‘So what?’ phase this essay will now look at ways to deal with the challenges and how effective these are.</w:t>
      </w:r>
    </w:p>
    <w:p w14:paraId="015D9AD5" w14:textId="77777777" w:rsidR="007466E1" w:rsidRDefault="007466E1" w:rsidP="003713B7">
      <w:pPr>
        <w:spacing w:line="360" w:lineRule="auto"/>
        <w:ind w:right="237"/>
        <w:jc w:val="both"/>
      </w:pPr>
    </w:p>
    <w:p w14:paraId="7F099978" w14:textId="7DEF6327" w:rsidR="007466E1" w:rsidRDefault="007466E1" w:rsidP="003713B7">
      <w:pPr>
        <w:spacing w:line="360" w:lineRule="auto"/>
        <w:ind w:right="237"/>
        <w:jc w:val="both"/>
      </w:pPr>
      <w:r>
        <w:t xml:space="preserve">In this case the female provided two negative pocket note books saying she was not willing to provide a statement. Due to the fact that the female was not willing to engage evidence led prosecution was considered. Evidence led prosecution allows for justice to be served without the victims cooperation, this means other forms of evidence are used to obtain a prosecution (COP, 2024). </w:t>
      </w:r>
      <w:r w:rsidR="00C2537C">
        <w:t>H</w:t>
      </w:r>
      <w:r>
        <w:t>earsay evidence</w:t>
      </w:r>
      <w:r w:rsidR="00C2537C">
        <w:t xml:space="preserve"> can be used in evidence led prosecutions and </w:t>
      </w:r>
      <w:r>
        <w:t xml:space="preserve">an example of hearsay evidence would be the use of 999 recordings (CPS, 2016). Often when DA incidents are ongoing a victim will call the police there and then, so 999 recordings could pick up the behaviour and speech of the perpetrator and solidify that an offence is taking place. A review of DA convictions in Norfolk found that 999 recordings were routinely used in DA cases which produced high conviction rates (CPS, 2016). 999 recordings were considered as a form of evidence in this case however, it would have proved unhelpful as the 999 call came from a concerned neighbour. </w:t>
      </w:r>
    </w:p>
    <w:p w14:paraId="2E51845C" w14:textId="77777777" w:rsidR="007466E1" w:rsidRDefault="007466E1" w:rsidP="003713B7">
      <w:pPr>
        <w:spacing w:line="360" w:lineRule="auto"/>
        <w:ind w:right="237"/>
        <w:jc w:val="both"/>
        <w:rPr>
          <w:color w:val="000000" w:themeColor="text1"/>
          <w:sz w:val="24"/>
          <w:szCs w:val="24"/>
          <w:u w:val="single"/>
        </w:rPr>
      </w:pPr>
    </w:p>
    <w:p w14:paraId="084F94DE" w14:textId="6D52DCC4" w:rsidR="007466E1" w:rsidRPr="00174F29" w:rsidRDefault="007466E1" w:rsidP="003713B7">
      <w:pPr>
        <w:spacing w:line="360" w:lineRule="auto"/>
        <w:ind w:right="237"/>
        <w:jc w:val="both"/>
        <w:rPr>
          <w:color w:val="000000" w:themeColor="text1"/>
        </w:rPr>
      </w:pPr>
      <w:r>
        <w:rPr>
          <w:color w:val="000000" w:themeColor="text1"/>
        </w:rPr>
        <w:t>Body</w:t>
      </w:r>
      <w:r w:rsidR="00CC4092">
        <w:rPr>
          <w:color w:val="000000" w:themeColor="text1"/>
        </w:rPr>
        <w:t xml:space="preserve"> </w:t>
      </w:r>
      <w:r>
        <w:rPr>
          <w:color w:val="000000" w:themeColor="text1"/>
        </w:rPr>
        <w:t>worn video has also been used as evidence in DA cases to show injuries and the behaviour of the perpetrator (CPS, 2015). In this incident the male was exhibiting coercive and controlling behaviour even in our presence. For example, the male had the females phone and wouldn’t explain why he had it. Furthermore, body</w:t>
      </w:r>
      <w:r w:rsidR="000669B7">
        <w:rPr>
          <w:color w:val="000000" w:themeColor="text1"/>
        </w:rPr>
        <w:t xml:space="preserve"> </w:t>
      </w:r>
      <w:r>
        <w:rPr>
          <w:color w:val="000000" w:themeColor="text1"/>
        </w:rPr>
        <w:t>worn video can also record the victims emotions at the time, damaged property and physical abuse (Morrow, Katz and Choate, 2016). CCTV and ring</w:t>
      </w:r>
      <w:r w:rsidR="000669B7">
        <w:rPr>
          <w:color w:val="000000" w:themeColor="text1"/>
        </w:rPr>
        <w:t xml:space="preserve"> doorbell</w:t>
      </w:r>
      <w:r>
        <w:rPr>
          <w:color w:val="000000" w:themeColor="text1"/>
        </w:rPr>
        <w:t xml:space="preserve"> footage has also proved useful in evidence led prosecutions for securing convictions (CPS, 2015). In this incident there was ring doorbell footage of the female being shut out of the house for a number of hours. This incident was phoned in by a neighbour who had also phoned in his concern about the female previously. The neighbour was happy to be a witness and provided a statement about what they saw. Locating witnesses for evidence led prosecution has been positively associated with a higher chance of prosecution. Robinson and Cook (2006) found in their study that witness statements increased the chances of a guilty verdict and decreased a victims likelihood of retracting their statement. </w:t>
      </w:r>
    </w:p>
    <w:p w14:paraId="700EBB26" w14:textId="77777777" w:rsidR="007466E1" w:rsidRDefault="007466E1" w:rsidP="003713B7">
      <w:pPr>
        <w:spacing w:line="360" w:lineRule="auto"/>
        <w:ind w:right="237"/>
        <w:jc w:val="both"/>
      </w:pPr>
    </w:p>
    <w:p w14:paraId="002E8AFB" w14:textId="77777777" w:rsidR="007466E1" w:rsidRDefault="007466E1" w:rsidP="003713B7">
      <w:pPr>
        <w:spacing w:line="360" w:lineRule="auto"/>
        <w:ind w:right="237"/>
        <w:jc w:val="both"/>
      </w:pPr>
      <w:r>
        <w:lastRenderedPageBreak/>
        <w:t xml:space="preserve">However, although evidence-led prosecution is an option in DA cases this additional evidence needs to be available to do it. In terms of this incident there was the opportunity to do an evidence-led prosecution but the CPS decided that there was insufficient evidence to charge and the case got dropped. Furthermore, evidence based prosecutions have been criticised for transferring “power from one controlling entity to another” (Flannigan, 2013, p, 482. This is because this approach forces some victims to still have to testify which could lead them to have further distrust in the police and decrease the likelihood of them reporting further instances of violence (Flannigan, 2013). Therefore, although it can be beneficial, an evidence-led prosecution relies on additional evidence which isn’t always available in cases and can cause further stress for victims. </w:t>
      </w:r>
    </w:p>
    <w:p w14:paraId="14968180" w14:textId="77777777" w:rsidR="007466E1" w:rsidRDefault="007466E1" w:rsidP="003713B7">
      <w:pPr>
        <w:spacing w:line="360" w:lineRule="auto"/>
        <w:ind w:right="237"/>
        <w:jc w:val="both"/>
      </w:pPr>
    </w:p>
    <w:p w14:paraId="6CF2B575" w14:textId="77777777" w:rsidR="007466E1" w:rsidRDefault="007466E1" w:rsidP="003713B7">
      <w:pPr>
        <w:spacing w:line="360" w:lineRule="auto"/>
        <w:ind w:right="237"/>
        <w:jc w:val="both"/>
        <w:rPr>
          <w:color w:val="000000" w:themeColor="text1"/>
        </w:rPr>
      </w:pPr>
      <w:r>
        <w:t xml:space="preserve">Using Borton’s ‘Now What?’ phase this essay will discuss how a DVPN/DVPO was used to help the victim and the implications of this for future use. </w:t>
      </w:r>
      <w:r>
        <w:rPr>
          <w:color w:val="000000" w:themeColor="text1"/>
        </w:rPr>
        <w:t xml:space="preserve">Due to no complaint forthcoming and difficulties with evidence it was decided that we would try a DVPN (Domestic violence protection notice). DVPN’s primary purpose is to provide shot term relief and protection for a victim in the aftermath of a domestic incident by preventing the perpetrator molesting the victim (COP, 2015b). The DVPN is then followed by an application for a DVPO from the magistrates court within 48 hours of servicing the DVPN (COP, 2015b). A DVPO lasts for a maximum of 28 days (COP, 2015b). Victims who have been issued a DVPO have found them to useful with some victims stating that they made them feel safer (Bessant, 2015). DVPO’s have been found to be effective in preventing further DA incidents (Bessant, 2015). DVPO’s ultimately provide a victim the opportunity to have breathing space from a perpetrator which may help in improving a victims willingness to engage with the police and other services as a DVPO would help to disrupt the coercive and controlling behaviours the perpetrator has been exhibiting (COP, 2018). In this instance a DVPN/DVPO was applied for and accepted and the victim received no more contact from the subject so it was effective. DVPN/DVPO’s are an extremely useful tool in domestic incidents where the victim does not want to make a complaint and should be used more by officers to try and protect victims who are unwilling to cooperate with police. </w:t>
      </w:r>
    </w:p>
    <w:p w14:paraId="36284D49" w14:textId="77777777" w:rsidR="007466E1" w:rsidRDefault="007466E1" w:rsidP="003713B7">
      <w:pPr>
        <w:spacing w:line="360" w:lineRule="auto"/>
        <w:ind w:right="237"/>
        <w:jc w:val="both"/>
        <w:rPr>
          <w:color w:val="000000" w:themeColor="text1"/>
        </w:rPr>
      </w:pPr>
    </w:p>
    <w:p w14:paraId="4329B845" w14:textId="77777777" w:rsidR="007466E1" w:rsidRPr="00EB170F" w:rsidRDefault="007466E1" w:rsidP="003713B7">
      <w:pPr>
        <w:spacing w:line="360" w:lineRule="auto"/>
        <w:ind w:right="237"/>
        <w:jc w:val="both"/>
      </w:pPr>
      <w:r>
        <w:rPr>
          <w:color w:val="000000" w:themeColor="text1"/>
        </w:rPr>
        <w:t xml:space="preserve">However, ultimately DVPOs are a short term solution to a difficult situation, it relies on both parties engaging with it and the restrictions do not last so there is the potential for perpetrators to carry on their abuse. DVPO’s have been criticised by some victims as being not effective as it did not stop their abusers from turning up at their addresses and trying to engage with them (BBC, 2022). Research has found that around a quarter of DVPOs have been breached every financial year since 2018 (BBC, 2022). Therefore, DVPO’s do not always protect victims from further abuse by their perpetrators. </w:t>
      </w:r>
    </w:p>
    <w:p w14:paraId="328F053C" w14:textId="77777777" w:rsidR="007466E1" w:rsidRPr="00EE601C" w:rsidRDefault="007466E1" w:rsidP="003713B7">
      <w:pPr>
        <w:spacing w:line="360" w:lineRule="auto"/>
        <w:ind w:right="237"/>
        <w:jc w:val="both"/>
        <w:rPr>
          <w:color w:val="000000" w:themeColor="text1"/>
        </w:rPr>
      </w:pPr>
    </w:p>
    <w:p w14:paraId="33C8A44B" w14:textId="77777777" w:rsidR="007466E1" w:rsidRPr="00C704F2" w:rsidRDefault="007466E1" w:rsidP="003713B7">
      <w:pPr>
        <w:spacing w:line="360" w:lineRule="auto"/>
        <w:ind w:right="237"/>
        <w:jc w:val="both"/>
        <w:rPr>
          <w:color w:val="000000" w:themeColor="text1"/>
        </w:rPr>
      </w:pPr>
      <w:r>
        <w:rPr>
          <w:color w:val="000000" w:themeColor="text1"/>
        </w:rPr>
        <w:t xml:space="preserve">This domestic incident centred around an elderly female who was experiencing coercive and controlling behaviour. This female was reluctant to give us much information on her relationship and was reluctant to make a complaint and pursue a prosecution. It was clear from speaking to neighbours and meeting the perpetrator that the female was experiencing coercive and controlling behaviour and so I believed she needed to be protected from this even if she was not willing to make </w:t>
      </w:r>
      <w:r>
        <w:rPr>
          <w:color w:val="000000" w:themeColor="text1"/>
        </w:rPr>
        <w:lastRenderedPageBreak/>
        <w:t xml:space="preserve">a complaint. This essay discussed the use of evidence led prosecution and how although there was not enough evidence in this case for the CPS to accept an evidence-led prosecution it was considered as a means of being able to safeguard and protect the female, but due to the high threshold for coercive and controlling behaviour and lack of support from the victim an evidence-led prosecution could not be utilised. This essay also discussed the use of DVPN’s/DVPOS’s and the effectiveness of these in providing victims with short term protection from perpetrators. This essay found that the DVPN/DVPO was effective in protecting the victim and is a useful tool for no complaint domestics and one that should be utilised more by officers. </w:t>
      </w:r>
    </w:p>
    <w:p w14:paraId="33538E64" w14:textId="77777777" w:rsidR="007466E1" w:rsidRPr="00EE601C" w:rsidRDefault="007466E1" w:rsidP="003713B7">
      <w:pPr>
        <w:spacing w:line="360" w:lineRule="auto"/>
        <w:ind w:right="237"/>
        <w:jc w:val="both"/>
        <w:rPr>
          <w:color w:val="000000" w:themeColor="text1"/>
        </w:rPr>
      </w:pPr>
    </w:p>
    <w:p w14:paraId="278A4E33" w14:textId="18EFFDDD" w:rsidR="007466E1" w:rsidRPr="00EF5B91" w:rsidRDefault="007466E1" w:rsidP="003713B7">
      <w:pPr>
        <w:spacing w:line="360" w:lineRule="auto"/>
        <w:rPr>
          <w:b/>
          <w:bCs/>
        </w:rPr>
      </w:pPr>
      <w:r>
        <w:rPr>
          <w:b/>
          <w:bCs/>
        </w:rPr>
        <w:t>Word Count: 20</w:t>
      </w:r>
      <w:r w:rsidR="009E65AE">
        <w:rPr>
          <w:b/>
          <w:bCs/>
        </w:rPr>
        <w:t>20</w:t>
      </w:r>
    </w:p>
    <w:p w14:paraId="64BC00E6" w14:textId="77777777" w:rsidR="00397B45" w:rsidRDefault="00397B45" w:rsidP="5CE196A1">
      <w:pPr>
        <w:rPr>
          <w:rFonts w:eastAsia="Arial"/>
          <w:b/>
          <w:bCs/>
          <w:color w:val="000000" w:themeColor="text1"/>
          <w:sz w:val="24"/>
          <w:szCs w:val="24"/>
        </w:rPr>
      </w:pPr>
    </w:p>
    <w:p w14:paraId="01AFE112" w14:textId="77777777" w:rsidR="00413112" w:rsidRDefault="00413112" w:rsidP="5CE196A1">
      <w:pPr>
        <w:rPr>
          <w:rFonts w:eastAsia="Arial"/>
          <w:b/>
          <w:bCs/>
          <w:color w:val="000000" w:themeColor="text1"/>
          <w:sz w:val="24"/>
          <w:szCs w:val="24"/>
        </w:rPr>
      </w:pPr>
    </w:p>
    <w:p w14:paraId="626EFB18" w14:textId="77777777" w:rsidR="003713B7" w:rsidRDefault="003713B7" w:rsidP="5CE196A1">
      <w:pPr>
        <w:rPr>
          <w:rFonts w:eastAsia="Arial"/>
          <w:b/>
          <w:bCs/>
          <w:color w:val="000000" w:themeColor="text1"/>
          <w:sz w:val="24"/>
          <w:szCs w:val="24"/>
        </w:rPr>
      </w:pPr>
    </w:p>
    <w:p w14:paraId="60DE0113" w14:textId="77777777" w:rsidR="003713B7" w:rsidRDefault="003713B7" w:rsidP="5CE196A1">
      <w:pPr>
        <w:rPr>
          <w:rFonts w:eastAsia="Arial"/>
          <w:b/>
          <w:bCs/>
          <w:color w:val="000000" w:themeColor="text1"/>
          <w:sz w:val="24"/>
          <w:szCs w:val="24"/>
        </w:rPr>
      </w:pPr>
    </w:p>
    <w:p w14:paraId="78F2D694" w14:textId="77777777" w:rsidR="003713B7" w:rsidRDefault="003713B7" w:rsidP="5CE196A1">
      <w:pPr>
        <w:rPr>
          <w:rFonts w:eastAsia="Arial"/>
          <w:b/>
          <w:bCs/>
          <w:color w:val="000000" w:themeColor="text1"/>
          <w:sz w:val="24"/>
          <w:szCs w:val="24"/>
        </w:rPr>
      </w:pPr>
    </w:p>
    <w:p w14:paraId="18C53577" w14:textId="77777777" w:rsidR="003713B7" w:rsidRDefault="003713B7" w:rsidP="5CE196A1">
      <w:pPr>
        <w:rPr>
          <w:rFonts w:eastAsia="Arial"/>
          <w:b/>
          <w:bCs/>
          <w:color w:val="000000" w:themeColor="text1"/>
          <w:sz w:val="24"/>
          <w:szCs w:val="24"/>
        </w:rPr>
      </w:pPr>
    </w:p>
    <w:p w14:paraId="16C26FC3" w14:textId="77777777" w:rsidR="003713B7" w:rsidRDefault="003713B7" w:rsidP="5CE196A1">
      <w:pPr>
        <w:rPr>
          <w:rFonts w:eastAsia="Arial"/>
          <w:b/>
          <w:bCs/>
          <w:color w:val="000000" w:themeColor="text1"/>
          <w:sz w:val="24"/>
          <w:szCs w:val="24"/>
        </w:rPr>
      </w:pPr>
    </w:p>
    <w:p w14:paraId="6D3740C3" w14:textId="77777777" w:rsidR="003713B7" w:rsidRDefault="003713B7" w:rsidP="5CE196A1">
      <w:pPr>
        <w:rPr>
          <w:rFonts w:eastAsia="Arial"/>
          <w:b/>
          <w:bCs/>
          <w:color w:val="000000" w:themeColor="text1"/>
          <w:sz w:val="24"/>
          <w:szCs w:val="24"/>
        </w:rPr>
      </w:pPr>
    </w:p>
    <w:p w14:paraId="03CDC2C0" w14:textId="77777777" w:rsidR="003713B7" w:rsidRDefault="003713B7" w:rsidP="5CE196A1">
      <w:pPr>
        <w:rPr>
          <w:rFonts w:eastAsia="Arial"/>
          <w:b/>
          <w:bCs/>
          <w:color w:val="000000" w:themeColor="text1"/>
          <w:sz w:val="24"/>
          <w:szCs w:val="24"/>
        </w:rPr>
      </w:pPr>
    </w:p>
    <w:p w14:paraId="44BE3FEA" w14:textId="77777777" w:rsidR="003713B7" w:rsidRDefault="003713B7" w:rsidP="5CE196A1">
      <w:pPr>
        <w:rPr>
          <w:rFonts w:eastAsia="Arial"/>
          <w:b/>
          <w:bCs/>
          <w:color w:val="000000" w:themeColor="text1"/>
          <w:sz w:val="24"/>
          <w:szCs w:val="24"/>
        </w:rPr>
      </w:pPr>
    </w:p>
    <w:p w14:paraId="06311B26" w14:textId="77777777" w:rsidR="003713B7" w:rsidRDefault="003713B7" w:rsidP="5CE196A1">
      <w:pPr>
        <w:rPr>
          <w:rFonts w:eastAsia="Arial"/>
          <w:b/>
          <w:bCs/>
          <w:color w:val="000000" w:themeColor="text1"/>
          <w:sz w:val="24"/>
          <w:szCs w:val="24"/>
        </w:rPr>
      </w:pPr>
    </w:p>
    <w:p w14:paraId="6C479696" w14:textId="77777777" w:rsidR="003713B7" w:rsidRDefault="003713B7" w:rsidP="5CE196A1">
      <w:pPr>
        <w:rPr>
          <w:rFonts w:eastAsia="Arial"/>
          <w:b/>
          <w:bCs/>
          <w:color w:val="000000" w:themeColor="text1"/>
          <w:sz w:val="24"/>
          <w:szCs w:val="24"/>
        </w:rPr>
      </w:pPr>
    </w:p>
    <w:p w14:paraId="027E5D66" w14:textId="77777777" w:rsidR="003713B7" w:rsidRDefault="003713B7" w:rsidP="5CE196A1">
      <w:pPr>
        <w:rPr>
          <w:rFonts w:eastAsia="Arial"/>
          <w:b/>
          <w:bCs/>
          <w:color w:val="000000" w:themeColor="text1"/>
          <w:sz w:val="24"/>
          <w:szCs w:val="24"/>
        </w:rPr>
      </w:pPr>
    </w:p>
    <w:p w14:paraId="3E68A605" w14:textId="77777777" w:rsidR="003713B7" w:rsidRDefault="003713B7" w:rsidP="5CE196A1">
      <w:pPr>
        <w:rPr>
          <w:rFonts w:eastAsia="Arial"/>
          <w:b/>
          <w:bCs/>
          <w:color w:val="000000" w:themeColor="text1"/>
          <w:sz w:val="24"/>
          <w:szCs w:val="24"/>
        </w:rPr>
      </w:pPr>
    </w:p>
    <w:p w14:paraId="11AA1C84" w14:textId="77777777" w:rsidR="003713B7" w:rsidRDefault="003713B7" w:rsidP="5CE196A1">
      <w:pPr>
        <w:rPr>
          <w:rFonts w:eastAsia="Arial"/>
          <w:b/>
          <w:bCs/>
          <w:color w:val="000000" w:themeColor="text1"/>
          <w:sz w:val="24"/>
          <w:szCs w:val="24"/>
        </w:rPr>
      </w:pPr>
    </w:p>
    <w:p w14:paraId="2195F691" w14:textId="77777777" w:rsidR="003713B7" w:rsidRDefault="003713B7" w:rsidP="5CE196A1">
      <w:pPr>
        <w:rPr>
          <w:rFonts w:eastAsia="Arial"/>
          <w:b/>
          <w:bCs/>
          <w:color w:val="000000" w:themeColor="text1"/>
          <w:sz w:val="24"/>
          <w:szCs w:val="24"/>
        </w:rPr>
      </w:pPr>
    </w:p>
    <w:p w14:paraId="33D173FE" w14:textId="77777777" w:rsidR="003713B7" w:rsidRDefault="003713B7" w:rsidP="5CE196A1">
      <w:pPr>
        <w:rPr>
          <w:rFonts w:eastAsia="Arial"/>
          <w:b/>
          <w:bCs/>
          <w:color w:val="000000" w:themeColor="text1"/>
          <w:sz w:val="24"/>
          <w:szCs w:val="24"/>
        </w:rPr>
      </w:pPr>
    </w:p>
    <w:p w14:paraId="2A97EC58" w14:textId="77777777" w:rsidR="003713B7" w:rsidRDefault="003713B7" w:rsidP="5CE196A1">
      <w:pPr>
        <w:rPr>
          <w:rFonts w:eastAsia="Arial"/>
          <w:b/>
          <w:bCs/>
          <w:color w:val="000000" w:themeColor="text1"/>
          <w:sz w:val="24"/>
          <w:szCs w:val="24"/>
        </w:rPr>
      </w:pPr>
    </w:p>
    <w:p w14:paraId="7F47AA32" w14:textId="77777777" w:rsidR="003713B7" w:rsidRDefault="003713B7" w:rsidP="5CE196A1">
      <w:pPr>
        <w:rPr>
          <w:rFonts w:eastAsia="Arial"/>
          <w:b/>
          <w:bCs/>
          <w:color w:val="000000" w:themeColor="text1"/>
          <w:sz w:val="24"/>
          <w:szCs w:val="24"/>
        </w:rPr>
      </w:pPr>
    </w:p>
    <w:p w14:paraId="29942D12" w14:textId="77777777" w:rsidR="003713B7" w:rsidRDefault="003713B7" w:rsidP="5CE196A1">
      <w:pPr>
        <w:rPr>
          <w:rFonts w:eastAsia="Arial"/>
          <w:b/>
          <w:bCs/>
          <w:color w:val="000000" w:themeColor="text1"/>
          <w:sz w:val="24"/>
          <w:szCs w:val="24"/>
        </w:rPr>
      </w:pPr>
    </w:p>
    <w:p w14:paraId="590BAF16" w14:textId="77777777" w:rsidR="003713B7" w:rsidRDefault="003713B7" w:rsidP="5CE196A1">
      <w:pPr>
        <w:rPr>
          <w:rFonts w:eastAsia="Arial"/>
          <w:b/>
          <w:bCs/>
          <w:color w:val="000000" w:themeColor="text1"/>
          <w:sz w:val="24"/>
          <w:szCs w:val="24"/>
        </w:rPr>
      </w:pPr>
    </w:p>
    <w:p w14:paraId="72184757" w14:textId="77777777" w:rsidR="003713B7" w:rsidRDefault="003713B7" w:rsidP="5CE196A1">
      <w:pPr>
        <w:rPr>
          <w:rFonts w:eastAsia="Arial"/>
          <w:b/>
          <w:bCs/>
          <w:color w:val="000000" w:themeColor="text1"/>
          <w:sz w:val="24"/>
          <w:szCs w:val="24"/>
        </w:rPr>
      </w:pPr>
    </w:p>
    <w:p w14:paraId="49277554" w14:textId="77777777" w:rsidR="003713B7" w:rsidRDefault="003713B7" w:rsidP="5CE196A1">
      <w:pPr>
        <w:rPr>
          <w:rFonts w:eastAsia="Arial"/>
          <w:b/>
          <w:bCs/>
          <w:color w:val="000000" w:themeColor="text1"/>
          <w:sz w:val="24"/>
          <w:szCs w:val="24"/>
        </w:rPr>
      </w:pPr>
    </w:p>
    <w:p w14:paraId="16CF9C2C" w14:textId="77777777" w:rsidR="003713B7" w:rsidRDefault="003713B7" w:rsidP="5CE196A1">
      <w:pPr>
        <w:rPr>
          <w:rFonts w:eastAsia="Arial"/>
          <w:b/>
          <w:bCs/>
          <w:color w:val="000000" w:themeColor="text1"/>
          <w:sz w:val="24"/>
          <w:szCs w:val="24"/>
        </w:rPr>
      </w:pPr>
    </w:p>
    <w:p w14:paraId="638F8318" w14:textId="77777777" w:rsidR="003713B7" w:rsidRDefault="003713B7" w:rsidP="5CE196A1">
      <w:pPr>
        <w:rPr>
          <w:rFonts w:eastAsia="Arial"/>
          <w:b/>
          <w:bCs/>
          <w:color w:val="000000" w:themeColor="text1"/>
          <w:sz w:val="24"/>
          <w:szCs w:val="24"/>
        </w:rPr>
      </w:pPr>
    </w:p>
    <w:p w14:paraId="415D773A" w14:textId="77777777" w:rsidR="003713B7" w:rsidRDefault="003713B7" w:rsidP="5CE196A1">
      <w:pPr>
        <w:rPr>
          <w:rFonts w:eastAsia="Arial"/>
          <w:b/>
          <w:bCs/>
          <w:color w:val="000000" w:themeColor="text1"/>
          <w:sz w:val="24"/>
          <w:szCs w:val="24"/>
        </w:rPr>
      </w:pPr>
    </w:p>
    <w:p w14:paraId="425D1A90" w14:textId="77777777" w:rsidR="003713B7" w:rsidRDefault="003713B7" w:rsidP="5CE196A1">
      <w:pPr>
        <w:rPr>
          <w:rFonts w:eastAsia="Arial"/>
          <w:b/>
          <w:bCs/>
          <w:color w:val="000000" w:themeColor="text1"/>
          <w:sz w:val="24"/>
          <w:szCs w:val="24"/>
        </w:rPr>
      </w:pPr>
    </w:p>
    <w:p w14:paraId="52928E8D" w14:textId="77777777" w:rsidR="003713B7" w:rsidRDefault="003713B7" w:rsidP="5CE196A1">
      <w:pPr>
        <w:rPr>
          <w:rFonts w:eastAsia="Arial"/>
          <w:b/>
          <w:bCs/>
          <w:color w:val="000000" w:themeColor="text1"/>
          <w:sz w:val="24"/>
          <w:szCs w:val="24"/>
        </w:rPr>
      </w:pPr>
    </w:p>
    <w:p w14:paraId="7D6B2F24" w14:textId="77777777" w:rsidR="003713B7" w:rsidRDefault="003713B7" w:rsidP="5CE196A1">
      <w:pPr>
        <w:rPr>
          <w:rFonts w:eastAsia="Arial"/>
          <w:b/>
          <w:bCs/>
          <w:color w:val="000000" w:themeColor="text1"/>
          <w:sz w:val="24"/>
          <w:szCs w:val="24"/>
        </w:rPr>
      </w:pPr>
    </w:p>
    <w:p w14:paraId="59234285" w14:textId="77777777" w:rsidR="003713B7" w:rsidRDefault="003713B7" w:rsidP="5CE196A1">
      <w:pPr>
        <w:rPr>
          <w:rFonts w:eastAsia="Arial"/>
          <w:b/>
          <w:bCs/>
          <w:color w:val="000000" w:themeColor="text1"/>
          <w:sz w:val="24"/>
          <w:szCs w:val="24"/>
        </w:rPr>
      </w:pPr>
    </w:p>
    <w:p w14:paraId="1536F42A" w14:textId="77777777" w:rsidR="003713B7" w:rsidRDefault="003713B7" w:rsidP="5CE196A1">
      <w:pPr>
        <w:rPr>
          <w:rFonts w:eastAsia="Arial"/>
          <w:b/>
          <w:bCs/>
          <w:color w:val="000000" w:themeColor="text1"/>
          <w:sz w:val="24"/>
          <w:szCs w:val="24"/>
        </w:rPr>
      </w:pPr>
    </w:p>
    <w:p w14:paraId="0A8B26C6" w14:textId="77777777" w:rsidR="003713B7" w:rsidRDefault="003713B7" w:rsidP="5CE196A1">
      <w:pPr>
        <w:rPr>
          <w:rFonts w:eastAsia="Arial"/>
          <w:b/>
          <w:bCs/>
          <w:color w:val="000000" w:themeColor="text1"/>
          <w:sz w:val="24"/>
          <w:szCs w:val="24"/>
        </w:rPr>
      </w:pPr>
    </w:p>
    <w:p w14:paraId="1E34D41D" w14:textId="77777777" w:rsidR="003713B7" w:rsidRDefault="003713B7" w:rsidP="5CE196A1">
      <w:pPr>
        <w:rPr>
          <w:rFonts w:eastAsia="Arial"/>
          <w:b/>
          <w:bCs/>
          <w:color w:val="000000" w:themeColor="text1"/>
          <w:sz w:val="24"/>
          <w:szCs w:val="24"/>
        </w:rPr>
      </w:pPr>
    </w:p>
    <w:p w14:paraId="5DD6BFCF" w14:textId="77777777" w:rsidR="003713B7" w:rsidRDefault="003713B7" w:rsidP="5CE196A1">
      <w:pPr>
        <w:rPr>
          <w:rFonts w:eastAsia="Arial"/>
          <w:b/>
          <w:bCs/>
          <w:color w:val="000000" w:themeColor="text1"/>
          <w:sz w:val="24"/>
          <w:szCs w:val="24"/>
        </w:rPr>
      </w:pPr>
    </w:p>
    <w:p w14:paraId="3A15A482" w14:textId="77777777" w:rsidR="003713B7" w:rsidRDefault="003713B7" w:rsidP="5CE196A1">
      <w:pPr>
        <w:rPr>
          <w:rFonts w:eastAsia="Arial"/>
          <w:b/>
          <w:bCs/>
          <w:color w:val="000000" w:themeColor="text1"/>
          <w:sz w:val="24"/>
          <w:szCs w:val="24"/>
        </w:rPr>
      </w:pPr>
    </w:p>
    <w:p w14:paraId="321F52A0" w14:textId="77777777" w:rsidR="003713B7" w:rsidRDefault="003713B7" w:rsidP="5CE196A1">
      <w:pPr>
        <w:rPr>
          <w:rFonts w:eastAsia="Arial"/>
          <w:b/>
          <w:bCs/>
          <w:color w:val="000000" w:themeColor="text1"/>
          <w:sz w:val="24"/>
          <w:szCs w:val="24"/>
        </w:rPr>
      </w:pPr>
    </w:p>
    <w:p w14:paraId="178FD833" w14:textId="77777777" w:rsidR="003713B7" w:rsidRDefault="003713B7" w:rsidP="5CE196A1">
      <w:pPr>
        <w:rPr>
          <w:rFonts w:eastAsia="Arial"/>
          <w:b/>
          <w:bCs/>
          <w:color w:val="000000" w:themeColor="text1"/>
          <w:sz w:val="24"/>
          <w:szCs w:val="24"/>
        </w:rPr>
      </w:pPr>
    </w:p>
    <w:p w14:paraId="1FBCE137" w14:textId="77777777" w:rsidR="00397B45" w:rsidRDefault="00397B45" w:rsidP="5CE196A1">
      <w:pPr>
        <w:rPr>
          <w:rFonts w:eastAsia="Arial"/>
          <w:b/>
          <w:bCs/>
          <w:color w:val="000000" w:themeColor="text1"/>
          <w:sz w:val="24"/>
          <w:szCs w:val="24"/>
        </w:rPr>
      </w:pPr>
    </w:p>
    <w:p w14:paraId="1ADEFAE5" w14:textId="0471E077" w:rsidR="0FF883D4" w:rsidRDefault="5CE196A1" w:rsidP="5CE196A1">
      <w:r w:rsidRPr="5CE196A1">
        <w:rPr>
          <w:rFonts w:eastAsia="Arial"/>
          <w:b/>
          <w:bCs/>
          <w:color w:val="000000" w:themeColor="text1"/>
          <w:sz w:val="24"/>
          <w:szCs w:val="24"/>
        </w:rPr>
        <w:lastRenderedPageBreak/>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D39158E" w:rsidR="0FF883D4" w:rsidRDefault="5CE196A1" w:rsidP="5CE196A1">
      <w:r w:rsidRPr="5CE196A1">
        <w:rPr>
          <w:rFonts w:eastAsia="Arial"/>
          <w:b/>
          <w:bCs/>
          <w:color w:val="000000" w:themeColor="text1"/>
          <w:sz w:val="24"/>
          <w:szCs w:val="24"/>
        </w:rPr>
        <w:t xml:space="preserve">Signed: </w:t>
      </w:r>
      <w:r w:rsidR="00413112">
        <w:rPr>
          <w:rFonts w:eastAsia="Arial"/>
          <w:b/>
          <w:bCs/>
          <w:color w:val="000000" w:themeColor="text1"/>
          <w:sz w:val="24"/>
          <w:szCs w:val="24"/>
        </w:rPr>
        <w:t>CJONES</w:t>
      </w:r>
    </w:p>
    <w:p w14:paraId="563192E7" w14:textId="7A83C86F" w:rsidR="0FF883D4" w:rsidRDefault="5CE196A1" w:rsidP="5CE196A1">
      <w:r w:rsidRPr="5CE196A1">
        <w:rPr>
          <w:rFonts w:eastAsia="Arial"/>
          <w:b/>
          <w:bCs/>
          <w:color w:val="000000" w:themeColor="text1"/>
          <w:sz w:val="24"/>
          <w:szCs w:val="24"/>
        </w:rPr>
        <w:t xml:space="preserve"> </w:t>
      </w:r>
    </w:p>
    <w:p w14:paraId="7AF9DBD7" w14:textId="77777777" w:rsidR="0FF883D4" w:rsidRDefault="5CE196A1" w:rsidP="00FE12C3">
      <w:pPr>
        <w:rPr>
          <w:rFonts w:eastAsia="Arial"/>
          <w:b/>
          <w:bCs/>
          <w:color w:val="000000" w:themeColor="text1"/>
          <w:sz w:val="24"/>
          <w:szCs w:val="24"/>
        </w:rPr>
      </w:pPr>
      <w:r w:rsidRPr="5CE196A1">
        <w:rPr>
          <w:rFonts w:eastAsia="Arial"/>
          <w:b/>
          <w:bCs/>
          <w:color w:val="000000" w:themeColor="text1"/>
          <w:sz w:val="24"/>
          <w:szCs w:val="24"/>
        </w:rPr>
        <w:t>Date</w:t>
      </w:r>
      <w:r w:rsidR="00413112">
        <w:rPr>
          <w:rFonts w:eastAsia="Arial"/>
          <w:b/>
          <w:bCs/>
          <w:color w:val="000000" w:themeColor="text1"/>
          <w:sz w:val="24"/>
          <w:szCs w:val="24"/>
        </w:rPr>
        <w:t>: 2</w:t>
      </w:r>
      <w:r w:rsidR="007466E1">
        <w:rPr>
          <w:rFonts w:eastAsia="Arial"/>
          <w:b/>
          <w:bCs/>
          <w:color w:val="000000" w:themeColor="text1"/>
          <w:sz w:val="24"/>
          <w:szCs w:val="24"/>
        </w:rPr>
        <w:t>4</w:t>
      </w:r>
      <w:r w:rsidR="00413112">
        <w:rPr>
          <w:rFonts w:eastAsia="Arial"/>
          <w:b/>
          <w:bCs/>
          <w:color w:val="000000" w:themeColor="text1"/>
          <w:sz w:val="24"/>
          <w:szCs w:val="24"/>
        </w:rPr>
        <w:t>/0</w:t>
      </w:r>
      <w:r w:rsidR="007466E1">
        <w:rPr>
          <w:rFonts w:eastAsia="Arial"/>
          <w:b/>
          <w:bCs/>
          <w:color w:val="000000" w:themeColor="text1"/>
          <w:sz w:val="24"/>
          <w:szCs w:val="24"/>
        </w:rPr>
        <w:t>4</w:t>
      </w:r>
      <w:r w:rsidR="00413112">
        <w:rPr>
          <w:rFonts w:eastAsia="Arial"/>
          <w:b/>
          <w:bCs/>
          <w:color w:val="000000" w:themeColor="text1"/>
          <w:sz w:val="24"/>
          <w:szCs w:val="24"/>
        </w:rPr>
        <w:t>/202</w:t>
      </w:r>
    </w:p>
    <w:p w14:paraId="482B2B3A" w14:textId="0465C9B7" w:rsidR="003713B7" w:rsidRPr="00FE12C3" w:rsidRDefault="003713B7" w:rsidP="00FE12C3">
      <w:pPr>
        <w:sectPr w:rsidR="003713B7" w:rsidRPr="00FE12C3" w:rsidSect="0022001B">
          <w:footerReference w:type="default" r:id="rId15"/>
          <w:pgSz w:w="11906" w:h="16838" w:code="9"/>
          <w:pgMar w:top="1440" w:right="1440" w:bottom="1440" w:left="1440" w:header="720" w:footer="720" w:gutter="0"/>
          <w:cols w:space="720"/>
          <w:docGrid w:linePitch="272"/>
        </w:sectPr>
      </w:pPr>
    </w:p>
    <w:p w14:paraId="3BCC68F9" w14:textId="77777777" w:rsidR="00FE12C3" w:rsidRDefault="004923DA" w:rsidP="0054772F">
      <w:pPr>
        <w:spacing w:before="240" w:after="60"/>
        <w:ind w:right="238"/>
        <w:jc w:val="both"/>
        <w:rPr>
          <w:b/>
          <w:sz w:val="24"/>
          <w:szCs w:val="24"/>
        </w:rPr>
      </w:pPr>
      <w:r w:rsidRPr="00E676F7">
        <w:rPr>
          <w:b/>
          <w:sz w:val="24"/>
          <w:szCs w:val="24"/>
        </w:rPr>
        <w:lastRenderedPageBreak/>
        <w:t>Bibliography</w:t>
      </w:r>
    </w:p>
    <w:p w14:paraId="0AB807FE" w14:textId="3E0408A5" w:rsidR="1E8636EB" w:rsidRDefault="000F7ECD" w:rsidP="0054772F">
      <w:pPr>
        <w:spacing w:before="240" w:after="60"/>
        <w:ind w:right="238"/>
        <w:jc w:val="both"/>
        <w:rPr>
          <w:sz w:val="24"/>
          <w:szCs w:val="24"/>
        </w:rPr>
      </w:pPr>
      <w:r w:rsidRPr="00FE12C3">
        <w:rPr>
          <w:sz w:val="24"/>
          <w:szCs w:val="24"/>
        </w:rPr>
        <w:t xml:space="preserve">The bibliography should only include sources referenced within the </w:t>
      </w:r>
      <w:r w:rsidR="00F139CF" w:rsidRPr="00FE12C3">
        <w:rPr>
          <w:sz w:val="24"/>
          <w:szCs w:val="24"/>
        </w:rPr>
        <w:t>workbook</w:t>
      </w:r>
      <w:r w:rsidRPr="00FE12C3">
        <w:rPr>
          <w:sz w:val="24"/>
          <w:szCs w:val="24"/>
        </w:rPr>
        <w:t xml:space="preserve"> using the Harvard referencing system. </w:t>
      </w:r>
      <w:r w:rsidR="004923DA" w:rsidRPr="00FE12C3">
        <w:rPr>
          <w:sz w:val="24"/>
          <w:szCs w:val="24"/>
        </w:rPr>
        <w:t>Information about referencing in written assignments and how to avoid plagiarism can be found on Moodle</w:t>
      </w:r>
      <w:r w:rsidR="00C27C95" w:rsidRPr="00FE12C3">
        <w:rPr>
          <w:sz w:val="24"/>
          <w:szCs w:val="24"/>
        </w:rPr>
        <w:t>.</w:t>
      </w:r>
      <w:r w:rsidR="00147DE3" w:rsidRPr="00FE12C3">
        <w:rPr>
          <w:sz w:val="24"/>
          <w:szCs w:val="24"/>
        </w:rPr>
        <w:t xml:space="preserve"> It is important </w:t>
      </w:r>
      <w:r w:rsidR="00FE12C3" w:rsidRPr="00FE12C3">
        <w:rPr>
          <w:sz w:val="24"/>
          <w:szCs w:val="24"/>
        </w:rPr>
        <w:t xml:space="preserve">  </w:t>
      </w:r>
      <w:r w:rsidR="00147DE3" w:rsidRPr="00FE12C3">
        <w:rPr>
          <w:sz w:val="24"/>
          <w:szCs w:val="24"/>
        </w:rPr>
        <w:t>that you are aware of the importance of ensuring that the work submitted is your original work</w:t>
      </w:r>
      <w:r w:rsidR="00EA28F1" w:rsidRPr="00FE12C3">
        <w:rPr>
          <w:sz w:val="24"/>
          <w:szCs w:val="24"/>
        </w:rPr>
        <w:t xml:space="preserve">. </w:t>
      </w:r>
    </w:p>
    <w:p w14:paraId="65870341" w14:textId="77777777" w:rsidR="004779AC" w:rsidRDefault="004779AC" w:rsidP="003713B7">
      <w:pPr>
        <w:keepNext/>
        <w:spacing w:before="240" w:after="60" w:line="360" w:lineRule="auto"/>
        <w:ind w:right="237"/>
        <w:jc w:val="both"/>
      </w:pPr>
      <w:r w:rsidRPr="0093247C">
        <w:t xml:space="preserve">Age UK (2021) </w:t>
      </w:r>
      <w:r w:rsidRPr="0093247C">
        <w:rPr>
          <w:i/>
          <w:iCs/>
        </w:rPr>
        <w:t xml:space="preserve">Domestic abuse: more needs to be done to support older people. </w:t>
      </w:r>
      <w:r w:rsidRPr="0093247C">
        <w:t xml:space="preserve">Available at: </w:t>
      </w:r>
      <w:hyperlink r:id="rId16" w:history="1">
        <w:r w:rsidRPr="0093247C">
          <w:rPr>
            <w:rStyle w:val="Hyperlink"/>
            <w:rFonts w:eastAsiaTheme="majorEastAsia"/>
          </w:rPr>
          <w:t>Domestic abuse: more needs to be done to support older people | Discover | Age UK</w:t>
        </w:r>
      </w:hyperlink>
      <w:r w:rsidRPr="0093247C">
        <w:t xml:space="preserve"> (Accessed: 22 January 2025). </w:t>
      </w:r>
    </w:p>
    <w:p w14:paraId="39B273B7" w14:textId="77777777" w:rsidR="0043381A" w:rsidRDefault="0043381A" w:rsidP="003713B7">
      <w:pPr>
        <w:keepNext/>
        <w:spacing w:before="240" w:after="60" w:line="360" w:lineRule="auto"/>
        <w:ind w:right="237"/>
        <w:jc w:val="both"/>
      </w:pPr>
      <w:r>
        <w:t xml:space="preserve">Barrow-Grint, K. (2016) </w:t>
      </w:r>
      <w:r w:rsidRPr="00E63584">
        <w:t>‘Attrition rates in Domestic Abuse: Time for Change? An application of temporal Sequencing Theory’</w:t>
      </w:r>
      <w:r>
        <w:t xml:space="preserve">, </w:t>
      </w:r>
      <w:r>
        <w:rPr>
          <w:i/>
          <w:iCs/>
        </w:rPr>
        <w:t xml:space="preserve">A Journal of Policy and Practice, </w:t>
      </w:r>
      <w:r>
        <w:t xml:space="preserve">10(3), pp. 250-263. </w:t>
      </w:r>
    </w:p>
    <w:p w14:paraId="2304CCD5" w14:textId="77777777" w:rsidR="00514F73" w:rsidRPr="003245CF" w:rsidRDefault="00514F73" w:rsidP="003713B7">
      <w:pPr>
        <w:keepNext/>
        <w:spacing w:before="240" w:after="60" w:line="360" w:lineRule="auto"/>
        <w:ind w:right="237"/>
        <w:jc w:val="both"/>
      </w:pPr>
      <w:r>
        <w:t xml:space="preserve">BBC (2022) </w:t>
      </w:r>
      <w:r>
        <w:rPr>
          <w:i/>
          <w:iCs/>
        </w:rPr>
        <w:t xml:space="preserve">Domestic abuse protection orders “absolutely pointless” says victims. </w:t>
      </w:r>
      <w:r>
        <w:t xml:space="preserve">Available at: </w:t>
      </w:r>
      <w:hyperlink r:id="rId17" w:history="1">
        <w:r w:rsidRPr="003245CF">
          <w:rPr>
            <w:rStyle w:val="Hyperlink"/>
            <w:rFonts w:eastAsiaTheme="majorEastAsia"/>
          </w:rPr>
          <w:t>Domestic abuse protection orders "absolutely pointless" say victims - BBC News</w:t>
        </w:r>
      </w:hyperlink>
      <w:r>
        <w:t xml:space="preserve"> (Accessed: 09 February 2025). </w:t>
      </w:r>
    </w:p>
    <w:p w14:paraId="582F777A" w14:textId="77777777" w:rsidR="00703707" w:rsidRPr="00775BE2" w:rsidRDefault="00703707" w:rsidP="003713B7">
      <w:pPr>
        <w:keepNext/>
        <w:spacing w:before="240" w:after="60" w:line="360" w:lineRule="auto"/>
        <w:ind w:right="237"/>
        <w:jc w:val="both"/>
      </w:pPr>
      <w:r>
        <w:t xml:space="preserve">Bessant, C. (2015) ‘Protecting victims of domestic violence – have we got the balance right?’, </w:t>
      </w:r>
      <w:r>
        <w:rPr>
          <w:i/>
          <w:iCs/>
        </w:rPr>
        <w:t xml:space="preserve">The Journal of criminal law, </w:t>
      </w:r>
      <w:r>
        <w:t xml:space="preserve">79(2), pp. 102-121. </w:t>
      </w:r>
    </w:p>
    <w:p w14:paraId="1858B3D8" w14:textId="77777777" w:rsidR="00660891" w:rsidRDefault="002B2BD2" w:rsidP="003713B7">
      <w:pPr>
        <w:keepNext/>
        <w:spacing w:before="240" w:after="60" w:line="360" w:lineRule="auto"/>
        <w:ind w:right="237"/>
        <w:jc w:val="both"/>
      </w:pPr>
      <w:r w:rsidRPr="0093247C">
        <w:t xml:space="preserve">Boivin R. and Leclerc, C. (2016) ‘Domestic violence reported to the police: Correlates of victims’ reporting behaviour and support to legal proceedings’, </w:t>
      </w:r>
      <w:r w:rsidRPr="0093247C">
        <w:rPr>
          <w:i/>
          <w:iCs/>
        </w:rPr>
        <w:t xml:space="preserve">Violence and Victims, </w:t>
      </w:r>
      <w:r w:rsidRPr="0093247C">
        <w:t>31(3), pp. 402-415.</w:t>
      </w:r>
    </w:p>
    <w:p w14:paraId="0272BA57" w14:textId="0CFB1B73" w:rsidR="002B2BD2" w:rsidRPr="00660891" w:rsidRDefault="002B2BD2" w:rsidP="003713B7">
      <w:pPr>
        <w:keepNext/>
        <w:spacing w:before="240" w:after="60" w:line="360" w:lineRule="auto"/>
        <w:ind w:right="237"/>
        <w:jc w:val="both"/>
      </w:pPr>
      <w:r w:rsidRPr="00282A95">
        <w:rPr>
          <w:rFonts w:eastAsiaTheme="minorHAnsi"/>
          <w:color w:val="auto"/>
          <w:kern w:val="2"/>
          <w:lang w:eastAsia="en-US"/>
          <w14:ligatures w14:val="standardContextual"/>
        </w:rPr>
        <w:t xml:space="preserve">Borton, T. (1970) </w:t>
      </w:r>
      <w:r w:rsidRPr="00282A95">
        <w:rPr>
          <w:rFonts w:eastAsiaTheme="minorHAnsi"/>
          <w:i/>
          <w:iCs/>
          <w:color w:val="auto"/>
          <w:kern w:val="2"/>
          <w:lang w:eastAsia="en-US"/>
          <w14:ligatures w14:val="standardContextual"/>
        </w:rPr>
        <w:t>Reach Touch and Teach</w:t>
      </w:r>
      <w:r w:rsidRPr="00282A95">
        <w:rPr>
          <w:rFonts w:eastAsiaTheme="minorHAnsi"/>
          <w:color w:val="auto"/>
          <w:kern w:val="2"/>
          <w:lang w:eastAsia="en-US"/>
          <w14:ligatures w14:val="standardContextual"/>
        </w:rPr>
        <w:t>. New York: McGraw-Hill Paperbacks.</w:t>
      </w:r>
    </w:p>
    <w:p w14:paraId="080715FA" w14:textId="77777777" w:rsidR="002B2BD2" w:rsidRPr="0093247C" w:rsidRDefault="002B2BD2" w:rsidP="003713B7">
      <w:pPr>
        <w:keepNext/>
        <w:spacing w:before="240" w:after="60" w:line="360" w:lineRule="auto"/>
        <w:ind w:right="237"/>
        <w:jc w:val="both"/>
      </w:pPr>
      <w:r w:rsidRPr="0093247C">
        <w:t xml:space="preserve">Braga, A.A., Weisburd, D. and Turchan, B. (2019) ‘Focused deterrence strategies effects on crime: A systematic review’, </w:t>
      </w:r>
      <w:r w:rsidRPr="0093247C">
        <w:rPr>
          <w:i/>
          <w:iCs/>
        </w:rPr>
        <w:t xml:space="preserve">Campbell systematic review, </w:t>
      </w:r>
      <w:r w:rsidRPr="0093247C">
        <w:t xml:space="preserve">15(3), pp. 1-20. </w:t>
      </w:r>
    </w:p>
    <w:p w14:paraId="616FC792" w14:textId="77777777" w:rsidR="002B2BD2" w:rsidRPr="0093247C" w:rsidRDefault="002B2BD2" w:rsidP="003713B7">
      <w:pPr>
        <w:keepNext/>
        <w:spacing w:before="240" w:after="60" w:line="360" w:lineRule="auto"/>
        <w:ind w:right="237"/>
        <w:jc w:val="both"/>
      </w:pPr>
      <w:r w:rsidRPr="0093247C">
        <w:t xml:space="preserve">Budd, T. (1999) </w:t>
      </w:r>
      <w:r w:rsidRPr="0093247C">
        <w:rPr>
          <w:i/>
          <w:iCs/>
        </w:rPr>
        <w:t>Burglary of Domestic Dwelling: Findings from the British Crime Survey.</w:t>
      </w:r>
      <w:r w:rsidRPr="0093247C">
        <w:rPr>
          <w:b/>
          <w:bCs/>
        </w:rPr>
        <w:t xml:space="preserve"> </w:t>
      </w:r>
      <w:r w:rsidRPr="0093247C">
        <w:t xml:space="preserve">London: Home Office. </w:t>
      </w:r>
    </w:p>
    <w:p w14:paraId="36891D92" w14:textId="77777777" w:rsidR="00AF72C5" w:rsidRPr="00D02193" w:rsidRDefault="00AF72C5" w:rsidP="003713B7">
      <w:pPr>
        <w:keepNext/>
        <w:spacing w:before="240" w:after="60" w:line="360" w:lineRule="auto"/>
        <w:ind w:right="237"/>
        <w:jc w:val="both"/>
      </w:pPr>
      <w:r w:rsidRPr="0093247C">
        <w:t xml:space="preserve">CAADA (2012) </w:t>
      </w:r>
      <w:r w:rsidRPr="0093247C">
        <w:rPr>
          <w:i/>
          <w:iCs/>
        </w:rPr>
        <w:t xml:space="preserve">The MARAC Representatives Toolkit. </w:t>
      </w:r>
      <w:r w:rsidRPr="0093247C">
        <w:t xml:space="preserve">Available at: </w:t>
      </w:r>
      <w:hyperlink r:id="rId18" w:history="1">
        <w:r w:rsidRPr="0093247C">
          <w:rPr>
            <w:rStyle w:val="Hyperlink"/>
            <w:rFonts w:eastAsiaTheme="majorEastAsia"/>
          </w:rPr>
          <w:t>caada.org.uk</w:t>
        </w:r>
      </w:hyperlink>
      <w:r w:rsidRPr="0093247C">
        <w:t xml:space="preserve"> (Accessed: 22 January 2025). </w:t>
      </w:r>
    </w:p>
    <w:p w14:paraId="45403EDC" w14:textId="77777777" w:rsidR="00AF72C5" w:rsidRPr="0093247C" w:rsidRDefault="00AF72C5" w:rsidP="003713B7">
      <w:pPr>
        <w:keepNext/>
        <w:spacing w:before="240" w:after="60" w:line="360" w:lineRule="auto"/>
        <w:ind w:right="237"/>
        <w:jc w:val="both"/>
      </w:pPr>
      <w:r w:rsidRPr="0093247C">
        <w:t xml:space="preserve">Chalkley, R. and Strang, H. (2017) ‘Predicting domestic homicides and serious violence in Dorset: A replication of Thornton’s Thames Valley analysis’, </w:t>
      </w:r>
      <w:r w:rsidRPr="0093247C">
        <w:rPr>
          <w:i/>
          <w:iCs/>
        </w:rPr>
        <w:t xml:space="preserve">Cambridge Journal of Evidence-Based Policing, </w:t>
      </w:r>
      <w:r w:rsidRPr="0093247C">
        <w:t xml:space="preserve">1(1), pp. 81-92. </w:t>
      </w:r>
    </w:p>
    <w:p w14:paraId="4CB8548A" w14:textId="77777777" w:rsidR="00AF72C5" w:rsidRPr="00282A95" w:rsidRDefault="00AF72C5" w:rsidP="003713B7">
      <w:pPr>
        <w:tabs>
          <w:tab w:val="left" w:pos="1572"/>
        </w:tabs>
        <w:overflowPunct/>
        <w:autoSpaceDE/>
        <w:autoSpaceDN/>
        <w:adjustRightInd/>
        <w:spacing w:after="160" w:line="360" w:lineRule="auto"/>
        <w:textAlignment w:val="auto"/>
        <w:rPr>
          <w:rFonts w:eastAsiaTheme="minorHAnsi"/>
          <w:color w:val="auto"/>
          <w:kern w:val="2"/>
          <w:lang w:eastAsia="en-US"/>
          <w14:ligatures w14:val="standardContextual"/>
        </w:rPr>
      </w:pPr>
    </w:p>
    <w:p w14:paraId="56900B12" w14:textId="0F2F90FA" w:rsidR="00AF72C5" w:rsidRDefault="00AF72C5" w:rsidP="003713B7">
      <w:pPr>
        <w:tabs>
          <w:tab w:val="left" w:pos="1572"/>
        </w:tabs>
        <w:overflowPunct/>
        <w:autoSpaceDE/>
        <w:autoSpaceDN/>
        <w:adjustRightInd/>
        <w:spacing w:after="160" w:line="360" w:lineRule="auto"/>
        <w:textAlignment w:val="auto"/>
      </w:pPr>
      <w:r w:rsidRPr="0093247C">
        <w:t>C</w:t>
      </w:r>
      <w:r>
        <w:t>olle</w:t>
      </w:r>
      <w:r w:rsidR="009B3E93">
        <w:t>ge</w:t>
      </w:r>
      <w:r>
        <w:t xml:space="preserve"> of Policing</w:t>
      </w:r>
      <w:r w:rsidRPr="0093247C">
        <w:t xml:space="preserve"> (2015a) </w:t>
      </w:r>
      <w:r w:rsidRPr="0093247C">
        <w:rPr>
          <w:i/>
          <w:iCs/>
        </w:rPr>
        <w:t xml:space="preserve">Domestic Abuse. </w:t>
      </w:r>
      <w:r w:rsidRPr="0093247C">
        <w:t xml:space="preserve">Available at: </w:t>
      </w:r>
      <w:hyperlink r:id="rId19" w:history="1">
        <w:r w:rsidRPr="0093247C">
          <w:rPr>
            <w:rStyle w:val="Hyperlink"/>
            <w:rFonts w:eastAsiaTheme="majorEastAsia"/>
          </w:rPr>
          <w:t>Domestic abuse | College of Policing</w:t>
        </w:r>
      </w:hyperlink>
      <w:r w:rsidRPr="0093247C">
        <w:t xml:space="preserve"> (Accessed: 18 January 2025). </w:t>
      </w:r>
    </w:p>
    <w:p w14:paraId="7D10D56B" w14:textId="77777777" w:rsidR="00143BD8" w:rsidRDefault="00F3470F" w:rsidP="00143BD8">
      <w:pPr>
        <w:spacing w:before="240" w:after="60" w:line="360" w:lineRule="auto"/>
        <w:ind w:right="238"/>
        <w:jc w:val="both"/>
      </w:pPr>
      <w:r w:rsidRPr="0093247C">
        <w:lastRenderedPageBreak/>
        <w:t>C</w:t>
      </w:r>
      <w:r>
        <w:t xml:space="preserve">ollege of Policing </w:t>
      </w:r>
      <w:r w:rsidR="00AF72C5" w:rsidRPr="0093247C">
        <w:t xml:space="preserve">(2015b) </w:t>
      </w:r>
      <w:r w:rsidR="00AF72C5" w:rsidRPr="0093247C">
        <w:rPr>
          <w:i/>
          <w:iCs/>
        </w:rPr>
        <w:t xml:space="preserve">Using domestic violence protection notices and domestic violence protection orders to make victims safer. </w:t>
      </w:r>
      <w:r w:rsidR="00AF72C5" w:rsidRPr="0093247C">
        <w:t xml:space="preserve">Available at: </w:t>
      </w:r>
      <w:hyperlink r:id="rId20" w:history="1">
        <w:r w:rsidR="00AF72C5" w:rsidRPr="0093247C">
          <w:rPr>
            <w:rStyle w:val="Hyperlink"/>
            <w:rFonts w:eastAsiaTheme="majorEastAsia"/>
          </w:rPr>
          <w:t>Using domestic violence protection notices an</w:t>
        </w:r>
        <w:r w:rsidR="003713B7">
          <w:rPr>
            <w:rStyle w:val="Hyperlink"/>
            <w:rFonts w:eastAsiaTheme="majorEastAsia"/>
          </w:rPr>
          <w:t xml:space="preserve"> </w:t>
        </w:r>
        <w:r w:rsidR="00AF72C5" w:rsidRPr="0093247C">
          <w:rPr>
            <w:rStyle w:val="Hyperlink"/>
            <w:rFonts w:eastAsiaTheme="majorEastAsia"/>
          </w:rPr>
          <w:t>domestic violence protection orders to make victims safer | College of Policing</w:t>
        </w:r>
      </w:hyperlink>
      <w:r w:rsidR="00AF72C5" w:rsidRPr="0093247C">
        <w:t xml:space="preserve"> (Accessed: 03 February 2025). </w:t>
      </w:r>
    </w:p>
    <w:p w14:paraId="6D23EEAC" w14:textId="77777777" w:rsidR="00143BD8" w:rsidRDefault="00AF72C5" w:rsidP="00143BD8">
      <w:pPr>
        <w:spacing w:before="240" w:after="60" w:line="360" w:lineRule="auto"/>
        <w:ind w:right="238"/>
        <w:jc w:val="both"/>
      </w:pPr>
      <w:r w:rsidRPr="0093247C">
        <w:t xml:space="preserve">CPS (2016) </w:t>
      </w:r>
      <w:r w:rsidRPr="0093247C">
        <w:rPr>
          <w:i/>
          <w:iCs/>
        </w:rPr>
        <w:t xml:space="preserve">Violence against women and girls: Crime report 2015-16. </w:t>
      </w:r>
      <w:r w:rsidRPr="0093247C">
        <w:t xml:space="preserve">Available at: </w:t>
      </w:r>
      <w:hyperlink r:id="rId21" w:history="1">
        <w:r w:rsidRPr="0093247C">
          <w:rPr>
            <w:rStyle w:val="Hyperlink"/>
            <w:rFonts w:eastAsiaTheme="majorEastAsia"/>
          </w:rPr>
          <w:t>CPS Violence against Women and Girls crime report 2015-2016 | The Crown Prosecution Service</w:t>
        </w:r>
      </w:hyperlink>
      <w:r w:rsidRPr="0093247C">
        <w:t xml:space="preserve"> (Accessed: 22 January 2025). </w:t>
      </w:r>
    </w:p>
    <w:p w14:paraId="3D41D407" w14:textId="77777777" w:rsidR="00143BD8" w:rsidRDefault="00F3470F" w:rsidP="00143BD8">
      <w:pPr>
        <w:spacing w:before="240" w:after="60" w:line="360" w:lineRule="auto"/>
        <w:ind w:right="238"/>
        <w:jc w:val="both"/>
      </w:pPr>
      <w:r>
        <w:t>Coll</w:t>
      </w:r>
      <w:r w:rsidR="009B3E93">
        <w:t>ege</w:t>
      </w:r>
      <w:r>
        <w:t xml:space="preserve"> of Policing </w:t>
      </w:r>
      <w:r w:rsidR="00AF72C5">
        <w:t xml:space="preserve">(2018) </w:t>
      </w:r>
      <w:r w:rsidR="00AF72C5">
        <w:rPr>
          <w:i/>
          <w:iCs/>
        </w:rPr>
        <w:t xml:space="preserve">Arrest and other positive approaches. </w:t>
      </w:r>
      <w:r w:rsidR="00AF72C5">
        <w:t xml:space="preserve">Available at: </w:t>
      </w:r>
      <w:hyperlink r:id="rId22" w:history="1">
        <w:r w:rsidR="00AF72C5" w:rsidRPr="007C7FCE">
          <w:rPr>
            <w:rStyle w:val="Hyperlink"/>
            <w:rFonts w:eastAsiaTheme="majorEastAsia"/>
          </w:rPr>
          <w:t>Arrest and other positive approaches | College of Policing</w:t>
        </w:r>
      </w:hyperlink>
      <w:r w:rsidR="00AF72C5">
        <w:t xml:space="preserve"> (Accessed: 09 February 2025). </w:t>
      </w:r>
    </w:p>
    <w:p w14:paraId="734AFE99" w14:textId="77777777" w:rsidR="00143BD8" w:rsidRDefault="008024E2" w:rsidP="00143BD8">
      <w:pPr>
        <w:spacing w:before="240" w:after="60" w:line="360" w:lineRule="auto"/>
        <w:ind w:right="238"/>
        <w:jc w:val="both"/>
      </w:pPr>
      <w:r w:rsidRPr="0093247C">
        <w:t>C</w:t>
      </w:r>
      <w:r>
        <w:t>ollege of Policing</w:t>
      </w:r>
      <w:r w:rsidRPr="0093247C">
        <w:t xml:space="preserve"> (2020) </w:t>
      </w:r>
      <w:r w:rsidRPr="0093247C">
        <w:rPr>
          <w:i/>
          <w:iCs/>
        </w:rPr>
        <w:t>Recognising and responding to vulnerability related risks</w:t>
      </w:r>
      <w:r w:rsidRPr="0093247C">
        <w:t xml:space="preserve">. Available at: </w:t>
      </w:r>
      <w:hyperlink r:id="rId23" w:history="1">
        <w:r w:rsidRPr="0093247C">
          <w:rPr>
            <w:rStyle w:val="Hyperlink"/>
            <w:rFonts w:eastAsiaTheme="majorEastAsia"/>
          </w:rPr>
          <w:t>Recognising and responding to vulnerability related risks guidelines: Consultation</w:t>
        </w:r>
      </w:hyperlink>
      <w:r w:rsidRPr="0093247C">
        <w:t xml:space="preserve"> (Accessed: 18 January 2025). </w:t>
      </w:r>
    </w:p>
    <w:p w14:paraId="166C962A" w14:textId="77777777" w:rsidR="00143BD8" w:rsidRDefault="008024E2" w:rsidP="00143BD8">
      <w:pPr>
        <w:spacing w:before="240" w:after="60" w:line="360" w:lineRule="auto"/>
        <w:ind w:right="238"/>
        <w:jc w:val="both"/>
      </w:pPr>
      <w:r w:rsidRPr="0093247C">
        <w:t>C</w:t>
      </w:r>
      <w:r>
        <w:t xml:space="preserve">ollege of Policing </w:t>
      </w:r>
      <w:r w:rsidRPr="0093247C">
        <w:t xml:space="preserve">(2022) </w:t>
      </w:r>
      <w:r w:rsidRPr="0093247C">
        <w:rPr>
          <w:i/>
          <w:iCs/>
        </w:rPr>
        <w:t xml:space="preserve">Focused deterrence strategies. </w:t>
      </w:r>
      <w:r w:rsidRPr="0093247C">
        <w:t xml:space="preserve">Available at: </w:t>
      </w:r>
      <w:hyperlink r:id="rId24" w:history="1">
        <w:r w:rsidRPr="0093247C">
          <w:rPr>
            <w:rStyle w:val="Hyperlink"/>
            <w:rFonts w:eastAsiaTheme="majorEastAsia"/>
          </w:rPr>
          <w:t>Focused deterrence strategies | College of Policing</w:t>
        </w:r>
      </w:hyperlink>
      <w:r w:rsidRPr="0093247C">
        <w:t xml:space="preserve"> (Accessed: 22 January 2025). </w:t>
      </w:r>
    </w:p>
    <w:p w14:paraId="514AB444" w14:textId="77777777" w:rsidR="00143BD8" w:rsidRDefault="008024E2" w:rsidP="00143BD8">
      <w:pPr>
        <w:spacing w:before="240" w:after="60" w:line="360" w:lineRule="auto"/>
        <w:ind w:right="238"/>
        <w:jc w:val="both"/>
      </w:pPr>
      <w:r>
        <w:t xml:space="preserve">College of Policing </w:t>
      </w:r>
      <w:r w:rsidRPr="0093247C">
        <w:t xml:space="preserve">(2024) </w:t>
      </w:r>
      <w:r w:rsidRPr="0093247C">
        <w:rPr>
          <w:i/>
          <w:iCs/>
        </w:rPr>
        <w:t xml:space="preserve">Evidence-led prosecution checklist for domestic abuse cases. </w:t>
      </w:r>
      <w:r w:rsidRPr="0093247C">
        <w:t xml:space="preserve">Available at: </w:t>
      </w:r>
      <w:hyperlink r:id="rId25" w:history="1">
        <w:r w:rsidRPr="0093247C">
          <w:rPr>
            <w:rStyle w:val="Hyperlink"/>
            <w:rFonts w:eastAsiaTheme="majorEastAsia"/>
          </w:rPr>
          <w:t>Evidence-led prosecution checklist for domestic abuse cases | College of Policing</w:t>
        </w:r>
      </w:hyperlink>
      <w:r w:rsidRPr="0093247C">
        <w:t xml:space="preserve"> (Accessed: 22 January 2025). </w:t>
      </w:r>
    </w:p>
    <w:p w14:paraId="2FDF677B" w14:textId="77777777" w:rsidR="00143BD8" w:rsidRDefault="008024E2" w:rsidP="00143BD8">
      <w:pPr>
        <w:spacing w:before="240" w:after="60" w:line="360" w:lineRule="auto"/>
        <w:ind w:right="238"/>
        <w:jc w:val="both"/>
      </w:pPr>
      <w:r w:rsidRPr="0093247C">
        <w:t xml:space="preserve">CPS (2015) </w:t>
      </w:r>
      <w:r w:rsidRPr="0093247C">
        <w:rPr>
          <w:i/>
          <w:iCs/>
        </w:rPr>
        <w:t xml:space="preserve">Violence against women and girls: Crime report 2014-2015. </w:t>
      </w:r>
      <w:r w:rsidRPr="0093247C">
        <w:t xml:space="preserve">Available at: </w:t>
      </w:r>
      <w:hyperlink r:id="rId26" w:history="1">
        <w:r w:rsidRPr="0093247C">
          <w:rPr>
            <w:rStyle w:val="Hyperlink"/>
            <w:rFonts w:eastAsiaTheme="majorEastAsia"/>
          </w:rPr>
          <w:t>CPS Violence against Women and Girls crime report 2014-2015 | The Crown Prosecution Service</w:t>
        </w:r>
      </w:hyperlink>
      <w:r w:rsidRPr="0093247C">
        <w:t xml:space="preserve"> (Accessed: 22 January 2025). </w:t>
      </w:r>
    </w:p>
    <w:p w14:paraId="2807C968" w14:textId="77777777" w:rsidR="00143BD8" w:rsidRDefault="008024E2" w:rsidP="00143BD8">
      <w:pPr>
        <w:spacing w:before="240" w:after="60" w:line="360" w:lineRule="auto"/>
        <w:ind w:right="238"/>
        <w:jc w:val="both"/>
      </w:pPr>
      <w:r w:rsidRPr="0093247C">
        <w:t xml:space="preserve">CPS (2016) </w:t>
      </w:r>
      <w:r w:rsidRPr="0093247C">
        <w:rPr>
          <w:i/>
          <w:iCs/>
        </w:rPr>
        <w:t xml:space="preserve">Violence against women and girls: Crime report 2015-16. </w:t>
      </w:r>
      <w:r w:rsidRPr="0093247C">
        <w:t xml:space="preserve">Available at: </w:t>
      </w:r>
      <w:hyperlink r:id="rId27" w:history="1">
        <w:r w:rsidRPr="0093247C">
          <w:rPr>
            <w:rStyle w:val="Hyperlink"/>
            <w:rFonts w:eastAsiaTheme="majorEastAsia"/>
          </w:rPr>
          <w:t>CPS Violence against Women and Girls crime report 2015-2016 | The Crown Prosecution Service</w:t>
        </w:r>
      </w:hyperlink>
      <w:r w:rsidRPr="0093247C">
        <w:t xml:space="preserve"> (Accessed: 22 January 2025). </w:t>
      </w:r>
    </w:p>
    <w:p w14:paraId="0B8932BF" w14:textId="77777777" w:rsidR="00143BD8" w:rsidRDefault="00096F86" w:rsidP="00143BD8">
      <w:pPr>
        <w:spacing w:before="240" w:after="60" w:line="360" w:lineRule="auto"/>
        <w:ind w:right="238"/>
        <w:jc w:val="both"/>
      </w:pPr>
      <w:r>
        <w:t>Cravens, J.D., Whiting, J.B. and Aamar, R.O. (2015</w:t>
      </w:r>
      <w:r w:rsidRPr="004B2E17">
        <w:t>) ‘Why I Stayed/Left: An analysis of voices of intimate partner violence on Social Media’,</w:t>
      </w:r>
      <w:r>
        <w:rPr>
          <w:i/>
          <w:iCs/>
        </w:rPr>
        <w:t xml:space="preserve"> Contemporary Family Therapy, </w:t>
      </w:r>
      <w:r>
        <w:t xml:space="preserve">37(4), pp. 372-385. </w:t>
      </w:r>
    </w:p>
    <w:p w14:paraId="60E4017E" w14:textId="77777777" w:rsidR="00143BD8" w:rsidRDefault="00096F86" w:rsidP="00143BD8">
      <w:pPr>
        <w:spacing w:before="240" w:after="60" w:line="360" w:lineRule="auto"/>
        <w:ind w:right="238"/>
        <w:jc w:val="both"/>
      </w:pPr>
      <w:r w:rsidRPr="0093247C">
        <w:t xml:space="preserve">Cretney, A and Davies G. (1997) ‘Prosecuting domestic assault: Victims failing courts, or courts failing victims?’, </w:t>
      </w:r>
      <w:r w:rsidRPr="0093247C">
        <w:rPr>
          <w:i/>
          <w:iCs/>
        </w:rPr>
        <w:t xml:space="preserve">Howard Journal, </w:t>
      </w:r>
      <w:r w:rsidRPr="0093247C">
        <w:t xml:space="preserve">36(2), pp. 146-157. </w:t>
      </w:r>
    </w:p>
    <w:p w14:paraId="2E555110" w14:textId="77777777" w:rsidR="00143BD8" w:rsidRDefault="001C1B2E" w:rsidP="00143BD8">
      <w:pPr>
        <w:spacing w:before="240" w:after="60" w:line="360" w:lineRule="auto"/>
        <w:ind w:right="238"/>
        <w:jc w:val="both"/>
      </w:pPr>
      <w:r w:rsidRPr="0093247C">
        <w:t xml:space="preserve">Ellison, L. (2002) ‘Prosecuting domestic violence without victim participation’, </w:t>
      </w:r>
      <w:r w:rsidRPr="0093247C">
        <w:rPr>
          <w:i/>
          <w:iCs/>
        </w:rPr>
        <w:t xml:space="preserve">Modern Law Review, </w:t>
      </w:r>
      <w:r w:rsidRPr="0093247C">
        <w:t xml:space="preserve">65(6), pp. 834-858. </w:t>
      </w:r>
    </w:p>
    <w:p w14:paraId="1DE2527E" w14:textId="48D1A936" w:rsidR="001C1B2E" w:rsidRDefault="001C1B2E" w:rsidP="00143BD8">
      <w:pPr>
        <w:spacing w:before="240" w:after="60" w:line="360" w:lineRule="auto"/>
        <w:ind w:right="238"/>
        <w:jc w:val="both"/>
      </w:pPr>
      <w:r w:rsidRPr="0093247C">
        <w:t xml:space="preserve">Flannigan, K.R. (2013) ‘The importance of prosecution policies in Domestic Violence cases’, </w:t>
      </w:r>
      <w:r w:rsidRPr="0093247C">
        <w:rPr>
          <w:i/>
          <w:iCs/>
        </w:rPr>
        <w:t xml:space="preserve">American Society of Criminology, </w:t>
      </w:r>
      <w:r w:rsidRPr="0093247C">
        <w:t xml:space="preserve">12(3), pp. 481-490. </w:t>
      </w:r>
    </w:p>
    <w:p w14:paraId="0E8361E0" w14:textId="77777777" w:rsidR="001C1B2E" w:rsidRDefault="001C1B2E" w:rsidP="003713B7">
      <w:pPr>
        <w:spacing w:before="240" w:after="60" w:line="360" w:lineRule="auto"/>
        <w:ind w:right="238"/>
        <w:jc w:val="both"/>
      </w:pPr>
      <w:r w:rsidRPr="0093247C">
        <w:lastRenderedPageBreak/>
        <w:t xml:space="preserve">Home Office (2023) </w:t>
      </w:r>
      <w:r w:rsidRPr="0093247C">
        <w:rPr>
          <w:i/>
          <w:iCs/>
        </w:rPr>
        <w:t xml:space="preserve">Controlling or Coercive Behaviour, Statutory Guidance Framework. </w:t>
      </w:r>
      <w:r w:rsidRPr="0093247C">
        <w:t xml:space="preserve">Available at: </w:t>
      </w:r>
      <w:hyperlink r:id="rId28" w:history="1">
        <w:r w:rsidRPr="0093247C">
          <w:rPr>
            <w:rStyle w:val="Hyperlink"/>
            <w:rFonts w:eastAsiaTheme="majorEastAsia"/>
          </w:rPr>
          <w:t>Controlling or coercive behaviour statutory guidance</w:t>
        </w:r>
      </w:hyperlink>
      <w:r w:rsidRPr="0093247C">
        <w:t xml:space="preserve"> (Accessed: 18 January 2025). </w:t>
      </w:r>
    </w:p>
    <w:p w14:paraId="1CAD104D" w14:textId="73B80D8E" w:rsidR="001C1B2E" w:rsidRDefault="001C1B2E" w:rsidP="003713B7">
      <w:pPr>
        <w:spacing w:before="240" w:after="60" w:line="360" w:lineRule="auto"/>
        <w:ind w:right="238"/>
        <w:jc w:val="both"/>
      </w:pPr>
      <w:r w:rsidRPr="0093247C">
        <w:t xml:space="preserve">HMICFRS (2021) </w:t>
      </w:r>
      <w:r w:rsidRPr="0093247C">
        <w:rPr>
          <w:i/>
          <w:iCs/>
        </w:rPr>
        <w:t xml:space="preserve">Review of policing domestic abuse during the pandemic. </w:t>
      </w:r>
      <w:r w:rsidRPr="0093247C">
        <w:t xml:space="preserve">Available at: </w:t>
      </w:r>
      <w:hyperlink r:id="rId29" w:history="1">
        <w:r w:rsidRPr="0093247C">
          <w:rPr>
            <w:rStyle w:val="Hyperlink"/>
            <w:rFonts w:eastAsiaTheme="majorEastAsia"/>
          </w:rPr>
          <w:t>Review of policing domestic abuse during the pandemic - 2021 - His Majesty’s Inspectorate of Constabulary and Fire &amp; Rescue Services</w:t>
        </w:r>
      </w:hyperlink>
      <w:r w:rsidRPr="0093247C">
        <w:t xml:space="preserve"> (Accessed: 22 January 2025). </w:t>
      </w:r>
    </w:p>
    <w:p w14:paraId="36570EF3" w14:textId="77777777" w:rsidR="001C1B2E" w:rsidRPr="0093247C" w:rsidRDefault="001C1B2E" w:rsidP="003713B7">
      <w:pPr>
        <w:spacing w:before="240" w:after="60" w:line="360" w:lineRule="auto"/>
        <w:ind w:right="238"/>
        <w:jc w:val="both"/>
      </w:pPr>
      <w:r w:rsidRPr="0093247C">
        <w:t xml:space="preserve">Johnson et al. (2017) ‘Evaluation of operation Swordfish: a near-repeat target-hardening strategy’, </w:t>
      </w:r>
      <w:r w:rsidRPr="0093247C">
        <w:rPr>
          <w:i/>
          <w:iCs/>
        </w:rPr>
        <w:t xml:space="preserve">Journal of Experimental Criminology, </w:t>
      </w:r>
      <w:r w:rsidRPr="0093247C">
        <w:t xml:space="preserve">13(4), pp. 505-525. </w:t>
      </w:r>
    </w:p>
    <w:p w14:paraId="1A0D517E" w14:textId="77777777" w:rsidR="00496A17" w:rsidRDefault="00496A17" w:rsidP="003713B7">
      <w:pPr>
        <w:spacing w:before="240" w:after="60" w:line="360" w:lineRule="auto"/>
        <w:ind w:right="238"/>
        <w:jc w:val="both"/>
      </w:pPr>
      <w:r w:rsidRPr="0093247C">
        <w:t xml:space="preserve">Lohmann, S., Cowlishaw, S. and Felmingham, K. (2023) ‘The Trauma and Mental Health Impacts of Coercive Control: A Systematic Review and Meta-Analysis’, </w:t>
      </w:r>
      <w:r w:rsidRPr="0093247C">
        <w:rPr>
          <w:i/>
          <w:iCs/>
        </w:rPr>
        <w:t xml:space="preserve">Trauma, Violence and Abuse, </w:t>
      </w:r>
      <w:r w:rsidRPr="0093247C">
        <w:t xml:space="preserve">25(1), pp. 630-647. </w:t>
      </w:r>
    </w:p>
    <w:p w14:paraId="1DC2CBB8" w14:textId="1BEE1180" w:rsidR="00496A17" w:rsidRDefault="00496A17" w:rsidP="003713B7">
      <w:pPr>
        <w:spacing w:before="240" w:after="60" w:line="360" w:lineRule="auto"/>
        <w:ind w:right="238"/>
        <w:jc w:val="both"/>
      </w:pPr>
      <w:r w:rsidRPr="0093247C">
        <w:t xml:space="preserve">McPhee et al. (2022) ‘Criminal justice responses to domestic violence and abuse in England: An analysis of case attrition and inequalities using police data’, </w:t>
      </w:r>
      <w:r w:rsidRPr="0093247C">
        <w:rPr>
          <w:i/>
          <w:iCs/>
        </w:rPr>
        <w:t xml:space="preserve">Policing and Society, </w:t>
      </w:r>
      <w:r w:rsidRPr="0093247C">
        <w:t>32(8), pp. 963-980</w:t>
      </w:r>
    </w:p>
    <w:p w14:paraId="4E754434" w14:textId="185130BB" w:rsidR="00496A17" w:rsidRDefault="00496A17" w:rsidP="003713B7">
      <w:pPr>
        <w:spacing w:before="240" w:after="60" w:line="360" w:lineRule="auto"/>
        <w:ind w:right="238"/>
        <w:jc w:val="both"/>
      </w:pPr>
      <w:r w:rsidRPr="0093247C">
        <w:t xml:space="preserve">Meyer, S.R., Lasater, M.E. and Garcia-Moreno, C. (2020) ‘Violence against older women: A systematic review of qualitative literature’, </w:t>
      </w:r>
      <w:r w:rsidRPr="0093247C">
        <w:rPr>
          <w:i/>
          <w:iCs/>
        </w:rPr>
        <w:t xml:space="preserve">Plos One, </w:t>
      </w:r>
      <w:r w:rsidRPr="0093247C">
        <w:t xml:space="preserve">15(9), pp. 1-43. </w:t>
      </w:r>
    </w:p>
    <w:p w14:paraId="58175F41" w14:textId="7B877B9F" w:rsidR="0096566A" w:rsidRDefault="0096566A" w:rsidP="003713B7">
      <w:pPr>
        <w:spacing w:before="240" w:after="60" w:line="360" w:lineRule="auto"/>
        <w:ind w:right="238"/>
        <w:jc w:val="both"/>
      </w:pPr>
      <w:r w:rsidRPr="0093247C">
        <w:t xml:space="preserve">Morrow, W.J., Katz, C.M. and Choate, D.E. (2016) ‘Assessing the Impact of Police Body-worn camera on Arresting, Prosecuting and Convicting Suspects of Intimate Partner Violence’, </w:t>
      </w:r>
      <w:r w:rsidRPr="0093247C">
        <w:rPr>
          <w:i/>
          <w:iCs/>
        </w:rPr>
        <w:t>Police Quarterly,</w:t>
      </w:r>
      <w:r w:rsidRPr="0093247C">
        <w:t xml:space="preserve"> </w:t>
      </w:r>
      <w:r w:rsidR="00295324">
        <w:t>19</w:t>
      </w:r>
      <w:r w:rsidRPr="0093247C">
        <w:t>(</w:t>
      </w:r>
      <w:r w:rsidR="00295324">
        <w:t>3</w:t>
      </w:r>
      <w:r w:rsidRPr="0093247C">
        <w:t xml:space="preserve">), pp. 1-23. </w:t>
      </w:r>
      <w:r w:rsidRPr="0093247C">
        <w:rPr>
          <w:i/>
          <w:iCs/>
        </w:rPr>
        <w:t xml:space="preserve"> </w:t>
      </w:r>
    </w:p>
    <w:p w14:paraId="03C652D0" w14:textId="77777777" w:rsidR="00496A17" w:rsidRPr="0093247C" w:rsidRDefault="00496A17" w:rsidP="003713B7">
      <w:pPr>
        <w:spacing w:before="240" w:after="60" w:line="360" w:lineRule="auto"/>
        <w:ind w:right="238"/>
        <w:jc w:val="both"/>
      </w:pPr>
      <w:r w:rsidRPr="0093247C">
        <w:t xml:space="preserve">Myhill, A., Hohl, K. and Johnson, K. (2023) ‘The officer effect in risk assessment for domestic abuse: Findings from a mixed methods study in England and Wales’, </w:t>
      </w:r>
      <w:r w:rsidRPr="0093247C">
        <w:rPr>
          <w:i/>
          <w:iCs/>
        </w:rPr>
        <w:t xml:space="preserve">European Journal of Criminology, </w:t>
      </w:r>
      <w:r w:rsidRPr="0093247C">
        <w:t xml:space="preserve">20(3), pp. 856-877. </w:t>
      </w:r>
    </w:p>
    <w:p w14:paraId="3A8812CB" w14:textId="29C4AA41" w:rsidR="00044610" w:rsidRDefault="00044610" w:rsidP="003713B7">
      <w:pPr>
        <w:spacing w:before="240" w:after="60" w:line="360" w:lineRule="auto"/>
        <w:ind w:right="238"/>
        <w:jc w:val="both"/>
      </w:pPr>
      <w:r w:rsidRPr="0093247C">
        <w:t xml:space="preserve">ONS (2021) </w:t>
      </w:r>
      <w:r w:rsidRPr="0093247C">
        <w:rPr>
          <w:i/>
          <w:iCs/>
        </w:rPr>
        <w:t xml:space="preserve">Domestic Abuse in England and Wales overview: November 2021. </w:t>
      </w:r>
      <w:r w:rsidRPr="0093247C">
        <w:t xml:space="preserve">Available at: </w:t>
      </w:r>
      <w:hyperlink r:id="rId30" w:history="1">
        <w:r w:rsidRPr="0093247C">
          <w:rPr>
            <w:rStyle w:val="Hyperlink"/>
            <w:rFonts w:eastAsiaTheme="majorEastAsia"/>
          </w:rPr>
          <w:t>Domestic abuse in England and Wales overview - Office for National Statistics</w:t>
        </w:r>
      </w:hyperlink>
      <w:r w:rsidRPr="0093247C">
        <w:t xml:space="preserve"> (Accessed: 22 January 2025). </w:t>
      </w:r>
    </w:p>
    <w:p w14:paraId="1145CED7" w14:textId="77777777" w:rsidR="00044610" w:rsidRDefault="00044610" w:rsidP="003713B7">
      <w:pPr>
        <w:spacing w:before="240" w:after="60" w:line="360" w:lineRule="auto"/>
        <w:ind w:right="238"/>
        <w:jc w:val="both"/>
      </w:pPr>
      <w:r w:rsidRPr="0093247C">
        <w:t xml:space="preserve">ONS (2024) </w:t>
      </w:r>
      <w:r w:rsidRPr="0093247C">
        <w:rPr>
          <w:i/>
          <w:iCs/>
        </w:rPr>
        <w:t>Domestic abuse in England and Wales overview: November 2024</w:t>
      </w:r>
      <w:r w:rsidRPr="0093247C">
        <w:t xml:space="preserve">. Available at: </w:t>
      </w:r>
      <w:hyperlink r:id="rId31" w:history="1">
        <w:r w:rsidRPr="0093247C">
          <w:rPr>
            <w:rStyle w:val="Hyperlink"/>
            <w:rFonts w:eastAsiaTheme="majorEastAsia"/>
          </w:rPr>
          <w:t>Domestic abuse in England and Wales overview - Office for National Statistics</w:t>
        </w:r>
      </w:hyperlink>
      <w:r w:rsidRPr="0093247C">
        <w:t xml:space="preserve"> (Accessed: 18 January 2025). </w:t>
      </w:r>
    </w:p>
    <w:p w14:paraId="3CB737F2" w14:textId="77777777" w:rsidR="00044610" w:rsidRDefault="00044610" w:rsidP="003713B7">
      <w:pPr>
        <w:spacing w:before="240" w:after="60" w:line="360" w:lineRule="auto"/>
        <w:ind w:right="238"/>
        <w:jc w:val="both"/>
      </w:pPr>
      <w:r w:rsidRPr="0093247C">
        <w:t xml:space="preserve">Pepper, I., Rogers, C. and Martin, H. (2020) ‘Evidence based policing: a view on its development within the police service’, </w:t>
      </w:r>
      <w:r w:rsidRPr="0093247C">
        <w:rPr>
          <w:i/>
          <w:iCs/>
        </w:rPr>
        <w:t xml:space="preserve">Journal of Work-Applied Management, </w:t>
      </w:r>
      <w:r w:rsidRPr="0093247C">
        <w:t>12(1), pp. 91-96.</w:t>
      </w:r>
      <w:r>
        <w:t xml:space="preserve"> </w:t>
      </w:r>
    </w:p>
    <w:p w14:paraId="365E5781" w14:textId="1232AA2D" w:rsidR="00044610" w:rsidRDefault="00044610" w:rsidP="003713B7">
      <w:pPr>
        <w:spacing w:before="240" w:after="60" w:line="360" w:lineRule="auto"/>
        <w:ind w:right="238"/>
        <w:jc w:val="both"/>
      </w:pPr>
      <w:r>
        <w:t xml:space="preserve">Rabaiotti, E. and Harrison, M. (2023) ‘Is partnership working? Complexities and barriers in the development of community safety practice in Wales’, </w:t>
      </w:r>
      <w:r>
        <w:rPr>
          <w:i/>
          <w:iCs/>
        </w:rPr>
        <w:t xml:space="preserve">Crime Prevention and Community Safety, </w:t>
      </w:r>
      <w:r>
        <w:t xml:space="preserve">26(3), pp. 318-337. </w:t>
      </w:r>
    </w:p>
    <w:p w14:paraId="5C4FB89E" w14:textId="77777777" w:rsidR="00044610" w:rsidRPr="0093247C" w:rsidRDefault="00044610" w:rsidP="003713B7">
      <w:pPr>
        <w:spacing w:before="240" w:after="60" w:line="360" w:lineRule="auto"/>
        <w:ind w:right="238"/>
        <w:jc w:val="both"/>
      </w:pPr>
      <w:r w:rsidRPr="0093247C">
        <w:lastRenderedPageBreak/>
        <w:t xml:space="preserve">Refuge (2024) </w:t>
      </w:r>
      <w:r w:rsidRPr="0093247C">
        <w:rPr>
          <w:i/>
          <w:iCs/>
        </w:rPr>
        <w:t xml:space="preserve">Facts and Statistics. </w:t>
      </w:r>
      <w:r w:rsidRPr="0093247C">
        <w:t xml:space="preserve">Available at: </w:t>
      </w:r>
      <w:hyperlink r:id="rId32" w:history="1">
        <w:r w:rsidRPr="0093247C">
          <w:rPr>
            <w:rStyle w:val="Hyperlink"/>
            <w:rFonts w:eastAsiaTheme="majorEastAsia"/>
          </w:rPr>
          <w:t>Facts and Statistics - Refuge</w:t>
        </w:r>
      </w:hyperlink>
      <w:r w:rsidRPr="0093247C">
        <w:t xml:space="preserve"> (Accessed: 18 January 2025). </w:t>
      </w:r>
    </w:p>
    <w:p w14:paraId="066C8F48" w14:textId="77777777" w:rsidR="007C2E83" w:rsidRDefault="000A4119" w:rsidP="003713B7">
      <w:pPr>
        <w:spacing w:before="240" w:after="60" w:line="360" w:lineRule="auto"/>
        <w:ind w:right="238"/>
        <w:jc w:val="both"/>
      </w:pPr>
      <w:r w:rsidRPr="0093247C">
        <w:t xml:space="preserve">Ringland, C. (2018) ‘The Domestic Violence Safety Assessment Tool (DVSAT) and Intimate Partner repeat victimisation’, </w:t>
      </w:r>
      <w:r w:rsidRPr="0093247C">
        <w:rPr>
          <w:i/>
          <w:iCs/>
        </w:rPr>
        <w:t>Contemporary</w:t>
      </w:r>
      <w:r w:rsidRPr="0093247C">
        <w:rPr>
          <w:i/>
          <w:iCs/>
        </w:rPr>
        <w:t xml:space="preserve"> issues in Crime and Justice, </w:t>
      </w:r>
      <w:r w:rsidRPr="0093247C">
        <w:t xml:space="preserve">213(1), pp. 1-20. </w:t>
      </w:r>
    </w:p>
    <w:p w14:paraId="7A96CDC3" w14:textId="77777777" w:rsidR="007C2E83" w:rsidRDefault="00654F91" w:rsidP="003713B7">
      <w:pPr>
        <w:spacing w:before="240" w:after="60" w:line="360" w:lineRule="auto"/>
        <w:ind w:right="238"/>
        <w:jc w:val="both"/>
      </w:pPr>
      <w:r w:rsidRPr="00397B45">
        <w:t xml:space="preserve">Robinson, A.L. (2006) ‘Reducing Repeat Victimisation Among High-Risk Victims of Domestic Violence: The Benefits of a Coordinated Community Response in Cardiff, Wales’, </w:t>
      </w:r>
      <w:r w:rsidRPr="00397B45">
        <w:rPr>
          <w:i/>
          <w:iCs/>
        </w:rPr>
        <w:t xml:space="preserve">Violence Against Women, </w:t>
      </w:r>
      <w:r w:rsidRPr="00397B45">
        <w:t xml:space="preserve">12(8), pp. 761-788. </w:t>
      </w:r>
    </w:p>
    <w:p w14:paraId="0810A324" w14:textId="77777777" w:rsidR="007C2E83" w:rsidRDefault="00654F91" w:rsidP="003713B7">
      <w:pPr>
        <w:spacing w:before="240" w:after="60" w:line="360" w:lineRule="auto"/>
        <w:ind w:right="238"/>
        <w:jc w:val="both"/>
      </w:pPr>
      <w:r w:rsidRPr="00397B45">
        <w:t xml:space="preserve">Robinson, A.L. and Cook, D. (2006) ‘Understanding victim retraction in cases of domestic violence: Specialist courts, government policy and victim-centred justice’, </w:t>
      </w:r>
      <w:r w:rsidRPr="00397B45">
        <w:rPr>
          <w:i/>
          <w:iCs/>
        </w:rPr>
        <w:t xml:space="preserve">Contemporary Justice Review, </w:t>
      </w:r>
      <w:r w:rsidRPr="00397B45">
        <w:t>9(2), pp. 189-213</w:t>
      </w:r>
    </w:p>
    <w:p w14:paraId="57C74505" w14:textId="77777777" w:rsidR="007C2E83" w:rsidRDefault="00654F91" w:rsidP="003713B7">
      <w:pPr>
        <w:spacing w:before="240" w:after="60" w:line="360" w:lineRule="auto"/>
        <w:ind w:right="238"/>
        <w:jc w:val="both"/>
      </w:pPr>
      <w:r w:rsidRPr="00397B45">
        <w:t xml:space="preserve">Robinson, A.L. and Tregidga, J. (2007) ‘The Perceptions of High-Risk Victims of Domestic Violence to a Coordinated Community Response in Cardiff, Wales’, </w:t>
      </w:r>
      <w:r w:rsidRPr="00397B45">
        <w:rPr>
          <w:i/>
          <w:iCs/>
        </w:rPr>
        <w:t xml:space="preserve">Violence Against Women, </w:t>
      </w:r>
      <w:r w:rsidRPr="00397B45">
        <w:t xml:space="preserve">13(11), pp. 1130-1148. </w:t>
      </w:r>
    </w:p>
    <w:p w14:paraId="7CFBED2D" w14:textId="77777777" w:rsidR="007C2E83" w:rsidRDefault="000D3EAA" w:rsidP="003713B7">
      <w:pPr>
        <w:spacing w:before="240" w:after="60" w:line="360" w:lineRule="auto"/>
        <w:ind w:right="238"/>
        <w:jc w:val="both"/>
      </w:pPr>
      <w:r w:rsidRPr="00397B45">
        <w:t xml:space="preserve">SafeLives (2016) </w:t>
      </w:r>
      <w:r w:rsidRPr="00397B45">
        <w:rPr>
          <w:i/>
          <w:iCs/>
        </w:rPr>
        <w:t xml:space="preserve">Safe Later Lives: Older people and domestic abuse. </w:t>
      </w:r>
      <w:r w:rsidRPr="00397B45">
        <w:t xml:space="preserve">Available at: </w:t>
      </w:r>
      <w:hyperlink r:id="rId33" w:history="1">
        <w:r w:rsidRPr="00397B45">
          <w:rPr>
            <w:rStyle w:val="Hyperlink"/>
            <w:rFonts w:eastAsiaTheme="majorEastAsia"/>
          </w:rPr>
          <w:t>Safe-Later-Lives-Older-people-and-domestic-abuse-Spotlight.pdf</w:t>
        </w:r>
      </w:hyperlink>
      <w:r w:rsidRPr="00397B45">
        <w:t xml:space="preserve"> (Accessed: 22 January 2025). </w:t>
      </w:r>
    </w:p>
    <w:p w14:paraId="0EA47610" w14:textId="2EADE643" w:rsidR="007C2E83" w:rsidRDefault="007C2E83" w:rsidP="003713B7">
      <w:pPr>
        <w:keepNext/>
        <w:spacing w:before="240" w:after="60" w:line="360" w:lineRule="auto"/>
        <w:ind w:right="237"/>
        <w:jc w:val="both"/>
      </w:pPr>
      <w:r w:rsidRPr="00397B45">
        <w:t xml:space="preserve">SafeLives (2024) </w:t>
      </w:r>
      <w:r w:rsidRPr="00397B45">
        <w:rPr>
          <w:i/>
          <w:iCs/>
        </w:rPr>
        <w:t xml:space="preserve">Multi-Agency Risk Assessment Conference (MARC) Overview – Last updated March 2024. </w:t>
      </w:r>
      <w:r w:rsidRPr="00397B45">
        <w:t xml:space="preserve">Available at: </w:t>
      </w:r>
      <w:hyperlink r:id="rId34" w:history="1">
        <w:r w:rsidRPr="00397B45">
          <w:rPr>
            <w:rStyle w:val="Hyperlink"/>
          </w:rPr>
          <w:t>SafeLives-Marac-Overview-June-2024.pdf</w:t>
        </w:r>
      </w:hyperlink>
      <w:r w:rsidRPr="00397B45">
        <w:t xml:space="preserve"> (Accessed: 22 January 2025). </w:t>
      </w:r>
    </w:p>
    <w:p w14:paraId="67176546" w14:textId="77777777" w:rsidR="007C2E83" w:rsidRDefault="000D3EAA" w:rsidP="003713B7">
      <w:pPr>
        <w:spacing w:before="240" w:after="60" w:line="360" w:lineRule="auto"/>
        <w:ind w:right="238"/>
        <w:jc w:val="both"/>
      </w:pPr>
      <w:r w:rsidRPr="00397B45">
        <w:t xml:space="preserve">Sherman, L. (1998) </w:t>
      </w:r>
      <w:r w:rsidRPr="00397B45">
        <w:rPr>
          <w:i/>
          <w:iCs/>
        </w:rPr>
        <w:t xml:space="preserve">Evidence-based Policing: Ideas in American Policing. </w:t>
      </w:r>
      <w:r w:rsidRPr="00397B45">
        <w:t xml:space="preserve">Washington, D.C; Police Foundation. </w:t>
      </w:r>
    </w:p>
    <w:p w14:paraId="22223144" w14:textId="77777777" w:rsidR="007C2E83" w:rsidRDefault="000D3EAA" w:rsidP="003713B7">
      <w:pPr>
        <w:spacing w:before="240" w:after="60" w:line="360" w:lineRule="auto"/>
        <w:ind w:right="238"/>
        <w:jc w:val="both"/>
      </w:pPr>
      <w:r w:rsidRPr="00397B45">
        <w:t xml:space="preserve">Welsh, K. (2022) ‘Long-term partners – Reflections on the shifts in partnership responses to domestic violence’, </w:t>
      </w:r>
      <w:r w:rsidRPr="00397B45">
        <w:rPr>
          <w:i/>
          <w:iCs/>
        </w:rPr>
        <w:t xml:space="preserve">International Review of Victimology, </w:t>
      </w:r>
      <w:r w:rsidRPr="00397B45">
        <w:t xml:space="preserve">29(1), pp. 27-51. </w:t>
      </w:r>
    </w:p>
    <w:p w14:paraId="42DF7B9E" w14:textId="0D8AD536" w:rsidR="000D3EAA" w:rsidRDefault="000D3EAA" w:rsidP="003713B7">
      <w:pPr>
        <w:spacing w:before="240" w:after="60" w:line="360" w:lineRule="auto"/>
        <w:ind w:right="238"/>
        <w:jc w:val="both"/>
      </w:pPr>
      <w:r w:rsidRPr="00397B45">
        <w:t xml:space="preserve">Walton, D. and Hendy, R. (2023) ‘Police and Court Interventions for Family Violence: Evidence-Based Practices’ in Sturmey, P. (ed.) </w:t>
      </w:r>
      <w:r w:rsidRPr="00397B45">
        <w:rPr>
          <w:i/>
          <w:iCs/>
        </w:rPr>
        <w:t xml:space="preserve">Violence in Families: Integrating Research into Practice. </w:t>
      </w:r>
      <w:r w:rsidRPr="00397B45">
        <w:t xml:space="preserve">New York: Springer. </w:t>
      </w:r>
    </w:p>
    <w:p w14:paraId="12962276" w14:textId="77777777" w:rsidR="000D3EAA" w:rsidRDefault="000D3EAA" w:rsidP="003713B7">
      <w:pPr>
        <w:keepNext/>
        <w:spacing w:before="240" w:after="60" w:line="360" w:lineRule="auto"/>
        <w:ind w:right="237"/>
        <w:jc w:val="both"/>
      </w:pPr>
      <w:r w:rsidRPr="00397B45">
        <w:t xml:space="preserve">Weir, R. (2024) ‘Differentiating risk: The association between relationship type and risk of repeat victimization of domestic abuse’, </w:t>
      </w:r>
      <w:r w:rsidRPr="00397B45">
        <w:rPr>
          <w:i/>
          <w:iCs/>
        </w:rPr>
        <w:t xml:space="preserve">Policing: A journal of Policy and Practice, </w:t>
      </w:r>
      <w:r w:rsidRPr="00397B45">
        <w:t xml:space="preserve">18(1), pp. 1-13. </w:t>
      </w:r>
    </w:p>
    <w:p w14:paraId="3C7E6542" w14:textId="269A23C4" w:rsidR="00A302FD" w:rsidRPr="00397B45" w:rsidRDefault="000D3EAA" w:rsidP="003713B7">
      <w:pPr>
        <w:keepNext/>
        <w:spacing w:before="240" w:after="60" w:line="360" w:lineRule="auto"/>
        <w:ind w:right="237"/>
        <w:jc w:val="both"/>
      </w:pPr>
      <w:r w:rsidRPr="00397B45">
        <w:t xml:space="preserve">Women’s Aid (2024) </w:t>
      </w:r>
      <w:r w:rsidRPr="00397B45">
        <w:rPr>
          <w:i/>
          <w:iCs/>
        </w:rPr>
        <w:t xml:space="preserve">What is coercive control?. </w:t>
      </w:r>
      <w:r w:rsidRPr="00397B45">
        <w:t xml:space="preserve">Available at: </w:t>
      </w:r>
      <w:hyperlink r:id="rId35" w:history="1">
        <w:r w:rsidRPr="00397B45">
          <w:rPr>
            <w:rStyle w:val="Hyperlink"/>
            <w:rFonts w:eastAsiaTheme="majorEastAsia"/>
          </w:rPr>
          <w:t>Coercive control - Women’s Aid</w:t>
        </w:r>
      </w:hyperlink>
      <w:r w:rsidRPr="00397B45">
        <w:t xml:space="preserve"> (Accessed: 18 January 2025). </w:t>
      </w:r>
      <w:r w:rsidR="00A302FD" w:rsidRPr="00397B45">
        <w:t xml:space="preserve"> </w:t>
      </w:r>
    </w:p>
    <w:sectPr w:rsidR="00A302FD" w:rsidRPr="00397B45"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0214E4" w14:textId="77777777" w:rsidR="0020251A" w:rsidRDefault="0020251A">
      <w:r>
        <w:separator/>
      </w:r>
    </w:p>
  </w:endnote>
  <w:endnote w:type="continuationSeparator" w:id="0">
    <w:p w14:paraId="07873B5D" w14:textId="77777777" w:rsidR="0020251A" w:rsidRDefault="002025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FA396F" w14:textId="77777777" w:rsidR="0020251A" w:rsidRDefault="0020251A">
      <w:r>
        <w:separator/>
      </w:r>
    </w:p>
  </w:footnote>
  <w:footnote w:type="continuationSeparator" w:id="0">
    <w:p w14:paraId="7A448661" w14:textId="77777777" w:rsidR="0020251A" w:rsidRDefault="0020251A">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4EC0B3E"/>
    <w:multiLevelType w:val="hybridMultilevel"/>
    <w:tmpl w:val="4D88F17C"/>
    <w:lvl w:ilvl="0" w:tplc="7AB0269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5A655A0"/>
    <w:multiLevelType w:val="hybridMultilevel"/>
    <w:tmpl w:val="156C4984"/>
    <w:lvl w:ilvl="0" w:tplc="737008B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6"/>
  </w:num>
  <w:num w:numId="2" w16cid:durableId="1470124959">
    <w:abstractNumId w:val="0"/>
    <w:lvlOverride w:ilvl="0">
      <w:lvl w:ilvl="0">
        <w:start w:val="1"/>
        <w:numFmt w:val="bullet"/>
        <w:lvlText w:val=""/>
        <w:lvlJc w:val="left"/>
        <w:pPr>
          <w:ind w:left="720" w:hanging="360"/>
        </w:pPr>
        <w:rPr>
          <w:rFonts w:ascii="Symbol" w:hAnsi="Symbol" w:hint="default"/>
        </w:rPr>
      </w:lvl>
    </w:lvlOverride>
  </w:num>
  <w:num w:numId="3" w16cid:durableId="688720080">
    <w:abstractNumId w:val="1"/>
  </w:num>
  <w:num w:numId="4" w16cid:durableId="797259064">
    <w:abstractNumId w:val="5"/>
  </w:num>
  <w:num w:numId="5" w16cid:durableId="1722634903">
    <w:abstractNumId w:val="2"/>
  </w:num>
  <w:num w:numId="6" w16cid:durableId="339695764">
    <w:abstractNumId w:val="7"/>
  </w:num>
  <w:num w:numId="7" w16cid:durableId="2100057071">
    <w:abstractNumId w:val="4"/>
  </w:num>
  <w:num w:numId="8" w16cid:durableId="16539812">
    <w:abstractNumId w:val="3"/>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1E19"/>
    <w:rsid w:val="00020EEC"/>
    <w:rsid w:val="00025650"/>
    <w:rsid w:val="00026FAB"/>
    <w:rsid w:val="00027B1F"/>
    <w:rsid w:val="00027CDA"/>
    <w:rsid w:val="0003088B"/>
    <w:rsid w:val="000325D9"/>
    <w:rsid w:val="000372B2"/>
    <w:rsid w:val="0004079F"/>
    <w:rsid w:val="00044610"/>
    <w:rsid w:val="00045B87"/>
    <w:rsid w:val="00045C07"/>
    <w:rsid w:val="00055D43"/>
    <w:rsid w:val="00056FAC"/>
    <w:rsid w:val="00057751"/>
    <w:rsid w:val="00062E39"/>
    <w:rsid w:val="0006580E"/>
    <w:rsid w:val="000669B7"/>
    <w:rsid w:val="00070A81"/>
    <w:rsid w:val="00071EB1"/>
    <w:rsid w:val="00073470"/>
    <w:rsid w:val="00077942"/>
    <w:rsid w:val="00080E58"/>
    <w:rsid w:val="00083D99"/>
    <w:rsid w:val="00084EA6"/>
    <w:rsid w:val="000854B4"/>
    <w:rsid w:val="00085699"/>
    <w:rsid w:val="00087891"/>
    <w:rsid w:val="00091F52"/>
    <w:rsid w:val="00092970"/>
    <w:rsid w:val="00092BC7"/>
    <w:rsid w:val="00093720"/>
    <w:rsid w:val="000938E6"/>
    <w:rsid w:val="00093B3C"/>
    <w:rsid w:val="0009488C"/>
    <w:rsid w:val="00095C1B"/>
    <w:rsid w:val="00096DEA"/>
    <w:rsid w:val="00096F86"/>
    <w:rsid w:val="000A4119"/>
    <w:rsid w:val="000A4240"/>
    <w:rsid w:val="000A469A"/>
    <w:rsid w:val="000B1E96"/>
    <w:rsid w:val="000C378F"/>
    <w:rsid w:val="000C6892"/>
    <w:rsid w:val="000C6FFE"/>
    <w:rsid w:val="000D0BB6"/>
    <w:rsid w:val="000D3EAA"/>
    <w:rsid w:val="000E26B0"/>
    <w:rsid w:val="000F1599"/>
    <w:rsid w:val="000F1607"/>
    <w:rsid w:val="000F1769"/>
    <w:rsid w:val="000F198A"/>
    <w:rsid w:val="000F2A07"/>
    <w:rsid w:val="000F6196"/>
    <w:rsid w:val="000F7ECD"/>
    <w:rsid w:val="0010130C"/>
    <w:rsid w:val="00102E64"/>
    <w:rsid w:val="0010312C"/>
    <w:rsid w:val="00106DC7"/>
    <w:rsid w:val="00112391"/>
    <w:rsid w:val="00114F52"/>
    <w:rsid w:val="0012135C"/>
    <w:rsid w:val="00122024"/>
    <w:rsid w:val="00126940"/>
    <w:rsid w:val="00130E83"/>
    <w:rsid w:val="001314D1"/>
    <w:rsid w:val="001328A7"/>
    <w:rsid w:val="001347F8"/>
    <w:rsid w:val="00137BB5"/>
    <w:rsid w:val="00137E05"/>
    <w:rsid w:val="00143BD8"/>
    <w:rsid w:val="001447F6"/>
    <w:rsid w:val="00146195"/>
    <w:rsid w:val="00147DE3"/>
    <w:rsid w:val="00150794"/>
    <w:rsid w:val="001608C4"/>
    <w:rsid w:val="00163424"/>
    <w:rsid w:val="00171418"/>
    <w:rsid w:val="00171D38"/>
    <w:rsid w:val="00174F29"/>
    <w:rsid w:val="0018551A"/>
    <w:rsid w:val="00190913"/>
    <w:rsid w:val="001961CF"/>
    <w:rsid w:val="001A16AF"/>
    <w:rsid w:val="001A2406"/>
    <w:rsid w:val="001A50BC"/>
    <w:rsid w:val="001A59BB"/>
    <w:rsid w:val="001A6A51"/>
    <w:rsid w:val="001A79C4"/>
    <w:rsid w:val="001B331A"/>
    <w:rsid w:val="001C0E74"/>
    <w:rsid w:val="001C1B2E"/>
    <w:rsid w:val="001C6CEC"/>
    <w:rsid w:val="001D229F"/>
    <w:rsid w:val="001D4935"/>
    <w:rsid w:val="001D59CE"/>
    <w:rsid w:val="001D6162"/>
    <w:rsid w:val="001E642D"/>
    <w:rsid w:val="001E6FAD"/>
    <w:rsid w:val="001E7592"/>
    <w:rsid w:val="001F3878"/>
    <w:rsid w:val="001F4552"/>
    <w:rsid w:val="002019EB"/>
    <w:rsid w:val="0020251A"/>
    <w:rsid w:val="002030F2"/>
    <w:rsid w:val="00205051"/>
    <w:rsid w:val="00211F65"/>
    <w:rsid w:val="00213A97"/>
    <w:rsid w:val="0022001B"/>
    <w:rsid w:val="00220D06"/>
    <w:rsid w:val="002219BA"/>
    <w:rsid w:val="002246A0"/>
    <w:rsid w:val="00224AF9"/>
    <w:rsid w:val="002273EA"/>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80BA2"/>
    <w:rsid w:val="00286848"/>
    <w:rsid w:val="00291ADD"/>
    <w:rsid w:val="00294868"/>
    <w:rsid w:val="00295324"/>
    <w:rsid w:val="00295CA1"/>
    <w:rsid w:val="002A291A"/>
    <w:rsid w:val="002A3644"/>
    <w:rsid w:val="002A5604"/>
    <w:rsid w:val="002B1701"/>
    <w:rsid w:val="002B23C3"/>
    <w:rsid w:val="002B2BD2"/>
    <w:rsid w:val="002B443A"/>
    <w:rsid w:val="002B5B35"/>
    <w:rsid w:val="002C1723"/>
    <w:rsid w:val="002C256A"/>
    <w:rsid w:val="002C496D"/>
    <w:rsid w:val="002D05EB"/>
    <w:rsid w:val="002D2F29"/>
    <w:rsid w:val="002D2FD3"/>
    <w:rsid w:val="002E6C4F"/>
    <w:rsid w:val="002E7017"/>
    <w:rsid w:val="002F4EB3"/>
    <w:rsid w:val="002F4F6E"/>
    <w:rsid w:val="003015C3"/>
    <w:rsid w:val="003017F2"/>
    <w:rsid w:val="0030698D"/>
    <w:rsid w:val="0031350A"/>
    <w:rsid w:val="00316815"/>
    <w:rsid w:val="003168CA"/>
    <w:rsid w:val="00321255"/>
    <w:rsid w:val="0032230D"/>
    <w:rsid w:val="00322A0B"/>
    <w:rsid w:val="003238F9"/>
    <w:rsid w:val="003245CF"/>
    <w:rsid w:val="00332F54"/>
    <w:rsid w:val="00335FC5"/>
    <w:rsid w:val="00340E9A"/>
    <w:rsid w:val="003516C0"/>
    <w:rsid w:val="00352E59"/>
    <w:rsid w:val="00354DBE"/>
    <w:rsid w:val="00355210"/>
    <w:rsid w:val="003555D5"/>
    <w:rsid w:val="00365DF9"/>
    <w:rsid w:val="0036668D"/>
    <w:rsid w:val="003713B7"/>
    <w:rsid w:val="00372DB4"/>
    <w:rsid w:val="0037490C"/>
    <w:rsid w:val="00374DC9"/>
    <w:rsid w:val="00375AF5"/>
    <w:rsid w:val="003761BD"/>
    <w:rsid w:val="003769F6"/>
    <w:rsid w:val="00383298"/>
    <w:rsid w:val="00385414"/>
    <w:rsid w:val="00387837"/>
    <w:rsid w:val="00390074"/>
    <w:rsid w:val="00394EC2"/>
    <w:rsid w:val="0039762B"/>
    <w:rsid w:val="00397B45"/>
    <w:rsid w:val="003A0C37"/>
    <w:rsid w:val="003A1B6B"/>
    <w:rsid w:val="003A2F82"/>
    <w:rsid w:val="003A46C0"/>
    <w:rsid w:val="003A600E"/>
    <w:rsid w:val="003A6513"/>
    <w:rsid w:val="003B16C7"/>
    <w:rsid w:val="003B22AC"/>
    <w:rsid w:val="003B3E48"/>
    <w:rsid w:val="003C19F1"/>
    <w:rsid w:val="003C4186"/>
    <w:rsid w:val="003C458C"/>
    <w:rsid w:val="003C6185"/>
    <w:rsid w:val="003D04DB"/>
    <w:rsid w:val="003D0D2D"/>
    <w:rsid w:val="003D4710"/>
    <w:rsid w:val="003D4989"/>
    <w:rsid w:val="003D4FCB"/>
    <w:rsid w:val="003E16D7"/>
    <w:rsid w:val="003E197E"/>
    <w:rsid w:val="004046F0"/>
    <w:rsid w:val="0040668F"/>
    <w:rsid w:val="00412677"/>
    <w:rsid w:val="00413112"/>
    <w:rsid w:val="00417925"/>
    <w:rsid w:val="0042336C"/>
    <w:rsid w:val="00431825"/>
    <w:rsid w:val="0043381A"/>
    <w:rsid w:val="004348AE"/>
    <w:rsid w:val="00435E9A"/>
    <w:rsid w:val="004376C0"/>
    <w:rsid w:val="0044115F"/>
    <w:rsid w:val="0044223A"/>
    <w:rsid w:val="00446792"/>
    <w:rsid w:val="00446F80"/>
    <w:rsid w:val="00450C83"/>
    <w:rsid w:val="004510F4"/>
    <w:rsid w:val="00451851"/>
    <w:rsid w:val="00453343"/>
    <w:rsid w:val="004578E4"/>
    <w:rsid w:val="004608B9"/>
    <w:rsid w:val="00460ADB"/>
    <w:rsid w:val="004614B1"/>
    <w:rsid w:val="00465947"/>
    <w:rsid w:val="004672C1"/>
    <w:rsid w:val="00470BB1"/>
    <w:rsid w:val="004718F7"/>
    <w:rsid w:val="00473153"/>
    <w:rsid w:val="004743AF"/>
    <w:rsid w:val="00475F81"/>
    <w:rsid w:val="004779AC"/>
    <w:rsid w:val="00482C17"/>
    <w:rsid w:val="004911B4"/>
    <w:rsid w:val="0049196A"/>
    <w:rsid w:val="004923DA"/>
    <w:rsid w:val="00493434"/>
    <w:rsid w:val="004962F9"/>
    <w:rsid w:val="004968E2"/>
    <w:rsid w:val="00496A17"/>
    <w:rsid w:val="004A07F1"/>
    <w:rsid w:val="004A14C4"/>
    <w:rsid w:val="004A2A49"/>
    <w:rsid w:val="004B2E17"/>
    <w:rsid w:val="004B4CB8"/>
    <w:rsid w:val="004B50CB"/>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3CFD"/>
    <w:rsid w:val="00514F73"/>
    <w:rsid w:val="005169D1"/>
    <w:rsid w:val="00521123"/>
    <w:rsid w:val="00521221"/>
    <w:rsid w:val="00527D46"/>
    <w:rsid w:val="00536FA9"/>
    <w:rsid w:val="005414F4"/>
    <w:rsid w:val="00546187"/>
    <w:rsid w:val="005463F1"/>
    <w:rsid w:val="0054772F"/>
    <w:rsid w:val="00557D77"/>
    <w:rsid w:val="00562EAA"/>
    <w:rsid w:val="00563B58"/>
    <w:rsid w:val="005640C4"/>
    <w:rsid w:val="00564C53"/>
    <w:rsid w:val="0056684C"/>
    <w:rsid w:val="00574A0C"/>
    <w:rsid w:val="00576E4C"/>
    <w:rsid w:val="0057780F"/>
    <w:rsid w:val="00581E0A"/>
    <w:rsid w:val="00582870"/>
    <w:rsid w:val="00586D89"/>
    <w:rsid w:val="005916B8"/>
    <w:rsid w:val="00593979"/>
    <w:rsid w:val="00593D00"/>
    <w:rsid w:val="005967B4"/>
    <w:rsid w:val="005A1B4C"/>
    <w:rsid w:val="005A1BA3"/>
    <w:rsid w:val="005A545C"/>
    <w:rsid w:val="005C1567"/>
    <w:rsid w:val="005C6CE5"/>
    <w:rsid w:val="005C76DE"/>
    <w:rsid w:val="005D3F07"/>
    <w:rsid w:val="005D583E"/>
    <w:rsid w:val="005E0E11"/>
    <w:rsid w:val="005E13EA"/>
    <w:rsid w:val="005E53BD"/>
    <w:rsid w:val="00606E27"/>
    <w:rsid w:val="006108C9"/>
    <w:rsid w:val="006147C0"/>
    <w:rsid w:val="00615C7E"/>
    <w:rsid w:val="0062158D"/>
    <w:rsid w:val="00630F39"/>
    <w:rsid w:val="00631CF8"/>
    <w:rsid w:val="006326D1"/>
    <w:rsid w:val="00632E0A"/>
    <w:rsid w:val="00633165"/>
    <w:rsid w:val="00636B6C"/>
    <w:rsid w:val="006447DE"/>
    <w:rsid w:val="006459C5"/>
    <w:rsid w:val="0064788C"/>
    <w:rsid w:val="006525E0"/>
    <w:rsid w:val="0065276E"/>
    <w:rsid w:val="00654329"/>
    <w:rsid w:val="00654CEC"/>
    <w:rsid w:val="00654F91"/>
    <w:rsid w:val="00655507"/>
    <w:rsid w:val="00660891"/>
    <w:rsid w:val="00662D74"/>
    <w:rsid w:val="006666FA"/>
    <w:rsid w:val="006712A7"/>
    <w:rsid w:val="006733CC"/>
    <w:rsid w:val="00674FC2"/>
    <w:rsid w:val="00677E42"/>
    <w:rsid w:val="00682334"/>
    <w:rsid w:val="00684B16"/>
    <w:rsid w:val="00694C00"/>
    <w:rsid w:val="00696F65"/>
    <w:rsid w:val="006A1C2D"/>
    <w:rsid w:val="006A61C1"/>
    <w:rsid w:val="006A7A6D"/>
    <w:rsid w:val="006B5E67"/>
    <w:rsid w:val="006C2EB5"/>
    <w:rsid w:val="006C33D6"/>
    <w:rsid w:val="006D18A3"/>
    <w:rsid w:val="006D5970"/>
    <w:rsid w:val="006E481E"/>
    <w:rsid w:val="006E795F"/>
    <w:rsid w:val="00700249"/>
    <w:rsid w:val="00703707"/>
    <w:rsid w:val="0070604C"/>
    <w:rsid w:val="007069CD"/>
    <w:rsid w:val="00707627"/>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466E1"/>
    <w:rsid w:val="00751263"/>
    <w:rsid w:val="0075704F"/>
    <w:rsid w:val="00763B2D"/>
    <w:rsid w:val="00766FD0"/>
    <w:rsid w:val="00772924"/>
    <w:rsid w:val="00775BE2"/>
    <w:rsid w:val="00784EC4"/>
    <w:rsid w:val="007872F2"/>
    <w:rsid w:val="007874BC"/>
    <w:rsid w:val="00790417"/>
    <w:rsid w:val="007908E0"/>
    <w:rsid w:val="00793EB3"/>
    <w:rsid w:val="00794205"/>
    <w:rsid w:val="00797012"/>
    <w:rsid w:val="007A07D8"/>
    <w:rsid w:val="007A1F6A"/>
    <w:rsid w:val="007B0DE3"/>
    <w:rsid w:val="007B491F"/>
    <w:rsid w:val="007B5CB2"/>
    <w:rsid w:val="007B7191"/>
    <w:rsid w:val="007C1634"/>
    <w:rsid w:val="007C1D94"/>
    <w:rsid w:val="007C2879"/>
    <w:rsid w:val="007C2E83"/>
    <w:rsid w:val="007C46DA"/>
    <w:rsid w:val="007C6A87"/>
    <w:rsid w:val="007C705D"/>
    <w:rsid w:val="007C7FCE"/>
    <w:rsid w:val="007D0A07"/>
    <w:rsid w:val="007D0C96"/>
    <w:rsid w:val="007D133D"/>
    <w:rsid w:val="007D3EB4"/>
    <w:rsid w:val="007D3F16"/>
    <w:rsid w:val="007D78CC"/>
    <w:rsid w:val="007F3F7E"/>
    <w:rsid w:val="007F5497"/>
    <w:rsid w:val="008024E2"/>
    <w:rsid w:val="008121F9"/>
    <w:rsid w:val="00813CEC"/>
    <w:rsid w:val="0081534C"/>
    <w:rsid w:val="00815FF6"/>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5E72"/>
    <w:rsid w:val="00866B50"/>
    <w:rsid w:val="008708F1"/>
    <w:rsid w:val="00877252"/>
    <w:rsid w:val="00880539"/>
    <w:rsid w:val="008859E8"/>
    <w:rsid w:val="0088737B"/>
    <w:rsid w:val="00892716"/>
    <w:rsid w:val="00893067"/>
    <w:rsid w:val="008933DE"/>
    <w:rsid w:val="00895FCE"/>
    <w:rsid w:val="00897A7C"/>
    <w:rsid w:val="00897F3E"/>
    <w:rsid w:val="008A1BA8"/>
    <w:rsid w:val="008A21B4"/>
    <w:rsid w:val="008A4576"/>
    <w:rsid w:val="008B07DE"/>
    <w:rsid w:val="008B28E7"/>
    <w:rsid w:val="008B4960"/>
    <w:rsid w:val="008B55AF"/>
    <w:rsid w:val="008C14C7"/>
    <w:rsid w:val="008C2FFB"/>
    <w:rsid w:val="008C6EEA"/>
    <w:rsid w:val="008D5813"/>
    <w:rsid w:val="008D5A7F"/>
    <w:rsid w:val="008D634E"/>
    <w:rsid w:val="008D778A"/>
    <w:rsid w:val="008F22BD"/>
    <w:rsid w:val="008F3EE3"/>
    <w:rsid w:val="008F5AE0"/>
    <w:rsid w:val="009017F3"/>
    <w:rsid w:val="009079BD"/>
    <w:rsid w:val="00907BB5"/>
    <w:rsid w:val="0091135D"/>
    <w:rsid w:val="00912BD9"/>
    <w:rsid w:val="009155C7"/>
    <w:rsid w:val="00916CFB"/>
    <w:rsid w:val="00920E5B"/>
    <w:rsid w:val="009249F8"/>
    <w:rsid w:val="00926436"/>
    <w:rsid w:val="0093018C"/>
    <w:rsid w:val="0093247C"/>
    <w:rsid w:val="00932CCA"/>
    <w:rsid w:val="00942E7E"/>
    <w:rsid w:val="00945A49"/>
    <w:rsid w:val="009544C0"/>
    <w:rsid w:val="00954FA4"/>
    <w:rsid w:val="00956AE9"/>
    <w:rsid w:val="00964CC6"/>
    <w:rsid w:val="0096566A"/>
    <w:rsid w:val="00971ABA"/>
    <w:rsid w:val="00977A01"/>
    <w:rsid w:val="00985EC5"/>
    <w:rsid w:val="00985F0A"/>
    <w:rsid w:val="00991FDA"/>
    <w:rsid w:val="009927A1"/>
    <w:rsid w:val="0099774D"/>
    <w:rsid w:val="009A04C4"/>
    <w:rsid w:val="009A310E"/>
    <w:rsid w:val="009A5F3B"/>
    <w:rsid w:val="009B0A20"/>
    <w:rsid w:val="009B0B61"/>
    <w:rsid w:val="009B28C0"/>
    <w:rsid w:val="009B395A"/>
    <w:rsid w:val="009B3E93"/>
    <w:rsid w:val="009B7136"/>
    <w:rsid w:val="009B7806"/>
    <w:rsid w:val="009C3AC2"/>
    <w:rsid w:val="009D4365"/>
    <w:rsid w:val="009D4E3B"/>
    <w:rsid w:val="009D7BC9"/>
    <w:rsid w:val="009E0C5A"/>
    <w:rsid w:val="009E1982"/>
    <w:rsid w:val="009E4D2C"/>
    <w:rsid w:val="009E65AE"/>
    <w:rsid w:val="009F0978"/>
    <w:rsid w:val="009F3AEC"/>
    <w:rsid w:val="00A00081"/>
    <w:rsid w:val="00A015F7"/>
    <w:rsid w:val="00A063A6"/>
    <w:rsid w:val="00A10D56"/>
    <w:rsid w:val="00A12AAE"/>
    <w:rsid w:val="00A16DD1"/>
    <w:rsid w:val="00A221AB"/>
    <w:rsid w:val="00A22441"/>
    <w:rsid w:val="00A23F3B"/>
    <w:rsid w:val="00A24406"/>
    <w:rsid w:val="00A25F64"/>
    <w:rsid w:val="00A27CC2"/>
    <w:rsid w:val="00A302FD"/>
    <w:rsid w:val="00A3273B"/>
    <w:rsid w:val="00A40ED6"/>
    <w:rsid w:val="00A470EE"/>
    <w:rsid w:val="00A47621"/>
    <w:rsid w:val="00A47631"/>
    <w:rsid w:val="00A479CD"/>
    <w:rsid w:val="00A50CFC"/>
    <w:rsid w:val="00A54D67"/>
    <w:rsid w:val="00A55A3F"/>
    <w:rsid w:val="00A56BC4"/>
    <w:rsid w:val="00A652F6"/>
    <w:rsid w:val="00A732EA"/>
    <w:rsid w:val="00A7489E"/>
    <w:rsid w:val="00A8015F"/>
    <w:rsid w:val="00A80BD2"/>
    <w:rsid w:val="00A85039"/>
    <w:rsid w:val="00A851F7"/>
    <w:rsid w:val="00A853E9"/>
    <w:rsid w:val="00A906AA"/>
    <w:rsid w:val="00A91255"/>
    <w:rsid w:val="00A917DD"/>
    <w:rsid w:val="00A94C5E"/>
    <w:rsid w:val="00A9729E"/>
    <w:rsid w:val="00A97E64"/>
    <w:rsid w:val="00AA1EE7"/>
    <w:rsid w:val="00AA241A"/>
    <w:rsid w:val="00AA252C"/>
    <w:rsid w:val="00AA666E"/>
    <w:rsid w:val="00AB4640"/>
    <w:rsid w:val="00AB5518"/>
    <w:rsid w:val="00AC01D4"/>
    <w:rsid w:val="00AC4A04"/>
    <w:rsid w:val="00AD186F"/>
    <w:rsid w:val="00AD336F"/>
    <w:rsid w:val="00AD3550"/>
    <w:rsid w:val="00AD6CDF"/>
    <w:rsid w:val="00AE2564"/>
    <w:rsid w:val="00AE301F"/>
    <w:rsid w:val="00AE3302"/>
    <w:rsid w:val="00AE7077"/>
    <w:rsid w:val="00AF61C2"/>
    <w:rsid w:val="00AF6CC6"/>
    <w:rsid w:val="00AF72C5"/>
    <w:rsid w:val="00B011CD"/>
    <w:rsid w:val="00B0296A"/>
    <w:rsid w:val="00B05D17"/>
    <w:rsid w:val="00B12295"/>
    <w:rsid w:val="00B137BE"/>
    <w:rsid w:val="00B17FA0"/>
    <w:rsid w:val="00B24344"/>
    <w:rsid w:val="00B26769"/>
    <w:rsid w:val="00B30DC1"/>
    <w:rsid w:val="00B31C91"/>
    <w:rsid w:val="00B3747F"/>
    <w:rsid w:val="00B419D1"/>
    <w:rsid w:val="00B43194"/>
    <w:rsid w:val="00B47734"/>
    <w:rsid w:val="00B50FBA"/>
    <w:rsid w:val="00B558EB"/>
    <w:rsid w:val="00B577D3"/>
    <w:rsid w:val="00B60466"/>
    <w:rsid w:val="00B6548F"/>
    <w:rsid w:val="00B7502A"/>
    <w:rsid w:val="00B77305"/>
    <w:rsid w:val="00B800A3"/>
    <w:rsid w:val="00B82CC2"/>
    <w:rsid w:val="00B84A89"/>
    <w:rsid w:val="00B92BEF"/>
    <w:rsid w:val="00B9689A"/>
    <w:rsid w:val="00B96E99"/>
    <w:rsid w:val="00BA074B"/>
    <w:rsid w:val="00BA1FFA"/>
    <w:rsid w:val="00BA2666"/>
    <w:rsid w:val="00BA3329"/>
    <w:rsid w:val="00BA7FF1"/>
    <w:rsid w:val="00BB06CB"/>
    <w:rsid w:val="00BB261F"/>
    <w:rsid w:val="00BB2887"/>
    <w:rsid w:val="00BB5EAA"/>
    <w:rsid w:val="00BB5F11"/>
    <w:rsid w:val="00BB60DB"/>
    <w:rsid w:val="00BC0401"/>
    <w:rsid w:val="00BC04FA"/>
    <w:rsid w:val="00BC1C22"/>
    <w:rsid w:val="00BC460B"/>
    <w:rsid w:val="00BC5725"/>
    <w:rsid w:val="00BC7340"/>
    <w:rsid w:val="00BD1994"/>
    <w:rsid w:val="00BD30B1"/>
    <w:rsid w:val="00BE0F7B"/>
    <w:rsid w:val="00BE10C2"/>
    <w:rsid w:val="00C01D14"/>
    <w:rsid w:val="00C025B4"/>
    <w:rsid w:val="00C0275F"/>
    <w:rsid w:val="00C11F61"/>
    <w:rsid w:val="00C161FD"/>
    <w:rsid w:val="00C17A27"/>
    <w:rsid w:val="00C2397B"/>
    <w:rsid w:val="00C23F17"/>
    <w:rsid w:val="00C2537C"/>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57A49"/>
    <w:rsid w:val="00C63C30"/>
    <w:rsid w:val="00C63D00"/>
    <w:rsid w:val="00C6441B"/>
    <w:rsid w:val="00C704F2"/>
    <w:rsid w:val="00C7108B"/>
    <w:rsid w:val="00C72DFD"/>
    <w:rsid w:val="00C732A5"/>
    <w:rsid w:val="00C8089F"/>
    <w:rsid w:val="00C829CB"/>
    <w:rsid w:val="00C836CC"/>
    <w:rsid w:val="00C87A74"/>
    <w:rsid w:val="00C90A71"/>
    <w:rsid w:val="00C91574"/>
    <w:rsid w:val="00C91BC2"/>
    <w:rsid w:val="00C92C71"/>
    <w:rsid w:val="00C93F8F"/>
    <w:rsid w:val="00C94BF2"/>
    <w:rsid w:val="00CA2745"/>
    <w:rsid w:val="00CA3593"/>
    <w:rsid w:val="00CA7F4F"/>
    <w:rsid w:val="00CB258E"/>
    <w:rsid w:val="00CB2EF5"/>
    <w:rsid w:val="00CB3C8F"/>
    <w:rsid w:val="00CB75CE"/>
    <w:rsid w:val="00CC02F1"/>
    <w:rsid w:val="00CC11A6"/>
    <w:rsid w:val="00CC135E"/>
    <w:rsid w:val="00CC189C"/>
    <w:rsid w:val="00CC2F35"/>
    <w:rsid w:val="00CC4092"/>
    <w:rsid w:val="00CC5F5C"/>
    <w:rsid w:val="00CD5D3F"/>
    <w:rsid w:val="00CE2FD0"/>
    <w:rsid w:val="00CE4EB1"/>
    <w:rsid w:val="00CF096B"/>
    <w:rsid w:val="00CF1E90"/>
    <w:rsid w:val="00CF3DB3"/>
    <w:rsid w:val="00CF7AF7"/>
    <w:rsid w:val="00D052BC"/>
    <w:rsid w:val="00D07026"/>
    <w:rsid w:val="00D07BAB"/>
    <w:rsid w:val="00D11C62"/>
    <w:rsid w:val="00D223A4"/>
    <w:rsid w:val="00D22C8F"/>
    <w:rsid w:val="00D2397E"/>
    <w:rsid w:val="00D33491"/>
    <w:rsid w:val="00D44F8E"/>
    <w:rsid w:val="00D44FD0"/>
    <w:rsid w:val="00D5645D"/>
    <w:rsid w:val="00D5733C"/>
    <w:rsid w:val="00D607EF"/>
    <w:rsid w:val="00D60F88"/>
    <w:rsid w:val="00D625E7"/>
    <w:rsid w:val="00D646BD"/>
    <w:rsid w:val="00D7018F"/>
    <w:rsid w:val="00D70239"/>
    <w:rsid w:val="00D71201"/>
    <w:rsid w:val="00D720C7"/>
    <w:rsid w:val="00D77A04"/>
    <w:rsid w:val="00D81D06"/>
    <w:rsid w:val="00D8652C"/>
    <w:rsid w:val="00D876E6"/>
    <w:rsid w:val="00DA1025"/>
    <w:rsid w:val="00DA22EC"/>
    <w:rsid w:val="00DA5860"/>
    <w:rsid w:val="00DB2767"/>
    <w:rsid w:val="00DB4348"/>
    <w:rsid w:val="00DB69CE"/>
    <w:rsid w:val="00DC4729"/>
    <w:rsid w:val="00DD05A9"/>
    <w:rsid w:val="00DD6510"/>
    <w:rsid w:val="00DE556F"/>
    <w:rsid w:val="00DE5A5C"/>
    <w:rsid w:val="00E02182"/>
    <w:rsid w:val="00E03B6D"/>
    <w:rsid w:val="00E0649E"/>
    <w:rsid w:val="00E170D2"/>
    <w:rsid w:val="00E17160"/>
    <w:rsid w:val="00E20594"/>
    <w:rsid w:val="00E35BEC"/>
    <w:rsid w:val="00E50821"/>
    <w:rsid w:val="00E50EF8"/>
    <w:rsid w:val="00E51F91"/>
    <w:rsid w:val="00E63584"/>
    <w:rsid w:val="00E676F7"/>
    <w:rsid w:val="00E7086E"/>
    <w:rsid w:val="00E7374A"/>
    <w:rsid w:val="00E73C41"/>
    <w:rsid w:val="00E740C6"/>
    <w:rsid w:val="00E7598F"/>
    <w:rsid w:val="00E76F60"/>
    <w:rsid w:val="00E83D90"/>
    <w:rsid w:val="00E83F28"/>
    <w:rsid w:val="00E83F91"/>
    <w:rsid w:val="00E9107A"/>
    <w:rsid w:val="00E91F62"/>
    <w:rsid w:val="00E929FD"/>
    <w:rsid w:val="00E93240"/>
    <w:rsid w:val="00E934BE"/>
    <w:rsid w:val="00E938B9"/>
    <w:rsid w:val="00E9479B"/>
    <w:rsid w:val="00E97BD3"/>
    <w:rsid w:val="00EA28F1"/>
    <w:rsid w:val="00EA383B"/>
    <w:rsid w:val="00EA4D48"/>
    <w:rsid w:val="00EB2173"/>
    <w:rsid w:val="00EB62E6"/>
    <w:rsid w:val="00ED1B30"/>
    <w:rsid w:val="00ED250E"/>
    <w:rsid w:val="00ED6535"/>
    <w:rsid w:val="00EE1AC1"/>
    <w:rsid w:val="00EE39D6"/>
    <w:rsid w:val="00EE413C"/>
    <w:rsid w:val="00EE52AD"/>
    <w:rsid w:val="00EE601C"/>
    <w:rsid w:val="00EF745A"/>
    <w:rsid w:val="00F01F92"/>
    <w:rsid w:val="00F10A08"/>
    <w:rsid w:val="00F139CF"/>
    <w:rsid w:val="00F1724D"/>
    <w:rsid w:val="00F22AC5"/>
    <w:rsid w:val="00F254D1"/>
    <w:rsid w:val="00F3211D"/>
    <w:rsid w:val="00F32B82"/>
    <w:rsid w:val="00F3470F"/>
    <w:rsid w:val="00F4011C"/>
    <w:rsid w:val="00F4043E"/>
    <w:rsid w:val="00F40CB5"/>
    <w:rsid w:val="00F41BBC"/>
    <w:rsid w:val="00F43B9D"/>
    <w:rsid w:val="00F444F0"/>
    <w:rsid w:val="00F45611"/>
    <w:rsid w:val="00F50847"/>
    <w:rsid w:val="00F53F27"/>
    <w:rsid w:val="00F546D1"/>
    <w:rsid w:val="00F56DD8"/>
    <w:rsid w:val="00F613BA"/>
    <w:rsid w:val="00F6513F"/>
    <w:rsid w:val="00F66272"/>
    <w:rsid w:val="00F6ACA0"/>
    <w:rsid w:val="00F709C0"/>
    <w:rsid w:val="00F73E53"/>
    <w:rsid w:val="00F853B2"/>
    <w:rsid w:val="00F8610A"/>
    <w:rsid w:val="00F927A1"/>
    <w:rsid w:val="00F92E4D"/>
    <w:rsid w:val="00F94392"/>
    <w:rsid w:val="00FA3764"/>
    <w:rsid w:val="00FA56ED"/>
    <w:rsid w:val="00FB2252"/>
    <w:rsid w:val="00FB4EDF"/>
    <w:rsid w:val="00FB5FA6"/>
    <w:rsid w:val="00FC1310"/>
    <w:rsid w:val="00FC1328"/>
    <w:rsid w:val="00FC2FF3"/>
    <w:rsid w:val="00FC3263"/>
    <w:rsid w:val="00FC51F9"/>
    <w:rsid w:val="00FC5B40"/>
    <w:rsid w:val="00FC5FF8"/>
    <w:rsid w:val="00FC63AC"/>
    <w:rsid w:val="00FC702B"/>
    <w:rsid w:val="00FD3D7C"/>
    <w:rsid w:val="00FD4F8F"/>
    <w:rsid w:val="00FD4FF1"/>
    <w:rsid w:val="00FE0C16"/>
    <w:rsid w:val="00FE12C3"/>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C63C3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parked.caada.org.uk/" TargetMode="External"/><Relationship Id="rId26" Type="http://schemas.openxmlformats.org/officeDocument/2006/relationships/hyperlink" Target="https://www.cps.gov.uk/publication/cps-violence-against-women-and-girls-crime-report-2014-2015" TargetMode="External"/><Relationship Id="rId3" Type="http://schemas.openxmlformats.org/officeDocument/2006/relationships/customXml" Target="../customXml/item3.xml"/><Relationship Id="rId21" Type="http://schemas.openxmlformats.org/officeDocument/2006/relationships/hyperlink" Target="https://www.cps.gov.uk/publication/cps-violence-against-women-and-girls-crime-report-2015-2016" TargetMode="External"/><Relationship Id="rId34" Type="http://schemas.openxmlformats.org/officeDocument/2006/relationships/hyperlink" Target="https://safelives.org.uk/wp-content/uploads/SafeLives-Marac-Overview-June-2024.pdf"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bbc.co.uk/news/uk-england-62726384" TargetMode="External"/><Relationship Id="rId25" Type="http://schemas.openxmlformats.org/officeDocument/2006/relationships/hyperlink" Target="https://www.college.police.uk/support-forces/practices/evidence-led-prosecution-checklist-domestic-abuse-cases" TargetMode="External"/><Relationship Id="rId33" Type="http://schemas.openxmlformats.org/officeDocument/2006/relationships/hyperlink" Target="https://safelives.org.uk/wp-content/uploads/Safe-Later-Lives-Older-people-and-domestic-abuse-Spotlight.pdf" TargetMode="External"/><Relationship Id="rId38"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hyperlink" Target="https://www.ageuk.org.uk/discover/2021/december/domestic-abuse-more-needs-to-be-done-to-support-older-people/" TargetMode="External"/><Relationship Id="rId20" Type="http://schemas.openxmlformats.org/officeDocument/2006/relationships/hyperlink" Target="https://www.college.police.uk/app/major-investigation-and-public-protection/domestic-abuse/using-domestic-violence-protection-notices-and-domestic-violence-protection-orders-make-victims-safer" TargetMode="External"/><Relationship Id="rId29" Type="http://schemas.openxmlformats.org/officeDocument/2006/relationships/hyperlink" Target="https://hmicfrs.justiceinspectorates.gov.uk/publications/review-of-policing-domestic-abuse-during-pandemic/"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research/crime-reduction-toolkit/focused-deterrence-strategies" TargetMode="External"/><Relationship Id="rId32" Type="http://schemas.openxmlformats.org/officeDocument/2006/relationships/hyperlink" Target="https://refuge.org.uk/what-is-domestic-abuse/the-facts/"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assets.college.police.uk/s3fs-public/Recognising-responding-vulnerability-related-risks-guidelines.pdf" TargetMode="External"/><Relationship Id="rId28" Type="http://schemas.openxmlformats.org/officeDocument/2006/relationships/hyperlink" Target="https://assets.publishing.service.gov.uk/media/642d3f9e7de82b001231364d/Controlling_or_Coercive_Behaviour_Statutory_Guidance_-_final.pdf"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ollege.police.uk/app/major-investigation-and-public-protection/domestic-abuse" TargetMode="External"/><Relationship Id="rId31" Type="http://schemas.openxmlformats.org/officeDocument/2006/relationships/hyperlink" Target="https://www.ons.gov.uk/peoplepopulationandcommunity/crimeandjustice/bulletins/domesticabuseinenglandandwalesoverview/november2024"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college.police.uk/app/major-investigation-and-public-protection/domestic-abuse/arrest-and-other-positive-approaches" TargetMode="External"/><Relationship Id="rId27" Type="http://schemas.openxmlformats.org/officeDocument/2006/relationships/hyperlink" Target="https://www.cps.gov.uk/publication/cps-violence-against-women-and-girls-crime-report-2015-2016" TargetMode="External"/><Relationship Id="rId30" Type="http://schemas.openxmlformats.org/officeDocument/2006/relationships/hyperlink" Target="https://www.ons.gov.uk/peoplepopulationandcommunity/crimeandjustice/bulletins/domesticabuseinenglandandwalesoverview/november2021" TargetMode="External"/><Relationship Id="rId35" Type="http://schemas.openxmlformats.org/officeDocument/2006/relationships/hyperlink" Target="https://www.womensaid.org.uk/information-support/what-is-domestic-abuse/coercive-contro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960</TotalTime>
  <Pages>21</Pages>
  <Words>6562</Words>
  <Characters>38735</Characters>
  <Application>Microsoft Office Word</Application>
  <DocSecurity>0</DocSecurity>
  <Lines>322</Lines>
  <Paragraphs>90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45207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Jones, Cerys</cp:lastModifiedBy>
  <cp:revision>104</cp:revision>
  <cp:lastPrinted>2014-08-26T08:55:00Z</cp:lastPrinted>
  <dcterms:created xsi:type="dcterms:W3CDTF">2024-12-19T11:32:00Z</dcterms:created>
  <dcterms:modified xsi:type="dcterms:W3CDTF">2025-04-27T15:40:00Z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2024-12-19T11:32:28Z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acaf4b17-7951-48c9-a91f-67ba16af9415</vt:lpwstr>
  </property>
  <property fmtid="{D5CDD505-2E9C-101B-9397-08002B2CF9AE}" pid="9" name="MSIP_Label_f2acd28b-79a3-4a0f-b0ff-4b75658b1549_ContentBits">
    <vt:lpwstr>0</vt:lpwstr>
  </property>
</Properties>
</file>