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D626C" w14:textId="50FE65A1" w:rsidR="006C04E8" w:rsidRDefault="00C41191">
      <w:pPr>
        <w:rPr>
          <w:lang w:val="en-US"/>
        </w:rPr>
      </w:pPr>
      <w:r>
        <w:rPr>
          <w:lang w:val="en-US"/>
        </w:rPr>
        <w:t>ECAD7005 – Part A</w:t>
      </w:r>
    </w:p>
    <w:p w14:paraId="3AA54146" w14:textId="097CFB30" w:rsidR="00C41191" w:rsidRPr="00B851F0" w:rsidRDefault="00B851F0" w:rsidP="00B851F0">
      <w:hyperlink r:id="rId5" w:history="1">
        <w:r>
          <w:rPr>
            <w:rStyle w:val="Hyperlink"/>
          </w:rPr>
          <w:t>PowerPoint Presentation - part A vi</w:t>
        </w:r>
        <w:r>
          <w:rPr>
            <w:rStyle w:val="Hyperlink"/>
          </w:rPr>
          <w:t>d</w:t>
        </w:r>
        <w:r>
          <w:rPr>
            <w:rStyle w:val="Hyperlink"/>
          </w:rPr>
          <w:t>eo.mp4</w:t>
        </w:r>
      </w:hyperlink>
      <w:r>
        <w:t xml:space="preserve"> </w:t>
      </w:r>
    </w:p>
    <w:p w14:paraId="2365D828" w14:textId="76EC17BF" w:rsidR="00C41191" w:rsidRDefault="00C41191">
      <w:pPr>
        <w:rPr>
          <w:lang w:val="en-US"/>
        </w:rPr>
      </w:pPr>
    </w:p>
    <w:p w14:paraId="5A57F305" w14:textId="10A28858" w:rsidR="00C41191" w:rsidRDefault="00C41191">
      <w:pPr>
        <w:rPr>
          <w:lang w:val="en-US"/>
        </w:rPr>
      </w:pPr>
      <w:r>
        <w:rPr>
          <w:lang w:val="en-US"/>
        </w:rPr>
        <w:t>Targets &amp; Declaration</w:t>
      </w:r>
    </w:p>
    <w:p w14:paraId="25C7F22C" w14:textId="77777777" w:rsidR="00C41191" w:rsidRPr="00C41191" w:rsidRDefault="00C41191" w:rsidP="00C41191">
      <w:pPr>
        <w:numPr>
          <w:ilvl w:val="0"/>
          <w:numId w:val="1"/>
        </w:numPr>
      </w:pPr>
      <w:r w:rsidRPr="00C41191">
        <w:t xml:space="preserve">In future Level 7 assignments, continue to engage with a wider range of literature to back up your ideas with evidence from latest studies. For example, include how existing empirical research would interpret sensory processing issues, and propose practical strategies you could use to address sensory-related behaviours </w:t>
      </w:r>
      <w:proofErr w:type="gramStart"/>
      <w:r w:rsidRPr="00C41191">
        <w:t>similar to</w:t>
      </w:r>
      <w:proofErr w:type="gramEnd"/>
      <w:r w:rsidRPr="00C41191">
        <w:t xml:space="preserve"> the incident.</w:t>
      </w:r>
    </w:p>
    <w:p w14:paraId="02A25AA1" w14:textId="77777777" w:rsidR="00C41191" w:rsidRPr="003C66AD" w:rsidRDefault="00C41191" w:rsidP="00C41191">
      <w:pPr>
        <w:rPr>
          <w:b/>
          <w:bCs/>
        </w:rPr>
      </w:pPr>
      <w:r w:rsidRPr="003C66AD">
        <w:rPr>
          <w:b/>
          <w:bCs/>
        </w:rPr>
        <w:t xml:space="preserve">I acknowledge the use of Poe </w:t>
      </w:r>
      <w:hyperlink r:id="rId6" w:history="1">
        <w:r w:rsidRPr="003C66AD">
          <w:rPr>
            <w:rStyle w:val="Hyperlink"/>
            <w:b/>
            <w:bCs/>
          </w:rPr>
          <w:t>https://poe.com/</w:t>
        </w:r>
      </w:hyperlink>
      <w:r w:rsidRPr="003C66AD">
        <w:rPr>
          <w:b/>
          <w:bCs/>
        </w:rPr>
        <w:t xml:space="preserve"> on 3</w:t>
      </w:r>
      <w:r w:rsidRPr="003C66AD">
        <w:rPr>
          <w:b/>
          <w:bCs/>
          <w:vertAlign w:val="superscript"/>
        </w:rPr>
        <w:t>rd</w:t>
      </w:r>
      <w:r w:rsidRPr="003C66AD">
        <w:rPr>
          <w:b/>
          <w:bCs/>
        </w:rPr>
        <w:t xml:space="preserve"> February 2025 to support my research. I used the prompts: </w:t>
      </w:r>
    </w:p>
    <w:p w14:paraId="297B8CE6" w14:textId="77777777" w:rsidR="00C41191" w:rsidRPr="003C66AD" w:rsidRDefault="00C41191" w:rsidP="00C41191">
      <w:pPr>
        <w:rPr>
          <w:b/>
          <w:bCs/>
        </w:rPr>
      </w:pPr>
      <w:r w:rsidRPr="003C66AD">
        <w:rPr>
          <w:b/>
          <w:bCs/>
        </w:rPr>
        <w:t>‘Welsh education policies that align with the introduction of family education programs in schools’</w:t>
      </w:r>
    </w:p>
    <w:p w14:paraId="03D90A72" w14:textId="77777777" w:rsidR="00C41191" w:rsidRPr="003C66AD" w:rsidRDefault="00C41191" w:rsidP="00C41191">
      <w:pPr>
        <w:rPr>
          <w:b/>
          <w:bCs/>
        </w:rPr>
      </w:pPr>
      <w:r w:rsidRPr="003C66AD">
        <w:rPr>
          <w:b/>
          <w:bCs/>
        </w:rPr>
        <w:t>‘Summarise Goodall and Montgomery’s theory of parental engagement and involvement continuum’</w:t>
      </w:r>
    </w:p>
    <w:p w14:paraId="387270B3" w14:textId="77777777" w:rsidR="00C41191" w:rsidRPr="003C66AD" w:rsidRDefault="00C41191" w:rsidP="00C41191">
      <w:pPr>
        <w:rPr>
          <w:b/>
          <w:bCs/>
        </w:rPr>
      </w:pPr>
      <w:r w:rsidRPr="003C66AD">
        <w:rPr>
          <w:b/>
          <w:bCs/>
        </w:rPr>
        <w:t>‘How does Epstein’s model criticise Goodall and Montgomery’s ideas of parental engagement?’</w:t>
      </w:r>
    </w:p>
    <w:p w14:paraId="195A447B" w14:textId="77777777" w:rsidR="00C41191" w:rsidRPr="003C66AD" w:rsidRDefault="00C41191" w:rsidP="00C41191">
      <w:pPr>
        <w:rPr>
          <w:b/>
          <w:bCs/>
        </w:rPr>
      </w:pPr>
      <w:r w:rsidRPr="003C66AD">
        <w:rPr>
          <w:b/>
          <w:bCs/>
        </w:rPr>
        <w:t>I confirm that I have not presented any AI generated text as my own work. I confirm I have copies of my drafts, notes, and other resources I used before, and after the use of AI tools which I may be asked to provide in evidence</w:t>
      </w:r>
    </w:p>
    <w:p w14:paraId="1EB1ED72" w14:textId="7F8A278C" w:rsidR="00C41191" w:rsidRDefault="00C41191">
      <w:pPr>
        <w:rPr>
          <w:lang w:val="en-US"/>
        </w:rPr>
      </w:pPr>
      <w:r>
        <w:rPr>
          <w:lang w:val="en-US"/>
        </w:rPr>
        <w:t>Reference List</w:t>
      </w:r>
    </w:p>
    <w:p w14:paraId="2FAA23F5" w14:textId="77777777" w:rsidR="00C41191" w:rsidRPr="00C41191" w:rsidRDefault="00C41191" w:rsidP="00C41191">
      <w:pPr>
        <w:numPr>
          <w:ilvl w:val="0"/>
          <w:numId w:val="2"/>
        </w:numPr>
      </w:pPr>
      <w:r w:rsidRPr="00C41191">
        <w:t xml:space="preserve">British Educational Research Association (2018) </w:t>
      </w:r>
      <w:r w:rsidRPr="00C41191">
        <w:rPr>
          <w:i/>
          <w:iCs/>
        </w:rPr>
        <w:t xml:space="preserve">Ethical Guidelines for Educational Research. </w:t>
      </w:r>
      <w:r w:rsidRPr="00C41191">
        <w:t>4</w:t>
      </w:r>
      <w:r w:rsidRPr="00C41191">
        <w:rPr>
          <w:vertAlign w:val="superscript"/>
        </w:rPr>
        <w:t>th</w:t>
      </w:r>
      <w:r w:rsidRPr="00C41191">
        <w:t xml:space="preserve"> </w:t>
      </w:r>
      <w:proofErr w:type="spellStart"/>
      <w:r w:rsidRPr="00C41191">
        <w:t>edn</w:t>
      </w:r>
      <w:proofErr w:type="spellEnd"/>
      <w:r w:rsidRPr="00C41191">
        <w:t xml:space="preserve">. Available at: </w:t>
      </w:r>
      <w:hyperlink r:id="rId7" w:history="1">
        <w:r w:rsidRPr="00C41191">
          <w:rPr>
            <w:rStyle w:val="Hyperlink"/>
          </w:rPr>
          <w:t>https://www.bera.ac.uk/publication/ethical-guidelines-for-educational-research-2018</w:t>
        </w:r>
      </w:hyperlink>
      <w:r w:rsidRPr="00C41191">
        <w:t>. Accessed 15.02.25</w:t>
      </w:r>
    </w:p>
    <w:p w14:paraId="2D324958" w14:textId="77777777" w:rsidR="00C41191" w:rsidRPr="00C41191" w:rsidRDefault="00C41191" w:rsidP="00C41191">
      <w:pPr>
        <w:numPr>
          <w:ilvl w:val="0"/>
          <w:numId w:val="2"/>
        </w:numPr>
      </w:pPr>
      <w:r w:rsidRPr="00C41191">
        <w:t xml:space="preserve">Desforges, C and </w:t>
      </w:r>
      <w:proofErr w:type="spellStart"/>
      <w:r w:rsidRPr="00C41191">
        <w:t>Abouchar</w:t>
      </w:r>
      <w:proofErr w:type="spellEnd"/>
      <w:r w:rsidRPr="00C41191">
        <w:t xml:space="preserve">, A (2003). </w:t>
      </w:r>
      <w:r w:rsidRPr="00C41191">
        <w:rPr>
          <w:i/>
          <w:iCs/>
        </w:rPr>
        <w:t xml:space="preserve">The Impact of Parental Involvement, Parental Support and Family Education on Pupil Achievements and Adjustment: A Literature Review. </w:t>
      </w:r>
      <w:r w:rsidRPr="00C41191">
        <w:t>London. Department for Education and Skills. RR 433.</w:t>
      </w:r>
    </w:p>
    <w:p w14:paraId="7D34788D" w14:textId="77777777" w:rsidR="00C41191" w:rsidRPr="00C41191" w:rsidRDefault="00C41191" w:rsidP="00C41191">
      <w:pPr>
        <w:numPr>
          <w:ilvl w:val="0"/>
          <w:numId w:val="2"/>
        </w:numPr>
      </w:pPr>
      <w:r w:rsidRPr="00C41191">
        <w:t xml:space="preserve">Education Endowment Foundation (2018). </w:t>
      </w:r>
      <w:r w:rsidRPr="00C41191">
        <w:rPr>
          <w:i/>
          <w:iCs/>
        </w:rPr>
        <w:t xml:space="preserve">Working with Parents to Support Children’s Learning. </w:t>
      </w:r>
      <w:r w:rsidRPr="00C41191">
        <w:t xml:space="preserve">Available at: </w:t>
      </w:r>
      <w:hyperlink r:id="rId8" w:history="1">
        <w:r w:rsidRPr="00C41191">
          <w:rPr>
            <w:rStyle w:val="Hyperlink"/>
          </w:rPr>
          <w:t>https://d2tic4wvo1iusb.cloudfront.net/production/eef-guidance-reports/supporting-parents/EEF_Parental_Engagement_Guidance_Report.pdf?v=1739628266</w:t>
        </w:r>
      </w:hyperlink>
      <w:r w:rsidRPr="00C41191">
        <w:t>. Accessed 15.02.25.</w:t>
      </w:r>
    </w:p>
    <w:p w14:paraId="6101B347" w14:textId="77777777" w:rsidR="00C41191" w:rsidRPr="00C41191" w:rsidRDefault="00C41191" w:rsidP="00C41191">
      <w:pPr>
        <w:numPr>
          <w:ilvl w:val="0"/>
          <w:numId w:val="2"/>
        </w:numPr>
      </w:pPr>
      <w:r w:rsidRPr="00C41191">
        <w:t xml:space="preserve">Epstein, J.L. (2018) </w:t>
      </w:r>
      <w:r w:rsidRPr="00C41191">
        <w:rPr>
          <w:i/>
          <w:iCs/>
        </w:rPr>
        <w:t xml:space="preserve">‘School, Family, and Community Partnerships in Teachers’ Professional Work’, Journal of education for teaching : JET, </w:t>
      </w:r>
      <w:r w:rsidRPr="00C41191">
        <w:t xml:space="preserve">44(3), pp. 397–406. Available at: </w:t>
      </w:r>
      <w:hyperlink r:id="rId9" w:history="1">
        <w:r w:rsidRPr="00C41191">
          <w:rPr>
            <w:rStyle w:val="Hyperlink"/>
          </w:rPr>
          <w:t>https://doi.org/10.1080/02607476.2018.1465669</w:t>
        </w:r>
      </w:hyperlink>
      <w:r w:rsidRPr="00C41191">
        <w:t>.</w:t>
      </w:r>
    </w:p>
    <w:p w14:paraId="1947A6F4" w14:textId="77777777" w:rsidR="00C41191" w:rsidRPr="00C41191" w:rsidRDefault="00C41191" w:rsidP="00C41191">
      <w:pPr>
        <w:numPr>
          <w:ilvl w:val="0"/>
          <w:numId w:val="2"/>
        </w:numPr>
      </w:pPr>
      <w:r w:rsidRPr="00C41191">
        <w:t xml:space="preserve">ESTYN (2024a), </w:t>
      </w:r>
      <w:r w:rsidRPr="00C41191">
        <w:rPr>
          <w:i/>
          <w:iCs/>
        </w:rPr>
        <w:t xml:space="preserve">A report on [School X]. </w:t>
      </w:r>
    </w:p>
    <w:p w14:paraId="6CDC914A" w14:textId="77777777" w:rsidR="00C41191" w:rsidRPr="00C41191" w:rsidRDefault="00C41191" w:rsidP="00C41191">
      <w:pPr>
        <w:numPr>
          <w:ilvl w:val="0"/>
          <w:numId w:val="2"/>
        </w:numPr>
      </w:pPr>
      <w:r w:rsidRPr="00C41191">
        <w:t>ESTYN (2024b) Effective Practice Report [School X]</w:t>
      </w:r>
    </w:p>
    <w:p w14:paraId="64BEBBFE" w14:textId="77777777" w:rsidR="00C41191" w:rsidRPr="00C41191" w:rsidRDefault="00C41191" w:rsidP="00C41191">
      <w:pPr>
        <w:numPr>
          <w:ilvl w:val="0"/>
          <w:numId w:val="2"/>
        </w:numPr>
      </w:pPr>
      <w:r w:rsidRPr="00C41191">
        <w:t xml:space="preserve">Goodall, J (2022). </w:t>
      </w:r>
      <w:r w:rsidRPr="00C41191">
        <w:rPr>
          <w:i/>
          <w:iCs/>
        </w:rPr>
        <w:t xml:space="preserve">A Framework for Family Engagement: Going Beyond the Epstein Framework. </w:t>
      </w:r>
      <w:r w:rsidRPr="00C41191">
        <w:t xml:space="preserve">Wales Journal of Education 24 (2) DOI: </w:t>
      </w:r>
      <w:hyperlink r:id="rId10" w:history="1">
        <w:r w:rsidRPr="00C41191">
          <w:rPr>
            <w:rStyle w:val="Hyperlink"/>
          </w:rPr>
          <w:t>https://doi.org/10.16922/wje.24.2.5.</w:t>
        </w:r>
      </w:hyperlink>
    </w:p>
    <w:p w14:paraId="043EDFB6" w14:textId="77777777" w:rsidR="00C41191" w:rsidRPr="00C41191" w:rsidRDefault="00C41191" w:rsidP="00C41191">
      <w:pPr>
        <w:numPr>
          <w:ilvl w:val="0"/>
          <w:numId w:val="2"/>
        </w:numPr>
      </w:pPr>
      <w:r w:rsidRPr="00C41191">
        <w:t xml:space="preserve">Goodall, J &amp; Montgomery, C, (2013). </w:t>
      </w:r>
      <w:r w:rsidRPr="00C41191">
        <w:rPr>
          <w:i/>
          <w:iCs/>
        </w:rPr>
        <w:t xml:space="preserve">Parental Involvement to a parental engagement: a continuum. </w:t>
      </w:r>
      <w:r w:rsidRPr="00C41191">
        <w:t>Education Review, 66 (4), pp. 399-410. DOI: 10.1080/00131911.2013.781576.</w:t>
      </w:r>
    </w:p>
    <w:p w14:paraId="7B18F3D3" w14:textId="77777777" w:rsidR="00C41191" w:rsidRPr="00C41191" w:rsidRDefault="00C41191" w:rsidP="00C41191">
      <w:pPr>
        <w:numPr>
          <w:ilvl w:val="0"/>
          <w:numId w:val="2"/>
        </w:numPr>
      </w:pPr>
      <w:r w:rsidRPr="00C41191">
        <w:lastRenderedPageBreak/>
        <w:t xml:space="preserve">Goodall, J &amp; </w:t>
      </w:r>
      <w:proofErr w:type="spellStart"/>
      <w:r w:rsidRPr="00C41191">
        <w:t>Vorhaus</w:t>
      </w:r>
      <w:proofErr w:type="spellEnd"/>
      <w:r w:rsidRPr="00C41191">
        <w:t xml:space="preserve">, J (2011). </w:t>
      </w:r>
      <w:r w:rsidRPr="00C41191">
        <w:rPr>
          <w:i/>
          <w:iCs/>
        </w:rPr>
        <w:t xml:space="preserve">Review of Best Practice in Parental Engagement. </w:t>
      </w:r>
      <w:r w:rsidRPr="00C41191">
        <w:t>Department for Education, 2011. Accessed: 15.02.25.</w:t>
      </w:r>
    </w:p>
    <w:p w14:paraId="074ED407" w14:textId="77777777" w:rsidR="00C41191" w:rsidRPr="00C41191" w:rsidRDefault="00C41191" w:rsidP="00C41191">
      <w:pPr>
        <w:numPr>
          <w:ilvl w:val="0"/>
          <w:numId w:val="2"/>
        </w:numPr>
      </w:pPr>
      <w:r w:rsidRPr="00C41191">
        <w:t xml:space="preserve">Office for National Statistics (2021).  </w:t>
      </w:r>
      <w:r w:rsidRPr="00C41191">
        <w:rPr>
          <w:i/>
          <w:iCs/>
        </w:rPr>
        <w:t xml:space="preserve">Census. </w:t>
      </w:r>
      <w:r w:rsidRPr="00C41191">
        <w:t xml:space="preserve">Available at: </w:t>
      </w:r>
      <w:hyperlink r:id="rId11" w:history="1">
        <w:r w:rsidRPr="00C41191">
          <w:rPr>
            <w:rStyle w:val="Hyperlink"/>
          </w:rPr>
          <w:t>https://www.ons.gov.uk/census. Accessed 15.02.25</w:t>
        </w:r>
      </w:hyperlink>
      <w:r w:rsidRPr="00C41191">
        <w:t>.</w:t>
      </w:r>
    </w:p>
    <w:p w14:paraId="7628B315" w14:textId="77777777" w:rsidR="00C41191" w:rsidRPr="00C41191" w:rsidRDefault="00C41191" w:rsidP="00C41191">
      <w:pPr>
        <w:numPr>
          <w:ilvl w:val="0"/>
          <w:numId w:val="2"/>
        </w:numPr>
      </w:pPr>
      <w:r w:rsidRPr="00C41191">
        <w:t>Placement School Website 2024</w:t>
      </w:r>
    </w:p>
    <w:p w14:paraId="126B22B8" w14:textId="77777777" w:rsidR="00C41191" w:rsidRPr="00C41191" w:rsidRDefault="00C41191" w:rsidP="00C41191">
      <w:pPr>
        <w:numPr>
          <w:ilvl w:val="0"/>
          <w:numId w:val="2"/>
        </w:numPr>
      </w:pPr>
      <w:r w:rsidRPr="00C41191">
        <w:t xml:space="preserve">Welsh Government, (2015). </w:t>
      </w:r>
      <w:r w:rsidRPr="00C41191">
        <w:rPr>
          <w:i/>
          <w:iCs/>
        </w:rPr>
        <w:t xml:space="preserve">Wellbeing of Future Generations (Wales) Act. </w:t>
      </w:r>
      <w:r w:rsidRPr="00C41191">
        <w:t xml:space="preserve">Cardiff: National Assembly for Wales. Available at: </w:t>
      </w:r>
      <w:hyperlink r:id="rId12" w:history="1">
        <w:r w:rsidRPr="00C41191">
          <w:rPr>
            <w:rStyle w:val="Hyperlink"/>
          </w:rPr>
          <w:t>https://www.legislation.gov.uk/anaw/2015/2/enacted</w:t>
        </w:r>
      </w:hyperlink>
      <w:r w:rsidRPr="00C41191">
        <w:t>. (Accessed: 15 February 2025)</w:t>
      </w:r>
    </w:p>
    <w:p w14:paraId="331FAA83" w14:textId="77777777" w:rsidR="00C41191" w:rsidRPr="00C41191" w:rsidRDefault="00C41191" w:rsidP="00C41191">
      <w:pPr>
        <w:numPr>
          <w:ilvl w:val="0"/>
          <w:numId w:val="2"/>
        </w:numPr>
      </w:pPr>
      <w:r w:rsidRPr="00C41191">
        <w:t xml:space="preserve">Welsh Government (2022a). </w:t>
      </w:r>
      <w:r w:rsidRPr="00C41191">
        <w:rPr>
          <w:i/>
          <w:iCs/>
        </w:rPr>
        <w:t xml:space="preserve">Community Focused Schools. </w:t>
      </w:r>
      <w:r w:rsidRPr="00C41191">
        <w:t xml:space="preserve">Available at </w:t>
      </w:r>
      <w:hyperlink r:id="rId13" w:history="1">
        <w:r w:rsidRPr="00C41191">
          <w:rPr>
            <w:rStyle w:val="Hyperlink"/>
          </w:rPr>
          <w:t>https://www.gov.wales/sites/default/files/pdf-versions/2024/2/4/1708614958/community-focused-schools.pdf</w:t>
        </w:r>
      </w:hyperlink>
      <w:r w:rsidRPr="00C41191">
        <w:t>. Accessed 15.02.25.</w:t>
      </w:r>
    </w:p>
    <w:p w14:paraId="60DD29DF" w14:textId="77777777" w:rsidR="00C41191" w:rsidRPr="00C41191" w:rsidRDefault="00C41191" w:rsidP="00C41191">
      <w:pPr>
        <w:numPr>
          <w:ilvl w:val="0"/>
          <w:numId w:val="2"/>
        </w:numPr>
      </w:pPr>
      <w:r w:rsidRPr="00C41191">
        <w:t xml:space="preserve">Welsh Government (2022b), </w:t>
      </w:r>
      <w:r w:rsidRPr="00C41191">
        <w:rPr>
          <w:i/>
          <w:iCs/>
        </w:rPr>
        <w:t xml:space="preserve">Introduction to Curriculum for Wales Guidance. </w:t>
      </w:r>
      <w:r w:rsidRPr="00C41191">
        <w:t xml:space="preserve">Available at: </w:t>
      </w:r>
      <w:hyperlink r:id="rId14" w:history="1">
        <w:r w:rsidRPr="00C41191">
          <w:rPr>
            <w:rStyle w:val="Hyperlink"/>
          </w:rPr>
          <w:t>https://hwb.gov.wales/curriculum-for-wales/introduction-to-curriculum-for-wales-guidance/#the-curriculum-for-wales-framework</w:t>
        </w:r>
      </w:hyperlink>
      <w:r w:rsidRPr="00C41191">
        <w:t xml:space="preserve"> . Accessed 15.02.25.</w:t>
      </w:r>
    </w:p>
    <w:p w14:paraId="721C332C" w14:textId="77777777" w:rsidR="00C41191" w:rsidRPr="00C41191" w:rsidRDefault="00C41191">
      <w:pPr>
        <w:rPr>
          <w:lang w:val="en-US"/>
        </w:rPr>
      </w:pPr>
    </w:p>
    <w:sectPr w:rsidR="00C41191" w:rsidRPr="00C41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91551"/>
    <w:multiLevelType w:val="hybridMultilevel"/>
    <w:tmpl w:val="CEC88A94"/>
    <w:lvl w:ilvl="0" w:tplc="DB168D86">
      <w:start w:val="1"/>
      <w:numFmt w:val="bullet"/>
      <w:lvlText w:val="•"/>
      <w:lvlJc w:val="left"/>
      <w:pPr>
        <w:tabs>
          <w:tab w:val="num" w:pos="720"/>
        </w:tabs>
        <w:ind w:left="720" w:hanging="360"/>
      </w:pPr>
      <w:rPr>
        <w:rFonts w:ascii="Arial" w:hAnsi="Arial" w:hint="default"/>
      </w:rPr>
    </w:lvl>
    <w:lvl w:ilvl="1" w:tplc="BFC0D892" w:tentative="1">
      <w:start w:val="1"/>
      <w:numFmt w:val="bullet"/>
      <w:lvlText w:val="•"/>
      <w:lvlJc w:val="left"/>
      <w:pPr>
        <w:tabs>
          <w:tab w:val="num" w:pos="1440"/>
        </w:tabs>
        <w:ind w:left="1440" w:hanging="360"/>
      </w:pPr>
      <w:rPr>
        <w:rFonts w:ascii="Arial" w:hAnsi="Arial" w:hint="default"/>
      </w:rPr>
    </w:lvl>
    <w:lvl w:ilvl="2" w:tplc="D3004CAA" w:tentative="1">
      <w:start w:val="1"/>
      <w:numFmt w:val="bullet"/>
      <w:lvlText w:val="•"/>
      <w:lvlJc w:val="left"/>
      <w:pPr>
        <w:tabs>
          <w:tab w:val="num" w:pos="2160"/>
        </w:tabs>
        <w:ind w:left="2160" w:hanging="360"/>
      </w:pPr>
      <w:rPr>
        <w:rFonts w:ascii="Arial" w:hAnsi="Arial" w:hint="default"/>
      </w:rPr>
    </w:lvl>
    <w:lvl w:ilvl="3" w:tplc="7A826AEA" w:tentative="1">
      <w:start w:val="1"/>
      <w:numFmt w:val="bullet"/>
      <w:lvlText w:val="•"/>
      <w:lvlJc w:val="left"/>
      <w:pPr>
        <w:tabs>
          <w:tab w:val="num" w:pos="2880"/>
        </w:tabs>
        <w:ind w:left="2880" w:hanging="360"/>
      </w:pPr>
      <w:rPr>
        <w:rFonts w:ascii="Arial" w:hAnsi="Arial" w:hint="default"/>
      </w:rPr>
    </w:lvl>
    <w:lvl w:ilvl="4" w:tplc="1506F1B0" w:tentative="1">
      <w:start w:val="1"/>
      <w:numFmt w:val="bullet"/>
      <w:lvlText w:val="•"/>
      <w:lvlJc w:val="left"/>
      <w:pPr>
        <w:tabs>
          <w:tab w:val="num" w:pos="3600"/>
        </w:tabs>
        <w:ind w:left="3600" w:hanging="360"/>
      </w:pPr>
      <w:rPr>
        <w:rFonts w:ascii="Arial" w:hAnsi="Arial" w:hint="default"/>
      </w:rPr>
    </w:lvl>
    <w:lvl w:ilvl="5" w:tplc="87B816CC" w:tentative="1">
      <w:start w:val="1"/>
      <w:numFmt w:val="bullet"/>
      <w:lvlText w:val="•"/>
      <w:lvlJc w:val="left"/>
      <w:pPr>
        <w:tabs>
          <w:tab w:val="num" w:pos="4320"/>
        </w:tabs>
        <w:ind w:left="4320" w:hanging="360"/>
      </w:pPr>
      <w:rPr>
        <w:rFonts w:ascii="Arial" w:hAnsi="Arial" w:hint="default"/>
      </w:rPr>
    </w:lvl>
    <w:lvl w:ilvl="6" w:tplc="DFBE3446" w:tentative="1">
      <w:start w:val="1"/>
      <w:numFmt w:val="bullet"/>
      <w:lvlText w:val="•"/>
      <w:lvlJc w:val="left"/>
      <w:pPr>
        <w:tabs>
          <w:tab w:val="num" w:pos="5040"/>
        </w:tabs>
        <w:ind w:left="5040" w:hanging="360"/>
      </w:pPr>
      <w:rPr>
        <w:rFonts w:ascii="Arial" w:hAnsi="Arial" w:hint="default"/>
      </w:rPr>
    </w:lvl>
    <w:lvl w:ilvl="7" w:tplc="D1A09FA8" w:tentative="1">
      <w:start w:val="1"/>
      <w:numFmt w:val="bullet"/>
      <w:lvlText w:val="•"/>
      <w:lvlJc w:val="left"/>
      <w:pPr>
        <w:tabs>
          <w:tab w:val="num" w:pos="5760"/>
        </w:tabs>
        <w:ind w:left="5760" w:hanging="360"/>
      </w:pPr>
      <w:rPr>
        <w:rFonts w:ascii="Arial" w:hAnsi="Arial" w:hint="default"/>
      </w:rPr>
    </w:lvl>
    <w:lvl w:ilvl="8" w:tplc="93A4A6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606371"/>
    <w:multiLevelType w:val="hybridMultilevel"/>
    <w:tmpl w:val="5568E0D6"/>
    <w:lvl w:ilvl="0" w:tplc="188AAC40">
      <w:start w:val="1"/>
      <w:numFmt w:val="bullet"/>
      <w:lvlText w:val="•"/>
      <w:lvlJc w:val="left"/>
      <w:pPr>
        <w:tabs>
          <w:tab w:val="num" w:pos="720"/>
        </w:tabs>
        <w:ind w:left="720" w:hanging="360"/>
      </w:pPr>
      <w:rPr>
        <w:rFonts w:ascii="Arial" w:hAnsi="Arial" w:hint="default"/>
      </w:rPr>
    </w:lvl>
    <w:lvl w:ilvl="1" w:tplc="B46AE914" w:tentative="1">
      <w:start w:val="1"/>
      <w:numFmt w:val="bullet"/>
      <w:lvlText w:val="•"/>
      <w:lvlJc w:val="left"/>
      <w:pPr>
        <w:tabs>
          <w:tab w:val="num" w:pos="1440"/>
        </w:tabs>
        <w:ind w:left="1440" w:hanging="360"/>
      </w:pPr>
      <w:rPr>
        <w:rFonts w:ascii="Arial" w:hAnsi="Arial" w:hint="default"/>
      </w:rPr>
    </w:lvl>
    <w:lvl w:ilvl="2" w:tplc="3ADED764" w:tentative="1">
      <w:start w:val="1"/>
      <w:numFmt w:val="bullet"/>
      <w:lvlText w:val="•"/>
      <w:lvlJc w:val="left"/>
      <w:pPr>
        <w:tabs>
          <w:tab w:val="num" w:pos="2160"/>
        </w:tabs>
        <w:ind w:left="2160" w:hanging="360"/>
      </w:pPr>
      <w:rPr>
        <w:rFonts w:ascii="Arial" w:hAnsi="Arial" w:hint="default"/>
      </w:rPr>
    </w:lvl>
    <w:lvl w:ilvl="3" w:tplc="B246B870" w:tentative="1">
      <w:start w:val="1"/>
      <w:numFmt w:val="bullet"/>
      <w:lvlText w:val="•"/>
      <w:lvlJc w:val="left"/>
      <w:pPr>
        <w:tabs>
          <w:tab w:val="num" w:pos="2880"/>
        </w:tabs>
        <w:ind w:left="2880" w:hanging="360"/>
      </w:pPr>
      <w:rPr>
        <w:rFonts w:ascii="Arial" w:hAnsi="Arial" w:hint="default"/>
      </w:rPr>
    </w:lvl>
    <w:lvl w:ilvl="4" w:tplc="27067756" w:tentative="1">
      <w:start w:val="1"/>
      <w:numFmt w:val="bullet"/>
      <w:lvlText w:val="•"/>
      <w:lvlJc w:val="left"/>
      <w:pPr>
        <w:tabs>
          <w:tab w:val="num" w:pos="3600"/>
        </w:tabs>
        <w:ind w:left="3600" w:hanging="360"/>
      </w:pPr>
      <w:rPr>
        <w:rFonts w:ascii="Arial" w:hAnsi="Arial" w:hint="default"/>
      </w:rPr>
    </w:lvl>
    <w:lvl w:ilvl="5" w:tplc="88E2CF56" w:tentative="1">
      <w:start w:val="1"/>
      <w:numFmt w:val="bullet"/>
      <w:lvlText w:val="•"/>
      <w:lvlJc w:val="left"/>
      <w:pPr>
        <w:tabs>
          <w:tab w:val="num" w:pos="4320"/>
        </w:tabs>
        <w:ind w:left="4320" w:hanging="360"/>
      </w:pPr>
      <w:rPr>
        <w:rFonts w:ascii="Arial" w:hAnsi="Arial" w:hint="default"/>
      </w:rPr>
    </w:lvl>
    <w:lvl w:ilvl="6" w:tplc="B002C3BC" w:tentative="1">
      <w:start w:val="1"/>
      <w:numFmt w:val="bullet"/>
      <w:lvlText w:val="•"/>
      <w:lvlJc w:val="left"/>
      <w:pPr>
        <w:tabs>
          <w:tab w:val="num" w:pos="5040"/>
        </w:tabs>
        <w:ind w:left="5040" w:hanging="360"/>
      </w:pPr>
      <w:rPr>
        <w:rFonts w:ascii="Arial" w:hAnsi="Arial" w:hint="default"/>
      </w:rPr>
    </w:lvl>
    <w:lvl w:ilvl="7" w:tplc="7E1800FC" w:tentative="1">
      <w:start w:val="1"/>
      <w:numFmt w:val="bullet"/>
      <w:lvlText w:val="•"/>
      <w:lvlJc w:val="left"/>
      <w:pPr>
        <w:tabs>
          <w:tab w:val="num" w:pos="5760"/>
        </w:tabs>
        <w:ind w:left="5760" w:hanging="360"/>
      </w:pPr>
      <w:rPr>
        <w:rFonts w:ascii="Arial" w:hAnsi="Arial" w:hint="default"/>
      </w:rPr>
    </w:lvl>
    <w:lvl w:ilvl="8" w:tplc="3CFC212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191"/>
    <w:rsid w:val="003C66AD"/>
    <w:rsid w:val="006C04E8"/>
    <w:rsid w:val="00A1479A"/>
    <w:rsid w:val="00B851F0"/>
    <w:rsid w:val="00C41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FA75"/>
  <w15:chartTrackingRefBased/>
  <w15:docId w15:val="{F5C82126-80C0-4EA5-A08B-BC2DD98FA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191"/>
    <w:rPr>
      <w:color w:val="0000FF"/>
      <w:u w:val="single"/>
    </w:rPr>
  </w:style>
  <w:style w:type="character" w:styleId="UnresolvedMention">
    <w:name w:val="Unresolved Mention"/>
    <w:basedOn w:val="DefaultParagraphFont"/>
    <w:uiPriority w:val="99"/>
    <w:semiHidden/>
    <w:unhideWhenUsed/>
    <w:rsid w:val="00C41191"/>
    <w:rPr>
      <w:color w:val="605E5C"/>
      <w:shd w:val="clear" w:color="auto" w:fill="E1DFDD"/>
    </w:rPr>
  </w:style>
  <w:style w:type="character" w:styleId="FollowedHyperlink">
    <w:name w:val="FollowedHyperlink"/>
    <w:basedOn w:val="DefaultParagraphFont"/>
    <w:uiPriority w:val="99"/>
    <w:semiHidden/>
    <w:unhideWhenUsed/>
    <w:rsid w:val="00B85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65929">
      <w:bodyDiv w:val="1"/>
      <w:marLeft w:val="0"/>
      <w:marRight w:val="0"/>
      <w:marTop w:val="0"/>
      <w:marBottom w:val="0"/>
      <w:divBdr>
        <w:top w:val="none" w:sz="0" w:space="0" w:color="auto"/>
        <w:left w:val="none" w:sz="0" w:space="0" w:color="auto"/>
        <w:bottom w:val="none" w:sz="0" w:space="0" w:color="auto"/>
        <w:right w:val="none" w:sz="0" w:space="0" w:color="auto"/>
      </w:divBdr>
      <w:divsChild>
        <w:div w:id="2015186195">
          <w:marLeft w:val="360"/>
          <w:marRight w:val="0"/>
          <w:marTop w:val="200"/>
          <w:marBottom w:val="0"/>
          <w:divBdr>
            <w:top w:val="none" w:sz="0" w:space="0" w:color="auto"/>
            <w:left w:val="none" w:sz="0" w:space="0" w:color="auto"/>
            <w:bottom w:val="none" w:sz="0" w:space="0" w:color="auto"/>
            <w:right w:val="none" w:sz="0" w:space="0" w:color="auto"/>
          </w:divBdr>
        </w:div>
        <w:div w:id="1078602593">
          <w:marLeft w:val="360"/>
          <w:marRight w:val="0"/>
          <w:marTop w:val="200"/>
          <w:marBottom w:val="0"/>
          <w:divBdr>
            <w:top w:val="none" w:sz="0" w:space="0" w:color="auto"/>
            <w:left w:val="none" w:sz="0" w:space="0" w:color="auto"/>
            <w:bottom w:val="none" w:sz="0" w:space="0" w:color="auto"/>
            <w:right w:val="none" w:sz="0" w:space="0" w:color="auto"/>
          </w:divBdr>
        </w:div>
        <w:div w:id="696582751">
          <w:marLeft w:val="360"/>
          <w:marRight w:val="0"/>
          <w:marTop w:val="200"/>
          <w:marBottom w:val="0"/>
          <w:divBdr>
            <w:top w:val="none" w:sz="0" w:space="0" w:color="auto"/>
            <w:left w:val="none" w:sz="0" w:space="0" w:color="auto"/>
            <w:bottom w:val="none" w:sz="0" w:space="0" w:color="auto"/>
            <w:right w:val="none" w:sz="0" w:space="0" w:color="auto"/>
          </w:divBdr>
        </w:div>
        <w:div w:id="376929101">
          <w:marLeft w:val="360"/>
          <w:marRight w:val="0"/>
          <w:marTop w:val="200"/>
          <w:marBottom w:val="0"/>
          <w:divBdr>
            <w:top w:val="none" w:sz="0" w:space="0" w:color="auto"/>
            <w:left w:val="none" w:sz="0" w:space="0" w:color="auto"/>
            <w:bottom w:val="none" w:sz="0" w:space="0" w:color="auto"/>
            <w:right w:val="none" w:sz="0" w:space="0" w:color="auto"/>
          </w:divBdr>
        </w:div>
        <w:div w:id="1680616045">
          <w:marLeft w:val="360"/>
          <w:marRight w:val="0"/>
          <w:marTop w:val="200"/>
          <w:marBottom w:val="0"/>
          <w:divBdr>
            <w:top w:val="none" w:sz="0" w:space="0" w:color="auto"/>
            <w:left w:val="none" w:sz="0" w:space="0" w:color="auto"/>
            <w:bottom w:val="none" w:sz="0" w:space="0" w:color="auto"/>
            <w:right w:val="none" w:sz="0" w:space="0" w:color="auto"/>
          </w:divBdr>
        </w:div>
        <w:div w:id="1447577821">
          <w:marLeft w:val="360"/>
          <w:marRight w:val="0"/>
          <w:marTop w:val="200"/>
          <w:marBottom w:val="0"/>
          <w:divBdr>
            <w:top w:val="none" w:sz="0" w:space="0" w:color="auto"/>
            <w:left w:val="none" w:sz="0" w:space="0" w:color="auto"/>
            <w:bottom w:val="none" w:sz="0" w:space="0" w:color="auto"/>
            <w:right w:val="none" w:sz="0" w:space="0" w:color="auto"/>
          </w:divBdr>
        </w:div>
        <w:div w:id="39400689">
          <w:marLeft w:val="360"/>
          <w:marRight w:val="0"/>
          <w:marTop w:val="200"/>
          <w:marBottom w:val="0"/>
          <w:divBdr>
            <w:top w:val="none" w:sz="0" w:space="0" w:color="auto"/>
            <w:left w:val="none" w:sz="0" w:space="0" w:color="auto"/>
            <w:bottom w:val="none" w:sz="0" w:space="0" w:color="auto"/>
            <w:right w:val="none" w:sz="0" w:space="0" w:color="auto"/>
          </w:divBdr>
        </w:div>
        <w:div w:id="2096628362">
          <w:marLeft w:val="360"/>
          <w:marRight w:val="0"/>
          <w:marTop w:val="200"/>
          <w:marBottom w:val="0"/>
          <w:divBdr>
            <w:top w:val="none" w:sz="0" w:space="0" w:color="auto"/>
            <w:left w:val="none" w:sz="0" w:space="0" w:color="auto"/>
            <w:bottom w:val="none" w:sz="0" w:space="0" w:color="auto"/>
            <w:right w:val="none" w:sz="0" w:space="0" w:color="auto"/>
          </w:divBdr>
        </w:div>
        <w:div w:id="761032820">
          <w:marLeft w:val="360"/>
          <w:marRight w:val="0"/>
          <w:marTop w:val="200"/>
          <w:marBottom w:val="0"/>
          <w:divBdr>
            <w:top w:val="none" w:sz="0" w:space="0" w:color="auto"/>
            <w:left w:val="none" w:sz="0" w:space="0" w:color="auto"/>
            <w:bottom w:val="none" w:sz="0" w:space="0" w:color="auto"/>
            <w:right w:val="none" w:sz="0" w:space="0" w:color="auto"/>
          </w:divBdr>
        </w:div>
        <w:div w:id="557790663">
          <w:marLeft w:val="360"/>
          <w:marRight w:val="0"/>
          <w:marTop w:val="200"/>
          <w:marBottom w:val="0"/>
          <w:divBdr>
            <w:top w:val="none" w:sz="0" w:space="0" w:color="auto"/>
            <w:left w:val="none" w:sz="0" w:space="0" w:color="auto"/>
            <w:bottom w:val="none" w:sz="0" w:space="0" w:color="auto"/>
            <w:right w:val="none" w:sz="0" w:space="0" w:color="auto"/>
          </w:divBdr>
        </w:div>
        <w:div w:id="588082956">
          <w:marLeft w:val="360"/>
          <w:marRight w:val="0"/>
          <w:marTop w:val="200"/>
          <w:marBottom w:val="0"/>
          <w:divBdr>
            <w:top w:val="none" w:sz="0" w:space="0" w:color="auto"/>
            <w:left w:val="none" w:sz="0" w:space="0" w:color="auto"/>
            <w:bottom w:val="none" w:sz="0" w:space="0" w:color="auto"/>
            <w:right w:val="none" w:sz="0" w:space="0" w:color="auto"/>
          </w:divBdr>
        </w:div>
        <w:div w:id="394166092">
          <w:marLeft w:val="360"/>
          <w:marRight w:val="0"/>
          <w:marTop w:val="200"/>
          <w:marBottom w:val="0"/>
          <w:divBdr>
            <w:top w:val="none" w:sz="0" w:space="0" w:color="auto"/>
            <w:left w:val="none" w:sz="0" w:space="0" w:color="auto"/>
            <w:bottom w:val="none" w:sz="0" w:space="0" w:color="auto"/>
            <w:right w:val="none" w:sz="0" w:space="0" w:color="auto"/>
          </w:divBdr>
        </w:div>
        <w:div w:id="276791139">
          <w:marLeft w:val="360"/>
          <w:marRight w:val="0"/>
          <w:marTop w:val="200"/>
          <w:marBottom w:val="0"/>
          <w:divBdr>
            <w:top w:val="none" w:sz="0" w:space="0" w:color="auto"/>
            <w:left w:val="none" w:sz="0" w:space="0" w:color="auto"/>
            <w:bottom w:val="none" w:sz="0" w:space="0" w:color="auto"/>
            <w:right w:val="none" w:sz="0" w:space="0" w:color="auto"/>
          </w:divBdr>
        </w:div>
        <w:div w:id="348025147">
          <w:marLeft w:val="360"/>
          <w:marRight w:val="0"/>
          <w:marTop w:val="200"/>
          <w:marBottom w:val="0"/>
          <w:divBdr>
            <w:top w:val="none" w:sz="0" w:space="0" w:color="auto"/>
            <w:left w:val="none" w:sz="0" w:space="0" w:color="auto"/>
            <w:bottom w:val="none" w:sz="0" w:space="0" w:color="auto"/>
            <w:right w:val="none" w:sz="0" w:space="0" w:color="auto"/>
          </w:divBdr>
        </w:div>
      </w:divsChild>
    </w:div>
    <w:div w:id="1749420497">
      <w:bodyDiv w:val="1"/>
      <w:marLeft w:val="0"/>
      <w:marRight w:val="0"/>
      <w:marTop w:val="0"/>
      <w:marBottom w:val="0"/>
      <w:divBdr>
        <w:top w:val="none" w:sz="0" w:space="0" w:color="auto"/>
        <w:left w:val="none" w:sz="0" w:space="0" w:color="auto"/>
        <w:bottom w:val="none" w:sz="0" w:space="0" w:color="auto"/>
        <w:right w:val="none" w:sz="0" w:space="0" w:color="auto"/>
      </w:divBdr>
    </w:div>
    <w:div w:id="1816022224">
      <w:bodyDiv w:val="1"/>
      <w:marLeft w:val="0"/>
      <w:marRight w:val="0"/>
      <w:marTop w:val="0"/>
      <w:marBottom w:val="0"/>
      <w:divBdr>
        <w:top w:val="none" w:sz="0" w:space="0" w:color="auto"/>
        <w:left w:val="none" w:sz="0" w:space="0" w:color="auto"/>
        <w:bottom w:val="none" w:sz="0" w:space="0" w:color="auto"/>
        <w:right w:val="none" w:sz="0" w:space="0" w:color="auto"/>
      </w:divBdr>
    </w:div>
    <w:div w:id="1858033066">
      <w:bodyDiv w:val="1"/>
      <w:marLeft w:val="0"/>
      <w:marRight w:val="0"/>
      <w:marTop w:val="0"/>
      <w:marBottom w:val="0"/>
      <w:divBdr>
        <w:top w:val="none" w:sz="0" w:space="0" w:color="auto"/>
        <w:left w:val="none" w:sz="0" w:space="0" w:color="auto"/>
        <w:bottom w:val="none" w:sz="0" w:space="0" w:color="auto"/>
        <w:right w:val="none" w:sz="0" w:space="0" w:color="auto"/>
      </w:divBdr>
      <w:divsChild>
        <w:div w:id="14060280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production/eef-guidance-reports/supporting-parents/EEF_Parental_Engagement_Guidance_Report.pdf?v=1739628266" TargetMode="External"/><Relationship Id="rId13" Type="http://schemas.openxmlformats.org/officeDocument/2006/relationships/hyperlink" Target="https://www.gov.wales/sites/default/files/pdf-versions/2024/2/4/1708614958/community-focused-schools.pdf" TargetMode="External"/><Relationship Id="rId3" Type="http://schemas.openxmlformats.org/officeDocument/2006/relationships/settings" Target="settings.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www.legislation.gov.uk/anaw/2015/2/enact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oe.com/" TargetMode="External"/><Relationship Id="rId11" Type="http://schemas.openxmlformats.org/officeDocument/2006/relationships/hyperlink" Target="https://www.ons.gov.uk/census.%20Accessed%2015.02.25" TargetMode="External"/><Relationship Id="rId5" Type="http://schemas.openxmlformats.org/officeDocument/2006/relationships/hyperlink" Target="https://uowtsd-my.sharepoint.com/:v:/g/personal/2000637_student_uwtsd_ac_uk/EYeGCN2zgSRMq4g1SqNjavUB_HnvV602ofKFTvgm855bHg?e=EQKuxM" TargetMode="External"/><Relationship Id="rId15" Type="http://schemas.openxmlformats.org/officeDocument/2006/relationships/fontTable" Target="fontTable.xml"/><Relationship Id="rId10" Type="http://schemas.openxmlformats.org/officeDocument/2006/relationships/hyperlink" Target="https://doi.org/10.16922/wje.24.2.5./" TargetMode="External"/><Relationship Id="rId4" Type="http://schemas.openxmlformats.org/officeDocument/2006/relationships/webSettings" Target="webSettings.xml"/><Relationship Id="rId9" Type="http://schemas.openxmlformats.org/officeDocument/2006/relationships/hyperlink" Target="https://doi.org/10.1080/02607476.2018.1465669" TargetMode="External"/><Relationship Id="rId14" Type="http://schemas.openxmlformats.org/officeDocument/2006/relationships/hyperlink" Target="https://hwb.gov.wales/curriculum-for-wales/introduction-to-curriculum-for-wales-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Mills (2000637)</dc:creator>
  <cp:keywords/>
  <dc:description/>
  <cp:lastModifiedBy>Leonie Mills (2000637)</cp:lastModifiedBy>
  <cp:revision>3</cp:revision>
  <dcterms:created xsi:type="dcterms:W3CDTF">2025-02-20T17:00:00Z</dcterms:created>
  <dcterms:modified xsi:type="dcterms:W3CDTF">2025-02-26T20:07:00Z</dcterms:modified>
</cp:coreProperties>
</file>