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0ADBE" w14:textId="62F96062" w:rsidR="00726A92" w:rsidRDefault="009C1A92" w:rsidP="009C1A92">
      <w:pPr>
        <w:jc w:val="center"/>
        <w:rPr>
          <w:b/>
          <w:bCs/>
          <w:i/>
          <w:iCs/>
          <w:sz w:val="32"/>
          <w:szCs w:val="32"/>
        </w:rPr>
      </w:pPr>
      <w:r w:rsidRPr="009C1A92">
        <w:rPr>
          <w:b/>
          <w:bCs/>
          <w:i/>
          <w:iCs/>
          <w:sz w:val="32"/>
          <w:szCs w:val="32"/>
        </w:rPr>
        <w:t>Spot the Transition</w:t>
      </w:r>
    </w:p>
    <w:p w14:paraId="4B3235C1" w14:textId="77777777" w:rsidR="009C1A92" w:rsidRPr="009C1A92" w:rsidRDefault="009C1A92" w:rsidP="009C1A92">
      <w:r w:rsidRPr="009C1A92">
        <w:t>Wellbeing is increasingly recognised as a key factor in student success across higher education. Emotional health, social connection, and access to support services all contribute to students’ ability to engage with their studies and persist through challenges. In particular, emotional wellbeing has been shown to directly influence academic performance. Thorley (2017) found that students experiencing high levels of stress were more likely to disengage from learning activities and underperform in assessments.</w:t>
      </w:r>
    </w:p>
    <w:p w14:paraId="6044F737" w14:textId="77777777" w:rsidR="009C1A92" w:rsidRPr="009C1A92" w:rsidRDefault="009C1A92" w:rsidP="009C1A92">
      <w:r w:rsidRPr="009C1A92">
        <w:t>Building on this</w:t>
      </w:r>
      <w:r w:rsidRPr="009C1A92">
        <w:rPr>
          <w:b/>
          <w:bCs/>
        </w:rPr>
        <w:t>,</w:t>
      </w:r>
      <w:r w:rsidRPr="009C1A92">
        <w:t xml:space="preserve"> wellbeing also plays a crucial role in student retention. </w:t>
      </w:r>
      <w:proofErr w:type="spellStart"/>
      <w:r w:rsidRPr="009C1A92">
        <w:t>MacIntyre</w:t>
      </w:r>
      <w:proofErr w:type="spellEnd"/>
      <w:r w:rsidRPr="009C1A92">
        <w:t xml:space="preserve"> et al. (2022) argue that students who feel psychologically safe and supported are more likely to complete their degrees. This suggests that wellbeing initiatives are not only beneficial for individual students, but also for institutional outcomes</w:t>
      </w:r>
      <w:r w:rsidRPr="009C1A92">
        <w:rPr>
          <w:b/>
          <w:bCs/>
        </w:rPr>
        <w:t>.</w:t>
      </w:r>
      <w:r w:rsidRPr="009C1A92">
        <w:t xml:space="preserve"> Programmes such as peer mentoring, inclusive teaching practices, and accessible counselling services have all been linked to improved retention rates.</w:t>
      </w:r>
    </w:p>
    <w:p w14:paraId="50CCEB78" w14:textId="77777777" w:rsidR="009C1A92" w:rsidRPr="009C1A92" w:rsidRDefault="009C1A92" w:rsidP="009C1A92">
      <w:r w:rsidRPr="009C1A92">
        <w:t>Beyond academic success and retention, wellbeing contributes to the development of transferable skills that enhance employability. The Office for Students (2021) notes that students with strong wellbeing are more likely to demonstrate confidence, adaptability, and effective communication. As a result</w:t>
      </w:r>
      <w:r w:rsidRPr="009C1A92">
        <w:rPr>
          <w:b/>
          <w:bCs/>
        </w:rPr>
        <w:t>,</w:t>
      </w:r>
      <w:r w:rsidRPr="009C1A92">
        <w:t xml:space="preserve"> universities that embed wellbeing into their curriculum and campus culture are better positioned to prepare graduates for the demands of the modern workforce.</w:t>
      </w:r>
    </w:p>
    <w:p w14:paraId="21E2D18A" w14:textId="77777777" w:rsidR="009C1A92" w:rsidRDefault="009C1A92" w:rsidP="009C1A92">
      <w:pPr>
        <w:rPr>
          <w:b/>
          <w:bCs/>
          <w:sz w:val="32"/>
          <w:szCs w:val="32"/>
        </w:rPr>
      </w:pPr>
    </w:p>
    <w:p w14:paraId="6DE190BB" w14:textId="77777777" w:rsidR="009C1A92" w:rsidRDefault="009C1A92" w:rsidP="009C1A92">
      <w:pPr>
        <w:rPr>
          <w:b/>
          <w:bCs/>
          <w:sz w:val="32"/>
          <w:szCs w:val="32"/>
        </w:rPr>
      </w:pPr>
    </w:p>
    <w:p w14:paraId="4C1C5BE9" w14:textId="77777777" w:rsidR="009C1A92" w:rsidRDefault="009C1A92" w:rsidP="009C1A92">
      <w:pPr>
        <w:rPr>
          <w:b/>
          <w:bCs/>
          <w:sz w:val="32"/>
          <w:szCs w:val="32"/>
        </w:rPr>
      </w:pPr>
    </w:p>
    <w:p w14:paraId="2AFB228D" w14:textId="77777777" w:rsidR="009C1A92" w:rsidRDefault="009C1A92" w:rsidP="009C1A92">
      <w:pPr>
        <w:rPr>
          <w:b/>
          <w:bCs/>
          <w:sz w:val="32"/>
          <w:szCs w:val="32"/>
        </w:rPr>
      </w:pPr>
    </w:p>
    <w:p w14:paraId="06DA1986" w14:textId="77777777" w:rsidR="009C1A92" w:rsidRDefault="009C1A92" w:rsidP="009C1A92">
      <w:pPr>
        <w:rPr>
          <w:b/>
          <w:bCs/>
          <w:sz w:val="32"/>
          <w:szCs w:val="32"/>
        </w:rPr>
      </w:pPr>
    </w:p>
    <w:p w14:paraId="5F83A308" w14:textId="77777777" w:rsidR="009C1A92" w:rsidRDefault="009C1A92" w:rsidP="009C1A92">
      <w:pPr>
        <w:rPr>
          <w:b/>
          <w:bCs/>
          <w:sz w:val="32"/>
          <w:szCs w:val="32"/>
        </w:rPr>
      </w:pPr>
    </w:p>
    <w:p w14:paraId="50A3BDB6" w14:textId="77777777" w:rsidR="009C1A92" w:rsidRDefault="009C1A92" w:rsidP="009C1A92">
      <w:pPr>
        <w:rPr>
          <w:b/>
          <w:bCs/>
          <w:sz w:val="32"/>
          <w:szCs w:val="32"/>
        </w:rPr>
      </w:pPr>
    </w:p>
    <w:p w14:paraId="25BBD68E" w14:textId="77777777" w:rsidR="009C1A92" w:rsidRDefault="009C1A92" w:rsidP="009C1A92">
      <w:pPr>
        <w:rPr>
          <w:b/>
          <w:bCs/>
          <w:sz w:val="32"/>
          <w:szCs w:val="32"/>
        </w:rPr>
      </w:pPr>
    </w:p>
    <w:p w14:paraId="7ACBD957" w14:textId="77777777" w:rsidR="009C1A92" w:rsidRDefault="009C1A92" w:rsidP="009C1A92">
      <w:pPr>
        <w:rPr>
          <w:b/>
          <w:bCs/>
          <w:sz w:val="32"/>
          <w:szCs w:val="32"/>
        </w:rPr>
      </w:pPr>
    </w:p>
    <w:p w14:paraId="21BDB700" w14:textId="77777777" w:rsidR="009C1A92" w:rsidRDefault="009C1A92" w:rsidP="009C1A92">
      <w:pPr>
        <w:rPr>
          <w:b/>
          <w:bCs/>
          <w:sz w:val="32"/>
          <w:szCs w:val="32"/>
        </w:rPr>
      </w:pPr>
    </w:p>
    <w:p w14:paraId="6EE9F9AE" w14:textId="4675EBC3" w:rsidR="009C1A92" w:rsidRPr="009C1A92" w:rsidRDefault="009C1A92" w:rsidP="009C1A92">
      <w:pPr>
        <w:rPr>
          <w:b/>
          <w:bCs/>
          <w:sz w:val="32"/>
          <w:szCs w:val="32"/>
        </w:rPr>
      </w:pPr>
      <w:r w:rsidRPr="009C1A92">
        <w:rPr>
          <w:b/>
          <w:bCs/>
          <w:sz w:val="32"/>
          <w:szCs w:val="32"/>
        </w:rPr>
        <w:lastRenderedPageBreak/>
        <w:t>Transitional Sentences to Identify</w:t>
      </w:r>
    </w:p>
    <w:p w14:paraId="211C8904" w14:textId="77777777" w:rsidR="009C1A92" w:rsidRPr="009C1A92" w:rsidRDefault="009C1A92" w:rsidP="009C1A92">
      <w:pPr>
        <w:numPr>
          <w:ilvl w:val="0"/>
          <w:numId w:val="1"/>
        </w:numPr>
        <w:rPr>
          <w:sz w:val="32"/>
          <w:szCs w:val="32"/>
        </w:rPr>
      </w:pPr>
      <w:r w:rsidRPr="009C1A92">
        <w:rPr>
          <w:sz w:val="32"/>
          <w:szCs w:val="32"/>
        </w:rPr>
        <w:t>“In particular, emotional wellbeing…”</w:t>
      </w:r>
    </w:p>
    <w:p w14:paraId="5EC11B38" w14:textId="77777777" w:rsidR="009C1A92" w:rsidRPr="009C1A92" w:rsidRDefault="009C1A92" w:rsidP="009C1A92">
      <w:pPr>
        <w:numPr>
          <w:ilvl w:val="0"/>
          <w:numId w:val="1"/>
        </w:numPr>
        <w:rPr>
          <w:sz w:val="32"/>
          <w:szCs w:val="32"/>
        </w:rPr>
      </w:pPr>
      <w:r w:rsidRPr="009C1A92">
        <w:rPr>
          <w:sz w:val="32"/>
          <w:szCs w:val="32"/>
        </w:rPr>
        <w:t>“Building on this…”</w:t>
      </w:r>
    </w:p>
    <w:p w14:paraId="313E1919" w14:textId="77777777" w:rsidR="009C1A92" w:rsidRPr="009C1A92" w:rsidRDefault="009C1A92" w:rsidP="009C1A92">
      <w:pPr>
        <w:numPr>
          <w:ilvl w:val="0"/>
          <w:numId w:val="1"/>
        </w:numPr>
        <w:rPr>
          <w:sz w:val="32"/>
          <w:szCs w:val="32"/>
        </w:rPr>
      </w:pPr>
      <w:r w:rsidRPr="009C1A92">
        <w:rPr>
          <w:sz w:val="32"/>
          <w:szCs w:val="32"/>
        </w:rPr>
        <w:t>“This suggests that…”</w:t>
      </w:r>
    </w:p>
    <w:p w14:paraId="3655A12F" w14:textId="77777777" w:rsidR="009C1A92" w:rsidRPr="009C1A92" w:rsidRDefault="009C1A92" w:rsidP="009C1A92">
      <w:pPr>
        <w:numPr>
          <w:ilvl w:val="0"/>
          <w:numId w:val="1"/>
        </w:numPr>
        <w:rPr>
          <w:sz w:val="32"/>
          <w:szCs w:val="32"/>
        </w:rPr>
      </w:pPr>
      <w:r w:rsidRPr="009C1A92">
        <w:rPr>
          <w:sz w:val="32"/>
          <w:szCs w:val="32"/>
        </w:rPr>
        <w:t>“Beyond academic success and retention…”</w:t>
      </w:r>
    </w:p>
    <w:p w14:paraId="0E155E65" w14:textId="77777777" w:rsidR="009C1A92" w:rsidRPr="009C1A92" w:rsidRDefault="009C1A92" w:rsidP="009C1A92">
      <w:pPr>
        <w:numPr>
          <w:ilvl w:val="0"/>
          <w:numId w:val="1"/>
        </w:numPr>
        <w:rPr>
          <w:sz w:val="32"/>
          <w:szCs w:val="32"/>
        </w:rPr>
      </w:pPr>
      <w:r w:rsidRPr="009C1A92">
        <w:rPr>
          <w:sz w:val="32"/>
          <w:szCs w:val="32"/>
        </w:rPr>
        <w:t>“As a result…”</w:t>
      </w:r>
    </w:p>
    <w:p w14:paraId="7ECFE6CF" w14:textId="77777777" w:rsidR="009C1A92" w:rsidRPr="009C1A92" w:rsidRDefault="009C1A92" w:rsidP="009C1A92">
      <w:pPr>
        <w:rPr>
          <w:sz w:val="32"/>
          <w:szCs w:val="32"/>
        </w:rPr>
      </w:pPr>
    </w:p>
    <w:sectPr w:rsidR="009C1A92" w:rsidRPr="009C1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521081"/>
    <w:multiLevelType w:val="multilevel"/>
    <w:tmpl w:val="A900F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5415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A92"/>
    <w:rsid w:val="0003583A"/>
    <w:rsid w:val="004E3B76"/>
    <w:rsid w:val="00591828"/>
    <w:rsid w:val="00726A92"/>
    <w:rsid w:val="00995682"/>
    <w:rsid w:val="009C1A92"/>
    <w:rsid w:val="00BC259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8FFBA"/>
  <w15:chartTrackingRefBased/>
  <w15:docId w15:val="{42E528B2-80DB-4609-AC6A-60E43EC2A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1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1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1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1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1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1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1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1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A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1A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1A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1A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1A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1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1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1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1A92"/>
    <w:rPr>
      <w:rFonts w:eastAsiaTheme="majorEastAsia" w:cstheme="majorBidi"/>
      <w:color w:val="272727" w:themeColor="text1" w:themeTint="D8"/>
    </w:rPr>
  </w:style>
  <w:style w:type="paragraph" w:styleId="Title">
    <w:name w:val="Title"/>
    <w:basedOn w:val="Normal"/>
    <w:next w:val="Normal"/>
    <w:link w:val="TitleChar"/>
    <w:uiPriority w:val="10"/>
    <w:qFormat/>
    <w:rsid w:val="009C1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1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1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1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1A92"/>
    <w:pPr>
      <w:spacing w:before="160"/>
      <w:jc w:val="center"/>
    </w:pPr>
    <w:rPr>
      <w:i/>
      <w:iCs/>
      <w:color w:val="404040" w:themeColor="text1" w:themeTint="BF"/>
    </w:rPr>
  </w:style>
  <w:style w:type="character" w:customStyle="1" w:styleId="QuoteChar">
    <w:name w:val="Quote Char"/>
    <w:basedOn w:val="DefaultParagraphFont"/>
    <w:link w:val="Quote"/>
    <w:uiPriority w:val="29"/>
    <w:rsid w:val="009C1A92"/>
    <w:rPr>
      <w:i/>
      <w:iCs/>
      <w:color w:val="404040" w:themeColor="text1" w:themeTint="BF"/>
    </w:rPr>
  </w:style>
  <w:style w:type="paragraph" w:styleId="ListParagraph">
    <w:name w:val="List Paragraph"/>
    <w:basedOn w:val="Normal"/>
    <w:uiPriority w:val="34"/>
    <w:qFormat/>
    <w:rsid w:val="009C1A92"/>
    <w:pPr>
      <w:ind w:left="720"/>
      <w:contextualSpacing/>
    </w:pPr>
  </w:style>
  <w:style w:type="character" w:styleId="IntenseEmphasis">
    <w:name w:val="Intense Emphasis"/>
    <w:basedOn w:val="DefaultParagraphFont"/>
    <w:uiPriority w:val="21"/>
    <w:qFormat/>
    <w:rsid w:val="009C1A92"/>
    <w:rPr>
      <w:i/>
      <w:iCs/>
      <w:color w:val="0F4761" w:themeColor="accent1" w:themeShade="BF"/>
    </w:rPr>
  </w:style>
  <w:style w:type="paragraph" w:styleId="IntenseQuote">
    <w:name w:val="Intense Quote"/>
    <w:basedOn w:val="Normal"/>
    <w:next w:val="Normal"/>
    <w:link w:val="IntenseQuoteChar"/>
    <w:uiPriority w:val="30"/>
    <w:qFormat/>
    <w:rsid w:val="009C1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1A92"/>
    <w:rPr>
      <w:i/>
      <w:iCs/>
      <w:color w:val="0F4761" w:themeColor="accent1" w:themeShade="BF"/>
    </w:rPr>
  </w:style>
  <w:style w:type="character" w:styleId="IntenseReference">
    <w:name w:val="Intense Reference"/>
    <w:basedOn w:val="DefaultParagraphFont"/>
    <w:uiPriority w:val="32"/>
    <w:qFormat/>
    <w:rsid w:val="009C1A9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38034">
      <w:bodyDiv w:val="1"/>
      <w:marLeft w:val="0"/>
      <w:marRight w:val="0"/>
      <w:marTop w:val="0"/>
      <w:marBottom w:val="0"/>
      <w:divBdr>
        <w:top w:val="none" w:sz="0" w:space="0" w:color="auto"/>
        <w:left w:val="none" w:sz="0" w:space="0" w:color="auto"/>
        <w:bottom w:val="none" w:sz="0" w:space="0" w:color="auto"/>
        <w:right w:val="none" w:sz="0" w:space="0" w:color="auto"/>
      </w:divBdr>
      <w:divsChild>
        <w:div w:id="2098011268">
          <w:blockQuote w:val="1"/>
          <w:marLeft w:val="720"/>
          <w:marRight w:val="720"/>
          <w:marTop w:val="100"/>
          <w:marBottom w:val="100"/>
          <w:divBdr>
            <w:top w:val="none" w:sz="0" w:space="0" w:color="auto"/>
            <w:left w:val="none" w:sz="0" w:space="0" w:color="auto"/>
            <w:bottom w:val="none" w:sz="0" w:space="0" w:color="auto"/>
            <w:right w:val="none" w:sz="0" w:space="0" w:color="auto"/>
          </w:divBdr>
        </w:div>
        <w:div w:id="159587142">
          <w:blockQuote w:val="1"/>
          <w:marLeft w:val="720"/>
          <w:marRight w:val="720"/>
          <w:marTop w:val="100"/>
          <w:marBottom w:val="100"/>
          <w:divBdr>
            <w:top w:val="none" w:sz="0" w:space="0" w:color="auto"/>
            <w:left w:val="none" w:sz="0" w:space="0" w:color="auto"/>
            <w:bottom w:val="none" w:sz="0" w:space="0" w:color="auto"/>
            <w:right w:val="none" w:sz="0" w:space="0" w:color="auto"/>
          </w:divBdr>
        </w:div>
        <w:div w:id="15488355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1926546">
      <w:bodyDiv w:val="1"/>
      <w:marLeft w:val="0"/>
      <w:marRight w:val="0"/>
      <w:marTop w:val="0"/>
      <w:marBottom w:val="0"/>
      <w:divBdr>
        <w:top w:val="none" w:sz="0" w:space="0" w:color="auto"/>
        <w:left w:val="none" w:sz="0" w:space="0" w:color="auto"/>
        <w:bottom w:val="none" w:sz="0" w:space="0" w:color="auto"/>
        <w:right w:val="none" w:sz="0" w:space="0" w:color="auto"/>
      </w:divBdr>
    </w:div>
    <w:div w:id="1746605070">
      <w:bodyDiv w:val="1"/>
      <w:marLeft w:val="0"/>
      <w:marRight w:val="0"/>
      <w:marTop w:val="0"/>
      <w:marBottom w:val="0"/>
      <w:divBdr>
        <w:top w:val="none" w:sz="0" w:space="0" w:color="auto"/>
        <w:left w:val="none" w:sz="0" w:space="0" w:color="auto"/>
        <w:bottom w:val="none" w:sz="0" w:space="0" w:color="auto"/>
        <w:right w:val="none" w:sz="0" w:space="0" w:color="auto"/>
      </w:divBdr>
      <w:divsChild>
        <w:div w:id="1897542243">
          <w:blockQuote w:val="1"/>
          <w:marLeft w:val="720"/>
          <w:marRight w:val="720"/>
          <w:marTop w:val="100"/>
          <w:marBottom w:val="100"/>
          <w:divBdr>
            <w:top w:val="none" w:sz="0" w:space="0" w:color="auto"/>
            <w:left w:val="none" w:sz="0" w:space="0" w:color="auto"/>
            <w:bottom w:val="none" w:sz="0" w:space="0" w:color="auto"/>
            <w:right w:val="none" w:sz="0" w:space="0" w:color="auto"/>
          </w:divBdr>
        </w:div>
        <w:div w:id="329064930">
          <w:blockQuote w:val="1"/>
          <w:marLeft w:val="720"/>
          <w:marRight w:val="720"/>
          <w:marTop w:val="100"/>
          <w:marBottom w:val="100"/>
          <w:divBdr>
            <w:top w:val="none" w:sz="0" w:space="0" w:color="auto"/>
            <w:left w:val="none" w:sz="0" w:space="0" w:color="auto"/>
            <w:bottom w:val="none" w:sz="0" w:space="0" w:color="auto"/>
            <w:right w:val="none" w:sz="0" w:space="0" w:color="auto"/>
          </w:divBdr>
        </w:div>
        <w:div w:id="18267038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601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231</Words>
  <Characters>1432</Characters>
  <Application>Microsoft Office Word</Application>
  <DocSecurity>0</DocSecurity>
  <Lines>26</Lines>
  <Paragraphs>5</Paragraphs>
  <ScaleCrop>false</ScaleCrop>
  <Company>University of Wales Trinity Saint David</Company>
  <LinksUpToDate>false</LinksUpToDate>
  <CharactersWithSpaces>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cp:revision>
  <dcterms:created xsi:type="dcterms:W3CDTF">2025-10-13T16:02:00Z</dcterms:created>
  <dcterms:modified xsi:type="dcterms:W3CDTF">2025-10-13T16:04:00Z</dcterms:modified>
</cp:coreProperties>
</file>