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48D726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F4FF3">
              <w:rPr>
                <w:rFonts w:ascii="Times New Roman" w:hAnsi="Times New Roman" w:cs="Times New Roman"/>
                <w:b/>
                <w:color w:val="auto"/>
                <w:sz w:val="48"/>
              </w:rPr>
              <w:t>Jessica Owens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21D8EA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F4FF3">
              <w:rPr>
                <w:rFonts w:ascii="Times New Roman" w:hAnsi="Times New Roman" w:cs="Times New Roman"/>
                <w:b/>
                <w:color w:val="auto"/>
                <w:sz w:val="48"/>
              </w:rPr>
              <w:t xml:space="preserve"> Jessica.owens@conwy.gov.uk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560551C"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BADF88C" w14:textId="3892D7FD" w:rsidR="00FF4FF3" w:rsidRPr="005D3F07" w:rsidRDefault="00FF4FF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2324174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5423B54D"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78EF2003" w14:textId="012AE8DD" w:rsidR="00BA2080" w:rsidRDefault="00BA2080" w:rsidP="00FF7EBB">
            <w:pPr>
              <w:jc w:val="both"/>
              <w:rPr>
                <w:sz w:val="24"/>
                <w:szCs w:val="24"/>
              </w:rPr>
            </w:pPr>
          </w:p>
          <w:p w14:paraId="663419C2" w14:textId="346DDD2A" w:rsidR="00BA2080" w:rsidRDefault="00BA2080" w:rsidP="00EB1311">
            <w:pPr>
              <w:spacing w:line="360" w:lineRule="auto"/>
              <w:jc w:val="both"/>
              <w:rPr>
                <w:sz w:val="24"/>
                <w:szCs w:val="24"/>
              </w:rPr>
            </w:pPr>
            <w:r>
              <w:rPr>
                <w:sz w:val="24"/>
                <w:szCs w:val="24"/>
              </w:rPr>
              <w:t xml:space="preserve">The Children Act </w:t>
            </w:r>
            <w:r w:rsidR="00EB1311">
              <w:rPr>
                <w:sz w:val="24"/>
                <w:szCs w:val="24"/>
              </w:rPr>
              <w:t>(</w:t>
            </w:r>
            <w:r>
              <w:rPr>
                <w:sz w:val="24"/>
                <w:szCs w:val="24"/>
              </w:rPr>
              <w:t>1989</w:t>
            </w:r>
            <w:r w:rsidR="00EB1311">
              <w:rPr>
                <w:sz w:val="24"/>
                <w:szCs w:val="24"/>
              </w:rPr>
              <w:t xml:space="preserve">) is the principle piece of legislation in Wales </w:t>
            </w:r>
            <w:r w:rsidR="003F2041">
              <w:rPr>
                <w:sz w:val="24"/>
                <w:szCs w:val="24"/>
              </w:rPr>
              <w:t xml:space="preserve">and England </w:t>
            </w:r>
            <w:r w:rsidR="00EB1311">
              <w:rPr>
                <w:sz w:val="24"/>
                <w:szCs w:val="24"/>
              </w:rPr>
              <w:t>for safeguarding children. The Act outlines when care proceedings should be initiated and places duty on local authorities to safeguard children and promote their welfare (NSPCC, 2024). If a child is deemed to be at risk of harm or abuse, the local authority has a statutory obligation under the Children Act 1989 to carry out a S</w:t>
            </w:r>
            <w:r w:rsidR="007F6FF9">
              <w:rPr>
                <w:sz w:val="24"/>
                <w:szCs w:val="24"/>
              </w:rPr>
              <w:t>ection 47 investigation, as stated by t</w:t>
            </w:r>
            <w:r w:rsidR="00EB1311">
              <w:rPr>
                <w:sz w:val="24"/>
                <w:szCs w:val="24"/>
              </w:rPr>
              <w:t>he Welsh Government, (</w:t>
            </w:r>
            <w:r w:rsidR="007F6FF9">
              <w:rPr>
                <w:sz w:val="24"/>
                <w:szCs w:val="24"/>
              </w:rPr>
              <w:t>2014</w:t>
            </w:r>
            <w:r w:rsidR="00EB1311">
              <w:rPr>
                <w:sz w:val="24"/>
                <w:szCs w:val="24"/>
              </w:rPr>
              <w:t>)</w:t>
            </w:r>
            <w:r w:rsidR="007F6FF9">
              <w:rPr>
                <w:sz w:val="24"/>
                <w:szCs w:val="24"/>
              </w:rPr>
              <w:t xml:space="preserve"> that under part 7 Section 131</w:t>
            </w:r>
            <w:r w:rsidR="003F2041">
              <w:rPr>
                <w:sz w:val="24"/>
                <w:szCs w:val="24"/>
              </w:rPr>
              <w:t>,</w:t>
            </w:r>
            <w:r w:rsidR="007F6FF9">
              <w:rPr>
                <w:sz w:val="24"/>
                <w:szCs w:val="24"/>
              </w:rPr>
              <w:t xml:space="preserve"> guidance of the Social Services and Wellbeing (Wales) Act, (2014)</w:t>
            </w:r>
            <w:r w:rsidR="00F80B02">
              <w:rPr>
                <w:sz w:val="24"/>
                <w:szCs w:val="24"/>
              </w:rPr>
              <w:t xml:space="preserve"> (SSWBA)</w:t>
            </w:r>
            <w:r w:rsidR="007F6FF9">
              <w:rPr>
                <w:sz w:val="24"/>
                <w:szCs w:val="24"/>
              </w:rPr>
              <w:t xml:space="preserve"> The Children Act 1989 states that the ‘</w:t>
            </w:r>
            <w:r w:rsidR="007F6FF9">
              <w:rPr>
                <w:i/>
                <w:sz w:val="24"/>
                <w:szCs w:val="24"/>
              </w:rPr>
              <w:t xml:space="preserve">Welfare of the child is paramount’ </w:t>
            </w:r>
            <w:r w:rsidR="007F6FF9">
              <w:rPr>
                <w:sz w:val="24"/>
                <w:szCs w:val="24"/>
              </w:rPr>
              <w:t xml:space="preserve">Part 3 of the Act places a duty on local authorities to take reasonable action to prevent children from suffering neglect or ill treatment (Brayne and Carr, 2013). </w:t>
            </w:r>
          </w:p>
          <w:p w14:paraId="5F211192" w14:textId="0B2EAE83" w:rsidR="00F80B02" w:rsidRDefault="00F80B02" w:rsidP="00EB1311">
            <w:pPr>
              <w:spacing w:line="360" w:lineRule="auto"/>
              <w:jc w:val="both"/>
              <w:rPr>
                <w:sz w:val="24"/>
                <w:szCs w:val="24"/>
              </w:rPr>
            </w:pPr>
          </w:p>
          <w:p w14:paraId="687A9A6E" w14:textId="155CA040" w:rsidR="001E7051" w:rsidRDefault="00F80B02" w:rsidP="00EB1311">
            <w:pPr>
              <w:spacing w:line="360" w:lineRule="auto"/>
              <w:jc w:val="both"/>
              <w:rPr>
                <w:sz w:val="24"/>
                <w:szCs w:val="24"/>
              </w:rPr>
            </w:pPr>
            <w:r>
              <w:rPr>
                <w:sz w:val="24"/>
                <w:szCs w:val="24"/>
              </w:rPr>
              <w:t>The Children Act 2004 strengthens the 1989 A</w:t>
            </w:r>
            <w:r w:rsidR="009A235C">
              <w:rPr>
                <w:sz w:val="24"/>
                <w:szCs w:val="24"/>
              </w:rPr>
              <w:t xml:space="preserve">ct by placing a greater </w:t>
            </w:r>
            <w:r w:rsidR="003F2041">
              <w:rPr>
                <w:sz w:val="24"/>
                <w:szCs w:val="24"/>
              </w:rPr>
              <w:t>emphasis</w:t>
            </w:r>
            <w:r w:rsidR="009A235C">
              <w:rPr>
                <w:sz w:val="24"/>
                <w:szCs w:val="24"/>
              </w:rPr>
              <w:t xml:space="preserve"> on </w:t>
            </w:r>
            <w:r>
              <w:rPr>
                <w:sz w:val="24"/>
                <w:szCs w:val="24"/>
              </w:rPr>
              <w:t>accountability and encourag</w:t>
            </w:r>
            <w:r w:rsidR="003F2041">
              <w:rPr>
                <w:sz w:val="24"/>
                <w:szCs w:val="24"/>
              </w:rPr>
              <w:t>es</w:t>
            </w:r>
            <w:r>
              <w:rPr>
                <w:sz w:val="24"/>
                <w:szCs w:val="24"/>
              </w:rPr>
              <w:t xml:space="preserve"> partnership working between agencies. For Wales, some sections of the Children Act (2004) have been replaced, repealed or amended by SSWBA, (2014) and the Wellbeing of Future Generations (Wales) Act 2015. </w:t>
            </w:r>
            <w:r w:rsidR="009A235C">
              <w:rPr>
                <w:sz w:val="24"/>
                <w:szCs w:val="24"/>
              </w:rPr>
              <w:t>The Children A</w:t>
            </w:r>
            <w:r w:rsidR="001E7051">
              <w:rPr>
                <w:sz w:val="24"/>
                <w:szCs w:val="24"/>
              </w:rPr>
              <w:t xml:space="preserve">ct 2004, places a duty of care to act, if there </w:t>
            </w:r>
            <w:r w:rsidR="003F2041">
              <w:rPr>
                <w:sz w:val="24"/>
                <w:szCs w:val="24"/>
              </w:rPr>
              <w:t>is</w:t>
            </w:r>
            <w:r w:rsidR="001E7051">
              <w:rPr>
                <w:sz w:val="24"/>
                <w:szCs w:val="24"/>
              </w:rPr>
              <w:t xml:space="preserve"> suspected abuse, if information is received regarding suspected abuse or if abuse it witnessed. Safeguarding Children: Working Together under the Children Act 2004, strengthened involved processes where there are concerns raised </w:t>
            </w:r>
            <w:r w:rsidR="001E7051">
              <w:rPr>
                <w:sz w:val="24"/>
                <w:szCs w:val="24"/>
              </w:rPr>
              <w:lastRenderedPageBreak/>
              <w:t>regarding children, also necessary action in order to promote the welfare of the child and safeguard (NSPCC, 2024).</w:t>
            </w:r>
          </w:p>
          <w:p w14:paraId="02185F28" w14:textId="4A6ADD72" w:rsidR="001E7051" w:rsidRDefault="001E7051" w:rsidP="00EB1311">
            <w:pPr>
              <w:spacing w:line="360" w:lineRule="auto"/>
              <w:jc w:val="both"/>
              <w:rPr>
                <w:sz w:val="24"/>
                <w:szCs w:val="24"/>
              </w:rPr>
            </w:pPr>
          </w:p>
          <w:p w14:paraId="1ABA57CE" w14:textId="45FA9590" w:rsidR="00D534A1" w:rsidRDefault="00D534A1" w:rsidP="00EB1311">
            <w:pPr>
              <w:spacing w:line="360" w:lineRule="auto"/>
              <w:jc w:val="both"/>
              <w:rPr>
                <w:sz w:val="24"/>
                <w:szCs w:val="24"/>
              </w:rPr>
            </w:pPr>
            <w:r>
              <w:rPr>
                <w:sz w:val="24"/>
                <w:szCs w:val="24"/>
              </w:rPr>
              <w:t>Internationally, the United Nations Convention on the Rights of the Child, ensures that children’s rights are upheld, Wales became the first country to incorporate these rights into domestic law as the Rights of the Children and Young Persons (Wales) Measure (2011).</w:t>
            </w:r>
          </w:p>
          <w:p w14:paraId="3948894F" w14:textId="6278ADCD" w:rsidR="00EC01C4" w:rsidRDefault="00EC01C4" w:rsidP="00EB1311">
            <w:pPr>
              <w:spacing w:line="360" w:lineRule="auto"/>
              <w:jc w:val="both"/>
              <w:rPr>
                <w:sz w:val="24"/>
                <w:szCs w:val="24"/>
              </w:rPr>
            </w:pPr>
          </w:p>
          <w:p w14:paraId="378E47D3" w14:textId="4046C530" w:rsidR="007F6FF9" w:rsidRDefault="00EC01C4" w:rsidP="00EB1311">
            <w:pPr>
              <w:spacing w:line="360" w:lineRule="auto"/>
              <w:jc w:val="both"/>
              <w:rPr>
                <w:sz w:val="24"/>
                <w:szCs w:val="24"/>
              </w:rPr>
            </w:pPr>
            <w:r>
              <w:rPr>
                <w:sz w:val="24"/>
                <w:szCs w:val="24"/>
              </w:rPr>
              <w:t xml:space="preserve">Nationally, Part 6 of SSWBA has replaced Part 3 of the Children Act 1989, which refers to local authorities </w:t>
            </w:r>
            <w:r w:rsidR="00E66396">
              <w:rPr>
                <w:sz w:val="24"/>
                <w:szCs w:val="24"/>
              </w:rPr>
              <w:t xml:space="preserve">having a </w:t>
            </w:r>
            <w:r>
              <w:rPr>
                <w:sz w:val="24"/>
                <w:szCs w:val="24"/>
              </w:rPr>
              <w:t>duty to provide support for children and families.</w:t>
            </w:r>
            <w:r w:rsidR="00E66396">
              <w:rPr>
                <w:sz w:val="24"/>
                <w:szCs w:val="24"/>
              </w:rPr>
              <w:t xml:space="preserve"> And Part 7 of the SSWBA (2014) provides a legal framework for safeguarding children and adults in Wales. Part 7 comes with Welsh Government Guidance under Working Together to Safeguard People (2017) namely to safeguard children, Vol 1, 2, 5 and 7. Guidance, policies and procedures are provided on a local level by Regional Safeguarding Boards, also under SSWBA, (2014), (Welsh Government, Vol. 1, 2014).</w:t>
            </w:r>
          </w:p>
          <w:p w14:paraId="30DFE5EB" w14:textId="77777777" w:rsidR="007F6FF9" w:rsidRDefault="007F6FF9" w:rsidP="00EB1311">
            <w:pPr>
              <w:spacing w:line="360" w:lineRule="auto"/>
              <w:jc w:val="both"/>
              <w:rPr>
                <w:sz w:val="24"/>
                <w:szCs w:val="24"/>
              </w:rPr>
            </w:pPr>
          </w:p>
          <w:p w14:paraId="5B76588C" w14:textId="14E4C66D" w:rsidR="009D4E7A" w:rsidRDefault="00EB1311" w:rsidP="00EB1311">
            <w:pPr>
              <w:spacing w:line="360" w:lineRule="auto"/>
              <w:jc w:val="both"/>
              <w:rPr>
                <w:sz w:val="24"/>
                <w:szCs w:val="24"/>
              </w:rPr>
            </w:pPr>
            <w:r>
              <w:rPr>
                <w:sz w:val="24"/>
                <w:szCs w:val="24"/>
              </w:rPr>
              <w:t xml:space="preserve">The Wales Safeguarding Procedures, </w:t>
            </w:r>
            <w:r w:rsidR="00E66396">
              <w:rPr>
                <w:sz w:val="24"/>
                <w:szCs w:val="24"/>
              </w:rPr>
              <w:t>(2020)</w:t>
            </w:r>
            <w:r>
              <w:rPr>
                <w:sz w:val="24"/>
                <w:szCs w:val="24"/>
              </w:rPr>
              <w:t xml:space="preserve"> </w:t>
            </w:r>
            <w:r w:rsidR="009D4E7A">
              <w:rPr>
                <w:sz w:val="24"/>
                <w:szCs w:val="24"/>
              </w:rPr>
              <w:t>provides clear protection procedures, guided by SSWBA (2014) for every safeguarding board in Wales and sets out clear guidance for practitioners, and their role and responsibilities. The guidance provides information on how to complete tasks of safeguarding and enable practitioners to apply the legislative expectations and requirements of SSWBA (2014). On an organisational level, Local Authorities have policies and procedures under the previously mentioned legislation</w:t>
            </w:r>
            <w:r w:rsidR="003F2041">
              <w:rPr>
                <w:sz w:val="24"/>
                <w:szCs w:val="24"/>
              </w:rPr>
              <w:t xml:space="preserve"> which provide pathways for practitioners to follow when working with children. One </w:t>
            </w:r>
            <w:r w:rsidR="009D4E7A">
              <w:rPr>
                <w:sz w:val="24"/>
                <w:szCs w:val="24"/>
              </w:rPr>
              <w:t>of which include</w:t>
            </w:r>
            <w:r w:rsidR="003F2041">
              <w:rPr>
                <w:sz w:val="24"/>
                <w:szCs w:val="24"/>
              </w:rPr>
              <w:t>s</w:t>
            </w:r>
            <w:r w:rsidR="009D4E7A">
              <w:rPr>
                <w:sz w:val="24"/>
                <w:szCs w:val="24"/>
              </w:rPr>
              <w:t xml:space="preserve"> </w:t>
            </w:r>
            <w:r w:rsidR="003F2041">
              <w:rPr>
                <w:sz w:val="24"/>
                <w:szCs w:val="24"/>
              </w:rPr>
              <w:t xml:space="preserve">the </w:t>
            </w:r>
            <w:r w:rsidR="009D4E7A">
              <w:rPr>
                <w:sz w:val="24"/>
                <w:szCs w:val="24"/>
              </w:rPr>
              <w:t>Corporate S</w:t>
            </w:r>
            <w:r w:rsidR="003F2041">
              <w:rPr>
                <w:sz w:val="24"/>
                <w:szCs w:val="24"/>
              </w:rPr>
              <w:t>afeguarding policy</w:t>
            </w:r>
            <w:r w:rsidR="009D4E7A">
              <w:rPr>
                <w:sz w:val="24"/>
                <w:szCs w:val="24"/>
              </w:rPr>
              <w:t>, w</w:t>
            </w:r>
            <w:r w:rsidR="003F2041">
              <w:rPr>
                <w:sz w:val="24"/>
                <w:szCs w:val="24"/>
              </w:rPr>
              <w:t>hich will be the first point of access when creating referrals, this then initiates the safeguarding process.</w:t>
            </w:r>
          </w:p>
          <w:p w14:paraId="279CFEDF" w14:textId="467A1EAA" w:rsidR="003F2041" w:rsidRDefault="003F2041" w:rsidP="00EB1311">
            <w:pPr>
              <w:spacing w:line="360" w:lineRule="auto"/>
              <w:jc w:val="both"/>
              <w:rPr>
                <w:sz w:val="24"/>
                <w:szCs w:val="24"/>
              </w:rPr>
            </w:pPr>
          </w:p>
          <w:p w14:paraId="55F74C07" w14:textId="5CB4FC87" w:rsidR="003F2041" w:rsidRPr="00411343" w:rsidRDefault="003F2041" w:rsidP="00EB1311">
            <w:pPr>
              <w:spacing w:line="360" w:lineRule="auto"/>
              <w:jc w:val="both"/>
              <w:rPr>
                <w:sz w:val="24"/>
                <w:szCs w:val="24"/>
                <w:u w:val="single"/>
              </w:rPr>
            </w:pPr>
            <w:r w:rsidRPr="00411343">
              <w:rPr>
                <w:sz w:val="24"/>
                <w:szCs w:val="24"/>
                <w:u w:val="single"/>
              </w:rPr>
              <w:t>Word</w:t>
            </w:r>
            <w:r w:rsidR="00FF4FF3" w:rsidRPr="00411343">
              <w:rPr>
                <w:sz w:val="24"/>
                <w:szCs w:val="24"/>
                <w:u w:val="single"/>
              </w:rPr>
              <w:t xml:space="preserve"> </w:t>
            </w:r>
            <w:r w:rsidRPr="00411343">
              <w:rPr>
                <w:sz w:val="24"/>
                <w:szCs w:val="24"/>
                <w:u w:val="single"/>
              </w:rPr>
              <w:t>count- 490</w:t>
            </w:r>
          </w:p>
          <w:p w14:paraId="7350F757" w14:textId="0C769BB5" w:rsidR="00C60118" w:rsidRDefault="00C60118" w:rsidP="00C60118">
            <w:pPr>
              <w:spacing w:line="360" w:lineRule="auto"/>
              <w:jc w:val="both"/>
              <w:rPr>
                <w:b/>
                <w:sz w:val="24"/>
                <w:szCs w:val="24"/>
              </w:rPr>
            </w:pPr>
          </w:p>
          <w:p w14:paraId="3D401A10" w14:textId="77777777" w:rsidR="00916D10" w:rsidRPr="00916D10" w:rsidRDefault="00916D10" w:rsidP="00C60118">
            <w:pPr>
              <w:spacing w:line="360" w:lineRule="auto"/>
              <w:jc w:val="both"/>
              <w:rPr>
                <w:b/>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02C9CAF3"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127B6CCD" w14:textId="40ECCE65" w:rsidR="000153EE" w:rsidRDefault="000153EE" w:rsidP="00FC0334">
            <w:pPr>
              <w:jc w:val="both"/>
              <w:rPr>
                <w:sz w:val="24"/>
                <w:szCs w:val="24"/>
              </w:rPr>
            </w:pPr>
          </w:p>
          <w:p w14:paraId="03E829E7" w14:textId="77777777" w:rsidR="000153EE" w:rsidRDefault="000153EE" w:rsidP="000153EE">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A8EE071" w14:textId="28956AD8" w:rsidR="000153EE" w:rsidRDefault="000153EE" w:rsidP="00916D10">
            <w:pPr>
              <w:spacing w:line="360" w:lineRule="auto"/>
              <w:jc w:val="both"/>
              <w:rPr>
                <w:sz w:val="24"/>
                <w:szCs w:val="24"/>
              </w:rPr>
            </w:pPr>
          </w:p>
          <w:p w14:paraId="1F44096E" w14:textId="043BC937" w:rsidR="000153EE" w:rsidRDefault="000153EE" w:rsidP="00916D10">
            <w:pPr>
              <w:spacing w:line="360" w:lineRule="auto"/>
              <w:jc w:val="both"/>
              <w:rPr>
                <w:sz w:val="24"/>
                <w:szCs w:val="24"/>
              </w:rPr>
            </w:pPr>
            <w:bookmarkStart w:id="0" w:name="_GoBack"/>
            <w:r>
              <w:rPr>
                <w:sz w:val="24"/>
                <w:szCs w:val="24"/>
              </w:rPr>
              <w:t>The Welsh Government, (2015) state that statutory child protection laws have been around since the 1880’s, however, adults statutory framework for safeguarding adults in Wales</w:t>
            </w:r>
            <w:r w:rsidR="00254C4B">
              <w:rPr>
                <w:sz w:val="24"/>
                <w:szCs w:val="24"/>
              </w:rPr>
              <w:t xml:space="preserve"> only came into force in 2016</w:t>
            </w:r>
            <w:r>
              <w:rPr>
                <w:sz w:val="24"/>
                <w:szCs w:val="24"/>
              </w:rPr>
              <w:t xml:space="preserve"> when Part 7 of the Social Services and Wellbeing (Wales) Act 2014 was created.</w:t>
            </w:r>
          </w:p>
          <w:p w14:paraId="14BB2C67" w14:textId="2B6924FF" w:rsidR="000153EE" w:rsidRDefault="000153EE" w:rsidP="00916D10">
            <w:pPr>
              <w:spacing w:line="360" w:lineRule="auto"/>
              <w:jc w:val="both"/>
              <w:rPr>
                <w:sz w:val="24"/>
                <w:szCs w:val="24"/>
              </w:rPr>
            </w:pPr>
          </w:p>
          <w:p w14:paraId="2341D9AC" w14:textId="37E040D5" w:rsidR="000F28F1" w:rsidRDefault="000153EE" w:rsidP="00916D10">
            <w:pPr>
              <w:spacing w:line="360" w:lineRule="auto"/>
              <w:jc w:val="both"/>
              <w:rPr>
                <w:sz w:val="24"/>
                <w:szCs w:val="24"/>
              </w:rPr>
            </w:pPr>
            <w:r>
              <w:rPr>
                <w:sz w:val="24"/>
                <w:szCs w:val="24"/>
              </w:rPr>
              <w:t>The key difference in legislation for adults and children that I have reflected upon, is that ‘Working together to Safeguard People</w:t>
            </w:r>
            <w:r w:rsidR="000F28F1">
              <w:rPr>
                <w:sz w:val="24"/>
                <w:szCs w:val="24"/>
              </w:rPr>
              <w:t xml:space="preserve"> (2015) Volume 1 can define both adults and children at risk of harm and abuse. However, the difference is that adults at risk can only be defined as at risk if they are ‘unable to protect themselves against the risk of harm or abuse’. Therefore, if an adult is at risk of harm or abuse, and they are deemed to have capacity under the Mental Capacity Act, (2005), they can refuse for safeguarding enquiries to proceed. If this is the case, then the practitioner must try and mitigate the risks as much as possible. Autonomy, must be respected when working with adults, this also enforcing Codes of Professional Practice, (SCW, 2017) and a person centred approach. The rights of the adult must be upheld and promoted at all times.</w:t>
            </w:r>
            <w:r w:rsidR="00254C4B">
              <w:rPr>
                <w:sz w:val="24"/>
                <w:szCs w:val="24"/>
              </w:rPr>
              <w:t xml:space="preserve"> </w:t>
            </w:r>
            <w:r w:rsidR="000F28F1">
              <w:rPr>
                <w:sz w:val="24"/>
                <w:szCs w:val="24"/>
              </w:rPr>
              <w:t>This could mean that a child living in home where they are at risk of harm or abuse could be removed, however, if they have a 19 year old sibling, who has capacity and refuses for safeguarding enquiries to proceed can continue to live at h</w:t>
            </w:r>
            <w:r w:rsidR="00FE40EC">
              <w:rPr>
                <w:sz w:val="24"/>
                <w:szCs w:val="24"/>
              </w:rPr>
              <w:t>ome maintaining their vulnerability.</w:t>
            </w:r>
          </w:p>
          <w:p w14:paraId="3123EB5E" w14:textId="7B74BC23" w:rsidR="00254C4B" w:rsidRDefault="00254C4B" w:rsidP="00916D10">
            <w:pPr>
              <w:spacing w:line="360" w:lineRule="auto"/>
              <w:jc w:val="both"/>
              <w:rPr>
                <w:sz w:val="24"/>
                <w:szCs w:val="24"/>
              </w:rPr>
            </w:pPr>
          </w:p>
          <w:p w14:paraId="486297CE" w14:textId="0487419F" w:rsidR="00254C4B" w:rsidRDefault="00254C4B" w:rsidP="00916D10">
            <w:pPr>
              <w:spacing w:line="360" w:lineRule="auto"/>
              <w:jc w:val="both"/>
              <w:rPr>
                <w:sz w:val="24"/>
                <w:szCs w:val="24"/>
              </w:rPr>
            </w:pPr>
            <w:r>
              <w:rPr>
                <w:sz w:val="24"/>
                <w:szCs w:val="24"/>
              </w:rPr>
              <w:t>Children’s safeguarding procedures have fixed, non-flexible timescales. For example, when children’s cases have been identified as requiring an investigation, these decisions must be made within 24 hours and their families will not be made aware. Whereas in adults safeguarding procedures, the views and wishes of the adult must be gathered in how they wish to proceed before enquiries can continue. Other timescales include, statutory visits to see children who are on the Child Protection Register must be carried out every 10 working days, and Core Group Meetings must be held every 6 weeks. W</w:t>
            </w:r>
            <w:r w:rsidR="00271209">
              <w:rPr>
                <w:sz w:val="24"/>
                <w:szCs w:val="24"/>
              </w:rPr>
              <w:t>hereas when working with adults, the work is very much person centred lead.</w:t>
            </w:r>
          </w:p>
          <w:p w14:paraId="53ED18FF" w14:textId="47B6F430" w:rsidR="00271209" w:rsidRDefault="00271209" w:rsidP="00916D10">
            <w:pPr>
              <w:spacing w:line="360" w:lineRule="auto"/>
              <w:jc w:val="both"/>
              <w:rPr>
                <w:sz w:val="24"/>
                <w:szCs w:val="24"/>
              </w:rPr>
            </w:pPr>
            <w:r>
              <w:rPr>
                <w:sz w:val="24"/>
                <w:szCs w:val="24"/>
              </w:rPr>
              <w:lastRenderedPageBreak/>
              <w:t>Another difference is that in children’s, it very much procedure lead. For example, if a child is on the Child Protection Register, and their parents/guardians are not adhering to the Child Protection Plan, then this will be escalated to a Public Law Outline and potential court orders. However, an adult can be re-presented to safeguarding wi</w:t>
            </w:r>
            <w:r w:rsidR="00ED7886">
              <w:rPr>
                <w:sz w:val="24"/>
                <w:szCs w:val="24"/>
              </w:rPr>
              <w:t>th the same concerns repeatedly</w:t>
            </w:r>
            <w:r>
              <w:rPr>
                <w:sz w:val="24"/>
                <w:szCs w:val="24"/>
              </w:rPr>
              <w:t xml:space="preserve"> as</w:t>
            </w:r>
            <w:r w:rsidR="00ED7886">
              <w:rPr>
                <w:sz w:val="24"/>
                <w:szCs w:val="24"/>
              </w:rPr>
              <w:t>,</w:t>
            </w:r>
            <w:r>
              <w:rPr>
                <w:sz w:val="24"/>
                <w:szCs w:val="24"/>
              </w:rPr>
              <w:t xml:space="preserve"> if an adult has capacity and refuses to engage with enquiries, practitioners can only work on reducing harm and mitigate the risks.</w:t>
            </w:r>
          </w:p>
          <w:bookmarkEnd w:id="0"/>
          <w:p w14:paraId="0B0AE38F" w14:textId="0F0E6031" w:rsidR="00254C4B" w:rsidRDefault="00254C4B" w:rsidP="00916D10">
            <w:pPr>
              <w:spacing w:line="360" w:lineRule="auto"/>
              <w:jc w:val="both"/>
              <w:rPr>
                <w:sz w:val="24"/>
                <w:szCs w:val="24"/>
              </w:rPr>
            </w:pPr>
          </w:p>
          <w:p w14:paraId="358CF757" w14:textId="09BFE198" w:rsidR="00271209" w:rsidRDefault="00271209" w:rsidP="00916D10">
            <w:pPr>
              <w:spacing w:line="360" w:lineRule="auto"/>
              <w:jc w:val="both"/>
              <w:rPr>
                <w:sz w:val="24"/>
                <w:szCs w:val="24"/>
              </w:rPr>
            </w:pPr>
            <w:r>
              <w:rPr>
                <w:sz w:val="24"/>
                <w:szCs w:val="24"/>
                <w:u w:val="single"/>
              </w:rPr>
              <w:t>Word</w:t>
            </w:r>
            <w:r w:rsidR="00FF4FF3">
              <w:rPr>
                <w:sz w:val="24"/>
                <w:szCs w:val="24"/>
                <w:u w:val="single"/>
              </w:rPr>
              <w:t xml:space="preserve"> </w:t>
            </w:r>
            <w:r>
              <w:rPr>
                <w:sz w:val="24"/>
                <w:szCs w:val="24"/>
                <w:u w:val="single"/>
              </w:rPr>
              <w:t>count- 433</w:t>
            </w:r>
          </w:p>
          <w:p w14:paraId="08760B3D" w14:textId="57A77B02" w:rsidR="00FC0334" w:rsidRPr="00271209" w:rsidRDefault="00FC0334" w:rsidP="00271209">
            <w:pPr>
              <w:spacing w:line="276" w:lineRule="auto"/>
              <w:rPr>
                <w:rFonts w:ascii="Calibri" w:hAnsi="Calibri" w:cs="Calibri"/>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373B5F3" w:rsidR="00A5656A" w:rsidRDefault="00A5656A">
    <w:pPr>
      <w:pStyle w:val="Footer"/>
      <w:jc w:val="right"/>
    </w:pPr>
    <w:r>
      <w:fldChar w:fldCharType="begin"/>
    </w:r>
    <w:r>
      <w:instrText xml:space="preserve"> PAGE   \* MERGEFORMAT </w:instrText>
    </w:r>
    <w:r>
      <w:fldChar w:fldCharType="separate"/>
    </w:r>
    <w:r w:rsidR="00411343">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32380B"/>
    <w:multiLevelType w:val="multilevel"/>
    <w:tmpl w:val="59BE4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9325DE"/>
    <w:multiLevelType w:val="multilevel"/>
    <w:tmpl w:val="CE0A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28E3B29"/>
    <w:multiLevelType w:val="multilevel"/>
    <w:tmpl w:val="C4FED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4"/>
  </w:num>
  <w:num w:numId="3">
    <w:abstractNumId w:val="48"/>
  </w:num>
  <w:num w:numId="4">
    <w:abstractNumId w:val="50"/>
  </w:num>
  <w:num w:numId="5">
    <w:abstractNumId w:val="37"/>
  </w:num>
  <w:num w:numId="6">
    <w:abstractNumId w:val="35"/>
  </w:num>
  <w:num w:numId="7">
    <w:abstractNumId w:val="32"/>
  </w:num>
  <w:num w:numId="8">
    <w:abstractNumId w:val="33"/>
  </w:num>
  <w:num w:numId="9">
    <w:abstractNumId w:val="11"/>
  </w:num>
  <w:num w:numId="10">
    <w:abstractNumId w:val="36"/>
  </w:num>
  <w:num w:numId="11">
    <w:abstractNumId w:val="18"/>
  </w:num>
  <w:num w:numId="12">
    <w:abstractNumId w:val="17"/>
  </w:num>
  <w:num w:numId="13">
    <w:abstractNumId w:val="30"/>
  </w:num>
  <w:num w:numId="14">
    <w:abstractNumId w:val="9"/>
  </w:num>
  <w:num w:numId="15">
    <w:abstractNumId w:val="29"/>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num>
  <w:num w:numId="20">
    <w:abstractNumId w:val="19"/>
  </w:num>
  <w:num w:numId="21">
    <w:abstractNumId w:val="15"/>
  </w:num>
  <w:num w:numId="22">
    <w:abstractNumId w:val="12"/>
  </w:num>
  <w:num w:numId="23">
    <w:abstractNumId w:val="31"/>
  </w:num>
  <w:num w:numId="24">
    <w:abstractNumId w:val="20"/>
  </w:num>
  <w:num w:numId="25">
    <w:abstractNumId w:val="44"/>
  </w:num>
  <w:num w:numId="26">
    <w:abstractNumId w:val="38"/>
  </w:num>
  <w:num w:numId="27">
    <w:abstractNumId w:val="43"/>
  </w:num>
  <w:num w:numId="28">
    <w:abstractNumId w:val="22"/>
  </w:num>
  <w:num w:numId="29">
    <w:abstractNumId w:val="46"/>
  </w:num>
  <w:num w:numId="30">
    <w:abstractNumId w:val="34"/>
  </w:num>
  <w:num w:numId="31">
    <w:abstractNumId w:val="13"/>
  </w:num>
  <w:num w:numId="32">
    <w:abstractNumId w:val="47"/>
  </w:num>
  <w:num w:numId="33">
    <w:abstractNumId w:val="42"/>
  </w:num>
  <w:num w:numId="34">
    <w:abstractNumId w:val="6"/>
  </w:num>
  <w:num w:numId="35">
    <w:abstractNumId w:val="49"/>
  </w:num>
  <w:num w:numId="36">
    <w:abstractNumId w:val="45"/>
  </w:num>
  <w:num w:numId="37">
    <w:abstractNumId w:val="39"/>
  </w:num>
  <w:num w:numId="38">
    <w:abstractNumId w:val="40"/>
  </w:num>
  <w:num w:numId="39">
    <w:abstractNumId w:val="4"/>
  </w:num>
  <w:num w:numId="40">
    <w:abstractNumId w:val="7"/>
  </w:num>
  <w:num w:numId="41">
    <w:abstractNumId w:val="28"/>
  </w:num>
  <w:num w:numId="42">
    <w:abstractNumId w:val="8"/>
  </w:num>
  <w:num w:numId="43">
    <w:abstractNumId w:val="3"/>
  </w:num>
  <w:num w:numId="44">
    <w:abstractNumId w:val="41"/>
  </w:num>
  <w:num w:numId="45">
    <w:abstractNumId w:val="0"/>
  </w:num>
  <w:num w:numId="46">
    <w:abstractNumId w:val="15"/>
  </w:num>
  <w:num w:numId="47">
    <w:abstractNumId w:val="51"/>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31"/>
  </w:num>
  <w:num w:numId="51">
    <w:abstractNumId w:val="27"/>
  </w:num>
  <w:num w:numId="52">
    <w:abstractNumId w:val="23"/>
  </w:num>
  <w:num w:numId="53">
    <w:abstractNumId w:val="2"/>
  </w:num>
  <w:num w:numId="54">
    <w:abstractNumId w:val="26"/>
  </w:num>
  <w:num w:numId="55">
    <w:abstractNumId w:val="5"/>
  </w:num>
  <w:num w:numId="56">
    <w:abstractNumId w:val="2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153EE"/>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28F1"/>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7051"/>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4C4B"/>
    <w:rsid w:val="00260663"/>
    <w:rsid w:val="002657E9"/>
    <w:rsid w:val="0026665E"/>
    <w:rsid w:val="00271209"/>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041"/>
    <w:rsid w:val="003F67A4"/>
    <w:rsid w:val="00400786"/>
    <w:rsid w:val="00401FDA"/>
    <w:rsid w:val="004046F0"/>
    <w:rsid w:val="0040668F"/>
    <w:rsid w:val="00411343"/>
    <w:rsid w:val="00411EF7"/>
    <w:rsid w:val="00412677"/>
    <w:rsid w:val="00425160"/>
    <w:rsid w:val="004304E1"/>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6FF9"/>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D10"/>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235C"/>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4E7A"/>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57A20"/>
    <w:rsid w:val="00B60466"/>
    <w:rsid w:val="00B6548F"/>
    <w:rsid w:val="00B71A32"/>
    <w:rsid w:val="00B7502A"/>
    <w:rsid w:val="00B77305"/>
    <w:rsid w:val="00B774BD"/>
    <w:rsid w:val="00B82CC2"/>
    <w:rsid w:val="00B84A89"/>
    <w:rsid w:val="00B9256C"/>
    <w:rsid w:val="00B92BEF"/>
    <w:rsid w:val="00B94443"/>
    <w:rsid w:val="00B9689A"/>
    <w:rsid w:val="00B97056"/>
    <w:rsid w:val="00BA2080"/>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118"/>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34A1"/>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6396"/>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1311"/>
    <w:rsid w:val="00EB2173"/>
    <w:rsid w:val="00EB62E6"/>
    <w:rsid w:val="00EB695F"/>
    <w:rsid w:val="00EC01C4"/>
    <w:rsid w:val="00EC3A85"/>
    <w:rsid w:val="00EC4B89"/>
    <w:rsid w:val="00EC59A5"/>
    <w:rsid w:val="00EC6E15"/>
    <w:rsid w:val="00ED1B30"/>
    <w:rsid w:val="00ED5D03"/>
    <w:rsid w:val="00ED7886"/>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0B02"/>
    <w:rsid w:val="00F81FEC"/>
    <w:rsid w:val="00F927A1"/>
    <w:rsid w:val="00F92E4D"/>
    <w:rsid w:val="00F95D08"/>
    <w:rsid w:val="00FA0497"/>
    <w:rsid w:val="00FA23BD"/>
    <w:rsid w:val="00FA3764"/>
    <w:rsid w:val="00FA41C7"/>
    <w:rsid w:val="00FA4A79"/>
    <w:rsid w:val="00FA56ED"/>
    <w:rsid w:val="00FB05DD"/>
    <w:rsid w:val="00FB0F7C"/>
    <w:rsid w:val="00FB24EA"/>
    <w:rsid w:val="00FB3A7E"/>
    <w:rsid w:val="00FB5FA6"/>
    <w:rsid w:val="00FC0334"/>
    <w:rsid w:val="00FC1310"/>
    <w:rsid w:val="00FC2FF3"/>
    <w:rsid w:val="00FC3263"/>
    <w:rsid w:val="00FC51F9"/>
    <w:rsid w:val="00FC5B40"/>
    <w:rsid w:val="00FC5FF8"/>
    <w:rsid w:val="00FD271B"/>
    <w:rsid w:val="00FD3D7C"/>
    <w:rsid w:val="00FD4F8F"/>
    <w:rsid w:val="00FE0C16"/>
    <w:rsid w:val="00FE14B1"/>
    <w:rsid w:val="00FE40EC"/>
    <w:rsid w:val="00FE4D97"/>
    <w:rsid w:val="00FE5F90"/>
    <w:rsid w:val="00FF0070"/>
    <w:rsid w:val="00FF07C3"/>
    <w:rsid w:val="00FF4FF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4">
    <w:name w:val="heading 4"/>
    <w:basedOn w:val="Normal"/>
    <w:next w:val="Normal"/>
    <w:link w:val="Heading4Char"/>
    <w:uiPriority w:val="9"/>
    <w:semiHidden/>
    <w:unhideWhenUsed/>
    <w:qFormat/>
    <w:rsid w:val="007F6F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EB131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semiHidden/>
    <w:rsid w:val="007F6FF9"/>
    <w:rPr>
      <w:rFonts w:asciiTheme="majorHAnsi" w:eastAsiaTheme="majorEastAsia" w:hAnsiTheme="majorHAnsi" w:cstheme="majorBidi"/>
      <w:i/>
      <w:iCs/>
      <w:color w:val="2F5496" w:themeColor="accent1" w:themeShade="BF"/>
    </w:rPr>
  </w:style>
  <w:style w:type="paragraph" w:styleId="NoSpacing">
    <w:name w:val="No Spacing"/>
    <w:uiPriority w:val="1"/>
    <w:qFormat/>
    <w:rsid w:val="000153EE"/>
    <w:pPr>
      <w:overflowPunct w:val="0"/>
      <w:autoSpaceDE w:val="0"/>
      <w:autoSpaceDN w:val="0"/>
      <w:adjustRightInd w:val="0"/>
      <w:textAlignment w:val="baseline"/>
    </w:pPr>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071908">
      <w:bodyDiv w:val="1"/>
      <w:marLeft w:val="0"/>
      <w:marRight w:val="0"/>
      <w:marTop w:val="0"/>
      <w:marBottom w:val="0"/>
      <w:divBdr>
        <w:top w:val="none" w:sz="0" w:space="0" w:color="auto"/>
        <w:left w:val="none" w:sz="0" w:space="0" w:color="auto"/>
        <w:bottom w:val="none" w:sz="0" w:space="0" w:color="auto"/>
        <w:right w:val="none" w:sz="0" w:space="0" w:color="auto"/>
      </w:divBdr>
    </w:div>
    <w:div w:id="57628412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37906626">
      <w:bodyDiv w:val="1"/>
      <w:marLeft w:val="0"/>
      <w:marRight w:val="0"/>
      <w:marTop w:val="0"/>
      <w:marBottom w:val="0"/>
      <w:divBdr>
        <w:top w:val="none" w:sz="0" w:space="0" w:color="auto"/>
        <w:left w:val="none" w:sz="0" w:space="0" w:color="auto"/>
        <w:bottom w:val="none" w:sz="0" w:space="0" w:color="auto"/>
        <w:right w:val="none" w:sz="0" w:space="0" w:color="auto"/>
      </w:divBdr>
    </w:div>
    <w:div w:id="1639873689">
      <w:bodyDiv w:val="1"/>
      <w:marLeft w:val="0"/>
      <w:marRight w:val="0"/>
      <w:marTop w:val="0"/>
      <w:marBottom w:val="0"/>
      <w:divBdr>
        <w:top w:val="none" w:sz="0" w:space="0" w:color="auto"/>
        <w:left w:val="none" w:sz="0" w:space="0" w:color="auto"/>
        <w:bottom w:val="none" w:sz="0" w:space="0" w:color="auto"/>
        <w:right w:val="none" w:sz="0" w:space="0" w:color="auto"/>
      </w:divBdr>
    </w:div>
    <w:div w:id="18908759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CA3F27A6778434C8156F6C6B8779239" ma:contentTypeVersion="9" ma:contentTypeDescription="Create a new document." ma:contentTypeScope="" ma:versionID="32ce254b9a835d0fe88e8f77fed8c539">
  <xsd:schema xmlns:xsd="http://www.w3.org/2001/XMLSchema" xmlns:xs="http://www.w3.org/2001/XMLSchema" xmlns:p="http://schemas.microsoft.com/office/2006/metadata/properties" xmlns:ns3="648ebd7f-3b25-451b-b839-df542dfce5cd" targetNamespace="http://schemas.microsoft.com/office/2006/metadata/properties" ma:root="true" ma:fieldsID="4669ff0d5715ed495421f2951db17ab1" ns3:_="">
    <xsd:import namespace="648ebd7f-3b25-451b-b839-df542dfce5cd"/>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48ebd7f-3b25-451b-b839-df542dfce5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ystemTags" ma:index="11" nillable="true" ma:displayName="MediaServiceSystemTags" ma:hidden="true" ma:internalName="MediaServiceSystemTag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B4D0F7-251D-4B71-AB5B-3578037D8524}">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648ebd7f-3b25-451b-b839-df542dfce5cd"/>
    <ds:schemaRef ds:uri="http://www.w3.org/XML/1998/namespace"/>
  </ds:schemaRefs>
</ds:datastoreItem>
</file>

<file path=customXml/itemProps2.xml><?xml version="1.0" encoding="utf-8"?>
<ds:datastoreItem xmlns:ds="http://schemas.openxmlformats.org/officeDocument/2006/customXml" ds:itemID="{79AA09D6-38CF-4DD9-B1EE-BBFA3AD84F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48ebd7f-3b25-451b-b839-df542dfce5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011E54CA-5CE7-4619-A509-E9F6BB42E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5</Pages>
  <Words>1062</Words>
  <Characters>6058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Owens</cp:lastModifiedBy>
  <cp:revision>12</cp:revision>
  <cp:lastPrinted>2020-02-11T19:20:00Z</cp:lastPrinted>
  <dcterms:created xsi:type="dcterms:W3CDTF">2024-02-02T15:02:00Z</dcterms:created>
  <dcterms:modified xsi:type="dcterms:W3CDTF">2024-10-07T17:04:00Z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0x010100CCA3F27A6778434C8156F6C6B8779239</vt:lpwstr>
  </property>
</Properties>
</file>