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79698F">
      <w:pPr>
        <w:jc w:val="center"/>
        <w:rPr>
          <w:rFonts w:hint="eastAsia" w:ascii="Times New Roman" w:hAnsi="Times New Roman" w:cs="Times New Roman" w:eastAsiaTheme="minorEastAsia"/>
          <w:b/>
          <w:bCs/>
          <w:sz w:val="32"/>
          <w:szCs w:val="32"/>
          <w:lang w:val="en-US" w:eastAsia="zh-CN"/>
        </w:rPr>
      </w:pPr>
      <w:r>
        <w:rPr>
          <w:rFonts w:hint="default" w:ascii="Times New Roman" w:hAnsi="Times New Roman" w:cs="Times New Roman"/>
          <w:b/>
          <w:bCs/>
          <w:sz w:val="32"/>
          <w:szCs w:val="32"/>
        </w:rPr>
        <w:t xml:space="preserve">A </w:t>
      </w:r>
      <w:r>
        <w:rPr>
          <w:rFonts w:hint="eastAsia" w:ascii="Times New Roman" w:hAnsi="Times New Roman" w:cs="Times New Roman"/>
          <w:b/>
          <w:bCs/>
          <w:sz w:val="32"/>
          <w:szCs w:val="32"/>
          <w:lang w:val="en-US" w:eastAsia="zh-CN"/>
        </w:rPr>
        <w:t>L</w:t>
      </w:r>
      <w:r>
        <w:rPr>
          <w:rFonts w:hint="default" w:ascii="Times New Roman" w:hAnsi="Times New Roman" w:cs="Times New Roman"/>
          <w:b/>
          <w:bCs/>
          <w:sz w:val="32"/>
          <w:szCs w:val="32"/>
        </w:rPr>
        <w:t xml:space="preserve">iterature </w:t>
      </w:r>
      <w:r>
        <w:rPr>
          <w:rFonts w:hint="eastAsia" w:ascii="Times New Roman" w:hAnsi="Times New Roman" w:cs="Times New Roman"/>
          <w:b/>
          <w:bCs/>
          <w:sz w:val="32"/>
          <w:szCs w:val="32"/>
          <w:lang w:val="en-US" w:eastAsia="zh-CN"/>
        </w:rPr>
        <w:t>R</w:t>
      </w:r>
      <w:r>
        <w:rPr>
          <w:rFonts w:hint="default" w:ascii="Times New Roman" w:hAnsi="Times New Roman" w:cs="Times New Roman"/>
          <w:b/>
          <w:bCs/>
          <w:sz w:val="32"/>
          <w:szCs w:val="32"/>
        </w:rPr>
        <w:t xml:space="preserve">eview of Online Learning Effectiveness </w:t>
      </w:r>
      <w:r>
        <w:rPr>
          <w:rFonts w:hint="eastAsia" w:ascii="Times New Roman" w:hAnsi="Times New Roman" w:cs="Times New Roman"/>
          <w:b/>
          <w:bCs/>
          <w:sz w:val="32"/>
          <w:szCs w:val="32"/>
          <w:lang w:val="en-US" w:eastAsia="zh-CN"/>
        </w:rPr>
        <w:t xml:space="preserve"> </w:t>
      </w:r>
    </w:p>
    <w:p w14:paraId="2E0035B1">
      <w:pPr>
        <w:jc w:val="center"/>
        <w:rPr>
          <w:rFonts w:hint="default" w:ascii="Times New Roman" w:hAnsi="Times New Roman" w:cs="Times New Roman"/>
          <w:sz w:val="32"/>
          <w:szCs w:val="32"/>
        </w:rPr>
      </w:pPr>
    </w:p>
    <w:p w14:paraId="4FA3534B">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Introduction</w:t>
      </w:r>
    </w:p>
    <w:p w14:paraId="5F4B7FFE">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rapid expansion of online learning in higher education has transformed traditional educational practices, presenting both opportunities and challenges.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With the advancement of technology and the increasing accessibility of the internet, online learning has become an integral part of higher education. According to Allen and Seaman (2017), the number of students enrolled in online courses has steadily increased, with more than six million students taking at least one online course in the United States by 2015.</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This shift has been further accelerated by the COVID-19 pandemic, which has forced educational institutions around the world to adopt online learning as a primary mode of instruction. For example, the case study by Bao (2020) notes that Chinese universities had previously implemented online education reforms, but the sudden explosion of COVID-19 forced a massive shift to online education. The Peking University has transitioned 2,613 undergraduate courses and 1,824 graduate courses online to ensure the continuity of education for 44,700 students. In light of the fact that such a large number of learners are likely to be educated by means of online learning today, the effectiveness of this method of education is a concern for many. As a result, it is essential to conduct research on the effectiveness of online learning.</w:t>
      </w:r>
    </w:p>
    <w:p w14:paraId="05908FF1">
      <w:pPr>
        <w:jc w:val="both"/>
        <w:rPr>
          <w:rFonts w:hint="default" w:ascii="Times New Roman" w:hAnsi="Times New Roman" w:cs="Times New Roman"/>
          <w:b w:val="0"/>
          <w:bCs w:val="0"/>
          <w:sz w:val="24"/>
          <w:szCs w:val="24"/>
        </w:rPr>
      </w:pPr>
    </w:p>
    <w:p w14:paraId="619FB218">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There are many factors that contribute to the effectiveness of learning, such as student engagement, satisfaction, learning outcomes, learning efficiency, intercultural competence, etc. However, due to the limited space available in this paper, only learning outcomes and academic performance will be used as the criteria for reviewing the effectiveness of learning. The reason for choosing these two criteria is that in today's society, most academic institutions still use achievement and academic performance as the main assessment criteria.</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Since online learning can cover a wide range of age groups, including kindergarten, elementary school, junior high school, high school, college, and even adult education. Therefore, this literature review will limit the scope of online learning in higher education.</w:t>
      </w:r>
    </w:p>
    <w:p w14:paraId="15AAF844">
      <w:pPr>
        <w:jc w:val="both"/>
        <w:rPr>
          <w:rFonts w:hint="eastAsia" w:ascii="Times New Roman" w:hAnsi="Times New Roman" w:cs="Times New Roman" w:eastAsiaTheme="minorEastAsia"/>
          <w:b w:val="0"/>
          <w:bCs w:val="0"/>
          <w:sz w:val="24"/>
          <w:szCs w:val="24"/>
          <w:lang w:val="en-US" w:eastAsia="zh-CN"/>
        </w:rPr>
      </w:pPr>
    </w:p>
    <w:p w14:paraId="1384C96A">
      <w:pPr>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 xml:space="preserve">The term </w:t>
      </w:r>
      <w:r>
        <w:rPr>
          <w:rFonts w:hint="eastAsia" w:ascii="Times New Roman" w:hAnsi="Times New Roman" w:cs="Times New Roman"/>
          <w:b w:val="0"/>
          <w:bCs w:val="0"/>
          <w:sz w:val="24"/>
          <w:szCs w:val="24"/>
          <w:lang w:val="en-US" w:eastAsia="zh-CN"/>
        </w:rPr>
        <w:t>O</w:t>
      </w:r>
      <w:r>
        <w:rPr>
          <w:rFonts w:hint="default" w:ascii="Times New Roman" w:hAnsi="Times New Roman" w:cs="Times New Roman"/>
          <w:b w:val="0"/>
          <w:bCs w:val="0"/>
          <w:sz w:val="24"/>
          <w:szCs w:val="24"/>
        </w:rPr>
        <w:t xml:space="preserve">nline </w:t>
      </w:r>
      <w:r>
        <w:rPr>
          <w:rFonts w:hint="eastAsia" w:ascii="Times New Roman" w:hAnsi="Times New Roman" w:cs="Times New Roman"/>
          <w:b w:val="0"/>
          <w:bCs w:val="0"/>
          <w:sz w:val="24"/>
          <w:szCs w:val="24"/>
          <w:lang w:val="en-US" w:eastAsia="zh-CN"/>
        </w:rPr>
        <w:t>learning</w:t>
      </w:r>
      <w:r>
        <w:rPr>
          <w:rFonts w:hint="default" w:ascii="Times New Roman" w:hAnsi="Times New Roman" w:cs="Times New Roman"/>
          <w:b w:val="0"/>
          <w:bCs w:val="0"/>
          <w:sz w:val="24"/>
          <w:szCs w:val="24"/>
        </w:rPr>
        <w:t xml:space="preserve"> dates back as far as 1995 (Singh and Thurman, 2019). There is also a wide range of synonyms (e.g., E-learning, Distance Education, Web-based Learning, etc.) and definitions for this term.</w:t>
      </w:r>
      <w:r>
        <w:rPr>
          <w:rFonts w:hint="eastAsia" w:ascii="Times New Roman" w:hAnsi="Times New Roman" w:cs="Times New Roman"/>
          <w:b w:val="0"/>
          <w:bCs w:val="0"/>
          <w:sz w:val="24"/>
          <w:szCs w:val="24"/>
          <w:lang w:val="en-US" w:eastAsia="zh-CN"/>
        </w:rPr>
        <w:t xml:space="preserve"> Singh and Thurman (2019) found 46 definitions and 18 synonyms for online learning in their study. By analysing online learning in terms of technology, temporal elements (synchronous and asynchronous), and synonyms, they proposed three definitions of online learning. One of the definitions is:</w:t>
      </w:r>
    </w:p>
    <w:p w14:paraId="0C17C246">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“Online education is defined as education being delivered in an online environment through the use of the internet for teaching and learning. This includes online learning on the part of the students that is not dependent on their physical or virtual co-location. The teaching content is delivered online and the instructors develop teaching modules that enhance learning and interactivity in the synchronous or asynchronous environment.(Singh and Thurman, 2019, p302)”</w:t>
      </w:r>
    </w:p>
    <w:p w14:paraId="446B916C">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This literature review will adopt this definition as the definition and scope of this paper for online education. </w:t>
      </w:r>
    </w:p>
    <w:p w14:paraId="112DF42D">
      <w:pPr>
        <w:jc w:val="both"/>
        <w:rPr>
          <w:rFonts w:hint="eastAsia" w:ascii="Times New Roman" w:hAnsi="Times New Roman" w:cs="Times New Roman"/>
          <w:b w:val="0"/>
          <w:bCs w:val="0"/>
          <w:sz w:val="24"/>
          <w:szCs w:val="24"/>
          <w:lang w:val="en-US" w:eastAsia="zh-CN"/>
        </w:rPr>
      </w:pPr>
    </w:p>
    <w:p w14:paraId="6921F35E">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This literature review is developed to answer the following two research questions：</w:t>
      </w:r>
    </w:p>
    <w:p w14:paraId="04D0B7EF">
      <w:pPr>
        <w:numPr>
          <w:ilvl w:val="0"/>
          <w:numId w:val="1"/>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 does the effectiveness of online learning in higher education compare to traditional face-to-face learning in terms of student academic performance?</w:t>
      </w:r>
    </w:p>
    <w:p w14:paraId="4A258F75">
      <w:pPr>
        <w:numPr>
          <w:ilvl w:val="0"/>
          <w:numId w:val="1"/>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What challenges and limitations affect the effectiveness of online learning, and how can these be addressed to improve educational outcomes?</w:t>
      </w:r>
    </w:p>
    <w:p w14:paraId="166964A3">
      <w:pPr>
        <w:numPr>
          <w:ilvl w:val="0"/>
          <w:numId w:val="0"/>
        </w:numPr>
        <w:jc w:val="both"/>
        <w:rPr>
          <w:rFonts w:hint="default" w:ascii="Times New Roman" w:hAnsi="Times New Roman" w:cs="Times New Roman"/>
          <w:b w:val="0"/>
          <w:bCs w:val="0"/>
          <w:sz w:val="24"/>
          <w:szCs w:val="24"/>
          <w:lang w:val="en-US" w:eastAsia="zh-CN"/>
        </w:rPr>
      </w:pPr>
    </w:p>
    <w:p w14:paraId="6350375B">
      <w:pPr>
        <w:numPr>
          <w:ilvl w:val="0"/>
          <w:numId w:val="0"/>
        </w:numPr>
        <w:jc w:val="both"/>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Research methodology</w:t>
      </w:r>
    </w:p>
    <w:p w14:paraId="02696427">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Since the purpose of the literature review synthesis is to examine the effectiveness of online learning in higher education, three core search terms can be identified:'Higher education’, 'Online learning' and 'Effectiveness'. I searched the ERIC database for these three keywords simultaneously and chose to use only peer-reviewed literature, yielding 529 results. After excluding tests, questionnaires, speeches, meeting papers, information analyses and collected works, 395 results were obtained. By reviewing all article titles and abstracts, 167 articles were found to be directly related to the 'effectiveness' of online learning after eliminating irrelevant and repetitive results.</w:t>
      </w:r>
    </w:p>
    <w:p w14:paraId="5FE87413">
      <w:pPr>
        <w:numPr>
          <w:ilvl w:val="0"/>
          <w:numId w:val="0"/>
        </w:numPr>
        <w:jc w:val="both"/>
        <w:rPr>
          <w:rFonts w:hint="default" w:ascii="Times New Roman" w:hAnsi="Times New Roman" w:cs="Times New Roman"/>
          <w:b w:val="0"/>
          <w:bCs w:val="0"/>
          <w:sz w:val="24"/>
          <w:szCs w:val="24"/>
          <w:lang w:val="en-US" w:eastAsia="zh-CN"/>
        </w:rPr>
      </w:pPr>
    </w:p>
    <w:p w14:paraId="305009D5">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While perusing these results, I found many different aspects of the effectiveness of online education. Since the purpose of this study was to understand the effectiveness of online education for reaching learning standards and academic performance, articles with purposes such as student engagement, student satisfaction, self-efficacy, system building, framework design, cross-cultural competence, and research review for the purpose of the study were excluded. Based on this, I re-examined and screened the content for the validity of online learning for academic achievement and academic performance and finally selected 17 applicable articles. Based on the main findings and specific content of the articles, key themes will be developed and discussed.</w:t>
      </w:r>
    </w:p>
    <w:p w14:paraId="1E5B4177">
      <w:pPr>
        <w:numPr>
          <w:ilvl w:val="0"/>
          <w:numId w:val="0"/>
        </w:numPr>
        <w:jc w:val="both"/>
        <w:rPr>
          <w:rFonts w:hint="default" w:ascii="Times New Roman" w:hAnsi="Times New Roman" w:cs="Times New Roman"/>
          <w:b w:val="0"/>
          <w:bCs w:val="0"/>
          <w:sz w:val="24"/>
          <w:szCs w:val="24"/>
          <w:lang w:val="en-US" w:eastAsia="zh-CN"/>
        </w:rPr>
      </w:pPr>
    </w:p>
    <w:p w14:paraId="6D6BCF97">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Literature review</w:t>
      </w:r>
    </w:p>
    <w:p w14:paraId="613AEE94">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this section, the 17 selected articles will be summarized along with their main research aims and findings.</w:t>
      </w:r>
    </w:p>
    <w:p w14:paraId="0A4255B5">
      <w:pPr>
        <w:jc w:val="both"/>
        <w:rPr>
          <w:rFonts w:hint="default" w:ascii="Times New Roman" w:hAnsi="Times New Roman" w:cs="Times New Roman"/>
          <w:b w:val="0"/>
          <w:bCs w:val="0"/>
          <w:sz w:val="24"/>
          <w:szCs w:val="24"/>
          <w:lang w:val="en-US" w:eastAsia="zh-CN"/>
        </w:rPr>
      </w:pPr>
    </w:p>
    <w:p w14:paraId="411265AE">
      <w:pPr>
        <w:numPr>
          <w:ilvl w:val="0"/>
          <w:numId w:val="2"/>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Assessment of Student's Academic Achievements In Online And Face-To-Face Learning In Higher Education</w:t>
      </w:r>
      <w:r>
        <w:rPr>
          <w:rFonts w:hint="default" w:ascii="Times New Roman" w:hAnsi="Times New Roman" w:cs="Times New Roman"/>
          <w:b w:val="0"/>
          <w:bCs w:val="0"/>
          <w:i w:val="0"/>
          <w:iCs w:val="0"/>
          <w:sz w:val="24"/>
          <w:szCs w:val="24"/>
          <w:u w:val="none"/>
          <w:lang w:val="en-US" w:eastAsia="zh-CN"/>
        </w:rPr>
        <w:t>(Hafeez, Ajmal and Zulfiqar, 2022)</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The purpose of this article's study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to assess the impact of online and face-to-face learning on the academic achievement of Postgraduate students' academic achievements, especially in the context of the COVID-19 epidemic, which forced many educational institutions to move to online teaching. The study used statistical analyses to determine the difference in validity between the two modes of learning. It conducted t-tests on the academic performance of 40 postgraduate students in the two modes of learning through SPSS-20 software.</w:t>
      </w:r>
    </w:p>
    <w:p w14:paraId="12612C91">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main finding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that there was no significant difference in the academic performance of students in the two modes of learning. This implies that the difference between students' performance in online and face-to-face learning is not statistically significant. In addition, the study noted that students and educational institutions faced some technical and engagement challenges such as Learning Management System (LMS) overload, login problems and network issues during the sudden shift from face-to-face to online learning.</w:t>
      </w:r>
    </w:p>
    <w:p w14:paraId="1B6B3B71">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Research has shown that online learning can be an effective alternative to face-to-face learning. However, further research in different regions and educational contexts is needed to fully understand online learning's effectiveness and potential. This finding highlights online learning's flexibility and adaptability, especially in special situations such as epidemics.</w:t>
      </w:r>
    </w:p>
    <w:p w14:paraId="254E2DAE">
      <w:pPr>
        <w:numPr>
          <w:ilvl w:val="0"/>
          <w:numId w:val="0"/>
        </w:numPr>
        <w:jc w:val="both"/>
        <w:rPr>
          <w:rFonts w:hint="default" w:ascii="Times New Roman" w:hAnsi="Times New Roman" w:cs="Times New Roman"/>
          <w:b w:val="0"/>
          <w:bCs w:val="0"/>
          <w:sz w:val="24"/>
          <w:szCs w:val="24"/>
          <w:lang w:val="en-US" w:eastAsia="zh-CN"/>
        </w:rPr>
      </w:pPr>
    </w:p>
    <w:p w14:paraId="38EE5FC8">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Evaluating the Effectiveness of Distance Learning in Higher Education during the COVID-19 Global Crisis: UAE Educators' Perspectives</w:t>
      </w:r>
      <w:r>
        <w:rPr>
          <w:rFonts w:hint="default" w:ascii="Times New Roman" w:hAnsi="Times New Roman" w:eastAsia="宋体" w:cs="Times New Roman"/>
          <w:kern w:val="0"/>
          <w:sz w:val="24"/>
          <w:szCs w:val="24"/>
          <w:lang w:val="en-US" w:eastAsia="zh-CN" w:bidi="ar"/>
        </w:rPr>
        <w:t xml:space="preserve">(Gawanmeh </w:t>
      </w:r>
      <w:r>
        <w:rPr>
          <w:rFonts w:hint="default" w:ascii="Times New Roman" w:hAnsi="Times New Roman" w:eastAsia="宋体" w:cs="Times New Roman"/>
          <w:i/>
          <w:iCs/>
          <w:kern w:val="0"/>
          <w:sz w:val="24"/>
          <w:szCs w:val="24"/>
          <w:lang w:val="en-US" w:eastAsia="zh-CN" w:bidi="ar"/>
        </w:rPr>
        <w:t>et al.</w:t>
      </w:r>
      <w:r>
        <w:rPr>
          <w:rFonts w:hint="default" w:ascii="Times New Roman" w:hAnsi="Times New Roman" w:eastAsia="宋体" w:cs="Times New Roman"/>
          <w:kern w:val="0"/>
          <w:sz w:val="24"/>
          <w:szCs w:val="24"/>
          <w:lang w:val="en-US" w:eastAsia="zh-CN" w:bidi="ar"/>
        </w:rPr>
        <w:t>, 2021)</w:t>
      </w:r>
      <w:r>
        <w:rPr>
          <w:rFonts w:hint="default" w:ascii="Times New Roman" w:hAnsi="Times New Roman" w:cs="Times New Roman"/>
          <w:b w:val="0"/>
          <w:bCs w:val="0"/>
          <w:sz w:val="24"/>
          <w:szCs w:val="24"/>
          <w:lang w:val="en-US" w:eastAsia="zh-CN"/>
        </w:rPr>
        <w:t>: The purpose of th</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study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s to explore the impact of online education on student engagement, teaching effectiveness, and technology adoption from an educator's perspective, as well as the challenges that educators encountered during the transition to online education. Through a survey of educators at major universities in the UAE, the study focused on answering the following questions: educators' perceptions of the effectiveness of online education, the impact of online education on student engagement, and the challenges educators face in adapting to online education requirements.</w:t>
      </w:r>
    </w:p>
    <w:p w14:paraId="0A9C769F">
      <w:pPr>
        <w:numPr>
          <w:ilvl w:val="0"/>
          <w:numId w:val="0"/>
        </w:numPr>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findings included 1) most educators believed that while online learning was a good alternative to face-to-face instruction during the epidemic, there were differences in instructional modalities to promote student engagement; 2) lack of appropriate home infrastructure hindered the effective delivery of courses, especially those involving hands-on practice; and 3) educators questioned the integrity of online exams despite the availability of exam integrity tools and methodologies are available. The study concludes that the distance learning system was moderately successful during the epidemic. However, further improvements are needed in student participation, exam integrity, and technical support. This will ensure better use of distance education in the future.</w:t>
      </w:r>
    </w:p>
    <w:p w14:paraId="33390D7F">
      <w:pPr>
        <w:numPr>
          <w:ilvl w:val="0"/>
          <w:numId w:val="0"/>
        </w:numPr>
        <w:ind w:leftChars="0"/>
        <w:jc w:val="both"/>
        <w:rPr>
          <w:rFonts w:hint="default" w:ascii="Times New Roman" w:hAnsi="Times New Roman" w:cs="Times New Roman"/>
          <w:b w:val="0"/>
          <w:bCs w:val="0"/>
          <w:sz w:val="24"/>
          <w:szCs w:val="24"/>
          <w:lang w:val="en-US" w:eastAsia="zh-CN"/>
        </w:rPr>
      </w:pPr>
    </w:p>
    <w:p w14:paraId="406D1C13">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Development of Online Learning in Israeli Higher Education</w:t>
      </w:r>
      <w:r>
        <w:rPr>
          <w:rFonts w:hint="default" w:ascii="Times New Roman" w:hAnsi="Times New Roman" w:eastAsia="宋体" w:cs="Times New Roman"/>
          <w:kern w:val="0"/>
          <w:sz w:val="24"/>
          <w:szCs w:val="24"/>
          <w:lang w:val="en-US" w:eastAsia="zh-CN" w:bidi="ar"/>
        </w:rPr>
        <w:t>(Cohen and Davidovitch, 2020)</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sz w:val="24"/>
          <w:szCs w:val="24"/>
          <w:lang w:val="en-US" w:eastAsia="zh-CN"/>
        </w:rPr>
        <w:t>The purpose of th</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study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is to explore the development of online learning in Israeli higher education, with a particular focus on whether it stems from organised public policy or market demand. The study finds that online education development in Israel is driven more by market demands, constraints and opportunities than by organised policies set by the Ministry of Education or the Council for Higher Education. By surveying students' attitudes towards online education, the article found that students perceived online learning as advantageous in terms of time flexibility, time savings and cost. However, they also pointed out the limitations of online learning, such as reduced quality of instruction, diminished motivation, and difficulty concentrating. Overall, the study reveals that the development of online education in Israel is market-driven, and that a number of problems and shortcomings have arisen from the rapid and unorganised expansion. It triggers a discussion on the future development of higher education, emphasising the need to find a balance between virtual and real teaching and learning.</w:t>
      </w:r>
    </w:p>
    <w:p w14:paraId="222852D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071CC794">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Antecedents of The Perceived Usefulness of an Online Learning Platform During the Pandemic</w:t>
      </w:r>
      <w:r>
        <w:rPr>
          <w:rFonts w:hint="default" w:ascii="Times New Roman" w:hAnsi="Times New Roman" w:eastAsia="宋体" w:cs="Times New Roman"/>
          <w:kern w:val="0"/>
          <w:sz w:val="24"/>
          <w:szCs w:val="24"/>
          <w:lang w:val="en-US" w:eastAsia="zh-CN" w:bidi="ar"/>
        </w:rPr>
        <w:t>(Lamanauskas and Pribeanu, 2023)</w:t>
      </w:r>
      <w:r>
        <w:rPr>
          <w:rFonts w:hint="default" w:ascii="Times New Roman" w:hAnsi="Times New Roman" w:cs="Times New Roman"/>
          <w:b w:val="0"/>
          <w:bCs w:val="0"/>
          <w:sz w:val="24"/>
          <w:szCs w:val="24"/>
          <w:lang w:val="en-US" w:eastAsia="zh-CN"/>
        </w:rPr>
        <w:t>: This study aims to explore the antecedents of the perceived usefulness of an online learning platform during the pandemic, with the main focus on the impact of content adaptability and ease of access on perceived usefulness. The study was conducted with 132 students from three Lithuanian universities in the field of social sciences and the hypotheses were tested through quantitative analysis and structural equation modelling (SEM). The study found that ease of access was the most important contributor to perceived usefulness. This implies that students' perceived usefulness of an online learning platform was higher when it was easier for them to access and log into the platform. The study also found that content adaptability had a positive effect on perceived usefulness, suggesting that the presentation of online learning content and the adaptability of tasks play an important role in students' learning experience. The findings are consistent with research in other fields, suggesting that the effectiveness of online learning depends not only on the availability of technology, but also on the ease of content presentation and access. These findings provide practical guidance for improving the design and application of online learning platforms, which can help optimise online education and enhance student learning.</w:t>
      </w:r>
    </w:p>
    <w:p w14:paraId="0E52E19C">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D18EBD9">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Online teaching in Indian higher education institutions during the pandemic time</w:t>
      </w:r>
      <w:r>
        <w:rPr>
          <w:rFonts w:hint="default" w:ascii="Times New Roman" w:hAnsi="Times New Roman" w:eastAsia="宋体" w:cs="Times New Roman"/>
          <w:kern w:val="0"/>
          <w:sz w:val="24"/>
          <w:szCs w:val="24"/>
          <w:lang w:val="en-US" w:eastAsia="zh-CN" w:bidi="ar"/>
        </w:rPr>
        <w:t>(Singh and Meena, 2023)</w:t>
      </w:r>
      <w:r>
        <w:rPr>
          <w:rFonts w:hint="default" w:ascii="Times New Roman" w:hAnsi="Times New Roman" w:cs="Times New Roman"/>
          <w:b w:val="0"/>
          <w:bCs w:val="0"/>
          <w:sz w:val="24"/>
          <w:szCs w:val="24"/>
          <w:lang w:val="en-US" w:eastAsia="zh-CN"/>
        </w:rPr>
        <w:t>: This study analyses the gap between the expected and actual benefits of virtual classrooms in Indian higher education institutions during the pandemic. The study investigated teachers' and students’ expectations and real experiences of virtual classrooms by collecting data from 893 questionnaires. The study found that the expected benefits of virtual classrooms were higher than the actual benefits for both teachers and students. The main challenges included poor internet connectivity, lack of a professional learning environment, inadequate instructional materials and lack of personal computers. The study also showed that internet connectivity was the main problem faced by teachers, while students were more likely to suffer from the lack of a professional learning environment. Further analyses showed that challenges in the virtual classroom played a significant moderating role between expected and actual benefits, i.e. the more challenges there were, the greater the gap between actual and expected benefits. The study suggests that policy makers in higher education should focus on solving the problems faced by virtual classrooms in order to improve their effectiveness, especially in the post-epidemic era, when educational institutions need to pay sustained attention to flexibility, technology integration, and student engagement in order to build a resilient and inclusive learning environment.</w:t>
      </w:r>
    </w:p>
    <w:p w14:paraId="2F14AC5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4A89330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Redesigning Face-to-face into Online Learning for Speaking Competence during COVID-19: ESP for Higher Education in Indonesia</w:t>
      </w:r>
      <w:r>
        <w:rPr>
          <w:rFonts w:hint="default" w:ascii="Times New Roman" w:hAnsi="Times New Roman" w:cs="Times New Roman"/>
          <w:b w:val="0"/>
          <w:bCs w:val="0"/>
          <w:sz w:val="24"/>
          <w:szCs w:val="24"/>
          <w:lang w:val="en-US" w:eastAsia="zh-CN"/>
        </w:rPr>
        <w:t>(Kusumawati, 2020)</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The purpose of this study is to explore how face-to-face teaching can be redesigned into online learning during COVID-19 to improve students' speaking competence in English for Specific Purposes (ESP) courses in Indonesian higher education. The study used Gagne's 'Nine Teaching Events' to adapt teaching strategies, implement speaking teaching in an online format, and compare the effectiveness of online and face-to-face learning. By comparing the learning outcomes of two cohorts of students in 2019 and 2020, it was found that online learning was as effective as face-to-face learning in improving students' speaking competence. The results of the study showed that online courses can achieve similar learning outcomes as traditional classrooms through well-designed teaching activities, such as a combination of synchronous and asynchronous teaching, timely feedback, and staged speaking practice. In addition, students had a positive attitude towards the new online learning environment. They believed that online teaching was effective in terms of learning materials, guidance, interaction, and self-confidence. The study concluded that online learning could be an effective alternative to traditional teaching during the pandemic. It also provided directions for future research on how to evaluate the effectiveness of online speaking teaching and the obstacles faced by students in online learning.</w:t>
      </w:r>
    </w:p>
    <w:p w14:paraId="37C41CD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76981DBA">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Online versus face-to-face learning in introductory university physics following COVID-19</w:t>
      </w:r>
      <w:r>
        <w:rPr>
          <w:rFonts w:hint="default" w:ascii="Times New Roman" w:hAnsi="Times New Roman" w:cs="Times New Roman"/>
          <w:b w:val="0"/>
          <w:bCs w:val="0"/>
          <w:sz w:val="24"/>
          <w:szCs w:val="24"/>
          <w:lang w:val="en-US" w:eastAsia="zh-CN"/>
        </w:rPr>
        <w:t>(Fouad et al., 2021)</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This article examines a comparison of student performance in online and face-to-face courses, and a questionnaire was administered to understand students' preferences for the two modes of learning and experiences. The results of the study showed that online students performed as well as their face-to-face counterparts, or even slightly better: online students outperformed their face-to-face counterparts by 4.2 per cent, and with the same instructor, this improvement was 6.1 per cent. However, despite the fact that online learning did not outperform face-to-face teaching, about 72 per cent of students preferred face-to-face learning, believing that face-to-face teaching helped them understand physics better. The main challenges of online learning include students‘ difficulty in concentrating, technical problems and online communication barriers. In contrast, those of face-to-face learning include commuting time and students’ reluctance to ask questions in class. The study suggests that future education models could consider a combination of online and face-to-face learning in order to capitalise on the strengths of both and provide students with a more flexible and effective learning experience.</w:t>
      </w:r>
    </w:p>
    <w:p w14:paraId="137B4F9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1E1EB423">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Impacts on Students' Academic Performance Due to Emergency Transition to Remote Teaching during the COVID-19 Pandemic: A Financial Engineering Course Case Study</w:t>
      </w:r>
      <w:r>
        <w:rPr>
          <w:rFonts w:hint="default" w:ascii="Times New Roman" w:hAnsi="Times New Roman" w:cs="Times New Roman"/>
          <w:b w:val="0"/>
          <w:bCs w:val="0"/>
          <w:sz w:val="24"/>
          <w:szCs w:val="24"/>
          <w:lang w:val="en-US" w:eastAsia="zh-CN"/>
        </w:rPr>
        <w:t>(Nazempour, Darabi and Nelson, 2022): The main purpose of this study is to explore the impact of the transition from traditional face-to-face teaching to online teaching on students' academic performance during the pandemic through statistical analyses. The study population consisted of approximately 500 college students who took financial engineering courses during four semesters of traditional classroom instruction prior to the outbreak, transitional hybrid instruction during the outbreak, fully asynchronous online instruction, and synchronous online instruction. To assess academic performance, the study proposes a new ranking percentage metric that avoids bias introduced by absolute differences in scores across instructional modes. The results show that emergency distance learning during the epidemic negatively impacted moderate to excellent students with a cumulative GPA greater than 2.90, while it had a non-significant impact on students with a cumulative GPA below 2.90. The findings of the study emphasise the importance of developing flexible teaching strategies that take into account the needs of different groups of students when formulating educational policies for similar emergency situations in the future.</w:t>
      </w:r>
    </w:p>
    <w:p w14:paraId="6EFA229D">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458B6C8E">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effectiveness of online teaching and learning tools</w:t>
      </w:r>
      <w:r>
        <w:rPr>
          <w:rFonts w:hint="default" w:ascii="Times New Roman" w:hAnsi="Times New Roman" w:cs="Times New Roman"/>
          <w:b w:val="0"/>
          <w:bCs w:val="0"/>
          <w:sz w:val="24"/>
          <w:szCs w:val="24"/>
          <w:lang w:val="en-US" w:eastAsia="zh-CN"/>
        </w:rPr>
        <w:t>(Abdel-Rahim, 2021)</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article examines the effectiveness of online teaching and learning tools in American universities, particularly in upper-level accounting courses. Using an anonymous survey of students, the study analysed students' perceptions of various online tools and the effectiveness of these tools in helping them acquire knowledge. The study found that students generally perceived some non-graded interactive tools (e.g., virtual office hours and email exchanges) to be very helpful for learning, while graded interactive tools (e.g., discussion boards and group cases) were perceived to be relatively less effective. Instead, students were more likely to find practice quizzes and posted practice problems more helpful for learning. The article suggests that this result may be related to the nature of accounting courses, which require mastery of a lot of terminology and numerical problem solving. Therefore, students rely more on practice and problem solving to understand course content. The study provides recommendations for future online course design, highlighting the importance of selecting appropriate online teaching tools based on the specific content of the course.</w:t>
      </w:r>
    </w:p>
    <w:p w14:paraId="32FE30E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1BED679">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Returning to the Academic Campus as the End of the COVID-19 Pandemic: Findings from a Student Survey in Israel</w:t>
      </w:r>
      <w:r>
        <w:rPr>
          <w:rFonts w:hint="default" w:ascii="Times New Roman" w:hAnsi="Times New Roman" w:cs="Times New Roman"/>
          <w:b w:val="0"/>
          <w:bCs w:val="0"/>
          <w:sz w:val="24"/>
          <w:szCs w:val="24"/>
          <w:lang w:val="en-US" w:eastAsia="zh-CN"/>
        </w:rPr>
        <w:t>(Nitza Davidovitch and Wadmany, 2023): focuses on students' perceptions of campus-based learning after experiencing multiple modes of online learning during the epidemic. The study shows that the majority of students (about 60 per cent) preferred to continue online learning, with only a minority of students expressing a desire to return to full face-to-face campus learning. Nonetheless, students generally felt that studying on campus provided them with more opportunities for social interaction, including with peers and faculty. This plays a crucial role in emotional and social learning.</w:t>
      </w:r>
    </w:p>
    <w:p w14:paraId="22D763F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revealed that while online learning provided convenience during the epidemic, students perceived face-to-face instruction as having certain advantages in terms of pedagogical organisation, course clarity, and instructor availability. In addition, students mentioned that the flexibility and resource-saving advantages of online learning (e.g. reduced travelling time and costs) made it more attractive in some cases, especially for theoretical courses. In contrast, practical courses and workshops are more suitable for on-campus delivery.</w:t>
      </w:r>
    </w:p>
    <w:p w14:paraId="330E645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Overall, the study suggests that future higher education models should combine the advantages of online and offline learning and adopt a blended mode of teaching and learning in order to meet students' diverse needs and balance academic and social development.</w:t>
      </w:r>
    </w:p>
    <w:p w14:paraId="66DB5D3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9C8A77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Teaching experience on online learning in higher education: generational analysis</w:t>
      </w:r>
      <w:r>
        <w:rPr>
          <w:rFonts w:hint="default" w:ascii="Times New Roman" w:hAnsi="Times New Roman" w:cs="Times New Roman"/>
          <w:b w:val="0"/>
          <w:bCs w:val="0"/>
          <w:sz w:val="24"/>
          <w:szCs w:val="24"/>
          <w:lang w:val="en-US" w:eastAsia="zh-CN"/>
        </w:rPr>
        <w:t>(Kesumaningsari, Pudjibudojo and Louk, 2022)</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 aim of the research is to explore the teaching experience of teaching staff in online learning in higher education through generational analysis. The focus of the study was to analyse the perceptions of teaching staff and their affective responses to online learning across different generations (Baby Boomers, Generation X and Generation Y). The study used a mixed-methods approach that included a quantitative survey and qualitative analysis.</w:t>
      </w:r>
    </w:p>
    <w:p w14:paraId="301BAB0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results of the study indicated that there were no significant differences in online learning perceptions among teaching staff from different generations, with most teachers perceiving online learning as flexible and convenient. However, Baby Boomer teachers were less prepared for online learning and less technologically competent. They expressed concerns about the effectiveness of online instruction. They felt more pressure from technology and uncertainty about teaching effectiveness. In contrast, Generation X and Generation Y teachers were more comfortable with technology and saw online learning as facilitating home-work balance, especially the asynchronous mode of instruction which helped students learn at their own pace.</w:t>
      </w:r>
    </w:p>
    <w:p w14:paraId="436B964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Emotionally, Generation Y teachers showed more positive emotions, such as motivation and innovation, while Baby Boomer teachers showed more worry and stress in their online teaching. Overall, the study suggests that colleges and universities need to provide appropriate technical training and support to teaching staff from different generations when promoting online learning. This will improve overall online teaching effectiveness and student engagement.</w:t>
      </w:r>
    </w:p>
    <w:p w14:paraId="70B3F04E">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175095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learning: a multi-complementary approach research with responses from the COVID-19 pandemic period</w:t>
      </w:r>
      <w:r>
        <w:rPr>
          <w:rFonts w:hint="default" w:ascii="Times New Roman" w:hAnsi="Times New Roman" w:cs="Times New Roman"/>
          <w:b w:val="0"/>
          <w:bCs w:val="0"/>
          <w:sz w:val="24"/>
          <w:szCs w:val="24"/>
          <w:lang w:val="en-US" w:eastAsia="zh-CN"/>
        </w:rPr>
        <w:t>(Batdı, Doğan and Talan, 2021): The study in this article used a multi-complementary approach, including meta analysis and meta-thematic analysis, combining quantitative and qualitative data to comprehensively assess the impact of online learning on students' academic achievement. By analysing existing literature and empirical studies, the study found that online learning offers significant advantages in terms of flexibility, accessibility and cost-effectiveness, especially during epidemics, and that it provides an effective emergency response for educational institutions across the globe.</w:t>
      </w:r>
    </w:p>
    <w:p w14:paraId="28A8033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online learning had moderate positive effects on students' academic achievement. In addition, online learning effects varied by educational stage, subject and length of intervention. The effects of online learning were particularly significant in certain subject areas (e.g., mathematics and science). By combining multiple research methods, the study reveals the effectiveness of online learning in responding to educational disruptions during the epidemic. It makes recommendations for improving online education in the future, including improving infrastructure and increasing the technological literacy of teachers and students.</w:t>
      </w:r>
    </w:p>
    <w:p w14:paraId="5650E69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7B309D1B">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Learning during the COVID -19 Pandemic in Mizoram</w:t>
      </w:r>
      <w:r>
        <w:rPr>
          <w:rFonts w:hint="default" w:ascii="Times New Roman" w:hAnsi="Times New Roman" w:cs="Times New Roman"/>
          <w:b w:val="0"/>
          <w:bCs w:val="0"/>
          <w:sz w:val="24"/>
          <w:szCs w:val="24"/>
          <w:lang w:val="en-US" w:eastAsia="zh-CN"/>
        </w:rPr>
        <w:t>(Lalduhawma, Thangmawia and Hussain, 2022): The purpose of this study is to evaluate the effectiveness of online learning, especially in secondary and higher secondary mathematics education during the New Crown Epidemic in Mizoram. Through a survey of 356 students and 60 teachers, the study analysed the challenges, advantages and preferences of students and teachers during online learning.</w:t>
      </w:r>
    </w:p>
    <w:p w14:paraId="1082248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while online learning offers flexibility and convenience, its effectiveness is hampered by technical problems such as poor internet connectivity, data traffic limitations, and slow data speeds. In particular, online teaching was most difficult in the subject of Mathematics, where most students and teachers found it difficult to understand the Mathematics curriculum through online classes. In addition, students preferred to use smartphones to participate in online courses, while teachers preferred to use laptops.</w:t>
      </w:r>
    </w:p>
    <w:p w14:paraId="155C600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noted that despite the advantages of online learning, such as improving technological skills and promoting self-discipline, most students and teachers still believe that face-to-face instruction is better, especially in terms of interaction and concentration. The study suggests that the future of online education requires enhanced technological infrastructure, especially in terms of increasing the speed and coverage of internet connections. This will improve online learning effectiveness.</w:t>
      </w:r>
    </w:p>
    <w:p w14:paraId="738ADC14">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3B86964B">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The Pattern of Hybrid Learning to Maintain Learning Effectiveness at the Higher Education Level Post-COVID-19 Pandemic</w:t>
      </w:r>
      <w:r>
        <w:rPr>
          <w:rFonts w:hint="default" w:ascii="Times New Roman" w:hAnsi="Times New Roman" w:cs="Times New Roman"/>
          <w:b w:val="0"/>
          <w:bCs w:val="0"/>
          <w:sz w:val="24"/>
          <w:szCs w:val="24"/>
          <w:lang w:val="en-US" w:eastAsia="zh-CN"/>
        </w:rPr>
        <w:t>(Sukiman, Haningsih and Rohmi, 2021): The research in this article aims to explore how a blended learning model can be used to maintain learning effectiveness at the New Crown Epidemic in the Post-COVID-19 Pandemic. Using a mixed research methodology that combines quantitative and qualitative data, the article analyses and compares the effectiveness of online learning in undergraduate, master's and doctoral programmes in Islamic religious education. The study found that although online learning was effective during the epidemic, particularly at the doctoral level, undergraduate and master's students preferred a return to face-to-face teaching. The majority of students perceived the advantages of face-to-face teaching in terms of promoting understanding, interaction and socialisation.</w:t>
      </w:r>
    </w:p>
    <w:p w14:paraId="3A183D9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also suggests that future learning models should combine the advantages of both online and offline learning by adopting a hybrid learning model. This can effectively meet students' needs at different levels. For undergraduate programmes, it is recommended that 60%-70% of the learning should be offline and 30%-40% online; for master's programmes, it is recommended that 40%-50% of the learning should be offline and 50%-60% online; and for doctoral programmes, the proportion of online learning can be as high as 80%.</w:t>
      </w:r>
    </w:p>
    <w:p w14:paraId="29BEF11A">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6381B01D">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Understanding how demographic factors influence faculty member's perceptions of online learning success: a case study in Thai private higher education</w:t>
      </w:r>
      <w:r>
        <w:rPr>
          <w:rFonts w:hint="default" w:ascii="Times New Roman" w:hAnsi="Times New Roman" w:cs="Times New Roman"/>
          <w:b w:val="0"/>
          <w:bCs w:val="0"/>
          <w:sz w:val="24"/>
          <w:szCs w:val="24"/>
          <w:lang w:val="en-US" w:eastAsia="zh-CN"/>
        </w:rPr>
        <w:t>(Sattayaraksa et al., 2023): This study examines the impact of demographic factors such as gender, position, and years of experience on faculty members' perceptions of online learning success in Thai private higher education. The study found that teachers' gender, position, and work experience all had varying degrees of influence on their perceptions of online learning. Specifically, gender had a significant effect on learning design and student readiness. In contrast, position had an effect on course management, student readiness, and technological innovation. In addition, work experience significantly influenced faculty perceptions of course management, institutional support, learning design, and technological innovation. The findings suggest that faculty members' job roles and experiences determine their attitudes and behaviours towards online learning. Therefore, these factors need to be fully considered when designing and implementing online learning programs.</w:t>
      </w:r>
    </w:p>
    <w:p w14:paraId="1F016B9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empirical findings of the study inform higher education institutions in the epidemic and future development of online learning. The study suggests that to improve online learning effectiveness, schools should provide targeted support and training for teachers from different backgrounds. It should also encourage knowledge sharing and collaboration, and develop personalised support strategies and development plans, especially for teachers with different teaching experiences.</w:t>
      </w:r>
    </w:p>
    <w:p w14:paraId="6811921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8CF388A">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Higher Education during the Pandemic: The Predictive Factors of Learning Effectiveness in COVID-19 Online Learning</w:t>
      </w:r>
      <w:r>
        <w:rPr>
          <w:rFonts w:hint="default" w:ascii="Times New Roman" w:hAnsi="Times New Roman" w:cs="Times New Roman"/>
          <w:b w:val="0"/>
          <w:bCs w:val="0"/>
          <w:sz w:val="24"/>
          <w:szCs w:val="24"/>
          <w:lang w:val="en-US" w:eastAsia="zh-CN"/>
        </w:rPr>
        <w:t>(Tsang et al., 2021)</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article explores how effective online learning has been during the New Crown Epidemic. It examines the key factors that predict online learning success. The study assessed the impact of these factors on student learning outcomes, learning initiative, and satisfaction. It analysed student-to-student interactions, teacher-student interactions, course design, and school support.</w:t>
      </w:r>
    </w:p>
    <w:p w14:paraId="09F63FB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found that student-to-student interactions and course design were significant factors influencing students‘ perceived learning outcomes, while instructor-student interactions significantly influenced students’ learning initiatives. Although school support is critical to online learning success, it did not significantly affect students' learning outcomes and initiative. In addition, the study showed that both students' perception of learning outcomes and initiative were key factors in learning satisfaction, with perceived learning outcomes having a more significant impact on satisfaction. To improve online learning effectiveness, the course design should promote interaction among students and the instructor's role should not be ignored. Teachers should stimulate students' interest and initiative through effective interaction.</w:t>
      </w:r>
    </w:p>
    <w:p w14:paraId="1834874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6CB4AC92">
      <w:pPr>
        <w:keepNext w:val="0"/>
        <w:keepLines w:val="0"/>
        <w:widowControl/>
        <w:numPr>
          <w:ilvl w:val="0"/>
          <w:numId w:val="2"/>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i/>
          <w:iCs/>
          <w:sz w:val="24"/>
          <w:szCs w:val="24"/>
          <w:lang w:val="en-US" w:eastAsia="zh-CN"/>
        </w:rPr>
        <w:t>Effectiveness of online teaching and learning in Indian universities during the COVID-19 pandemic</w:t>
      </w:r>
      <w:r>
        <w:rPr>
          <w:rFonts w:hint="default" w:ascii="Times New Roman" w:hAnsi="Times New Roman" w:cs="Times New Roman"/>
          <w:b w:val="0"/>
          <w:bCs w:val="0"/>
          <w:sz w:val="24"/>
          <w:szCs w:val="24"/>
          <w:lang w:val="en-US" w:eastAsia="zh-CN"/>
        </w:rPr>
        <w:t>(Khan and Viswanathan, 2023): This article explores the effectiveness of online teaching and learning in Indian universities during the New Crown Epidemic and focuses on analysing several Key Factors. Engineering and management students from three central universities in India were selected for the study. The impact of students' adaptability, affordability, network bandwidth, comprehension, and faculty-student interactions in online learning on learning outcomes was investigated through a questionnaire.</w:t>
      </w:r>
    </w:p>
    <w:p w14:paraId="1A2B19B1">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was found that adaptability, affordability, bandwidth, comprehension and interactivity all had a positive impact on online learning effectiveness. Of these, comprehension and interactivity had the most significant impact on learning effectiveness. The study showed that while students could adapt to online instruction, network bandwidth was a major barrier, especially in rural and remote areas of India. In addition, students perceived online learning costs to be high, especially the burden of purchasing equipment and paying for high-speed Internet.</w:t>
      </w:r>
    </w:p>
    <w:p w14:paraId="1769A449">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study suggests that the Indian government and educational institutions should provide better technical support and financial assistance to improve students' online learning experience, especially by offering subsidies or technical equipment support for economically disadvantaged students. In addition, when teaching online, teachers should help students better understand and master the course content by increasing interactivity and providing recorded lessons.</w:t>
      </w:r>
    </w:p>
    <w:p w14:paraId="1781394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10D8BFF6">
      <w:pPr>
        <w:jc w:val="both"/>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Discussion</w:t>
      </w:r>
    </w:p>
    <w:p w14:paraId="65A9EEE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studies selected for this review point out different aspects and various factors that affect online learning effectiveness in the context of the epidemic. Although these studies vary in terms of purpose and methodology, they all help us to gain a deeper understanding of the topic of the effectiveness of online learning. In these studies, the factors affecting online learning effectiveness can be categorised into two broad groups, </w:t>
      </w:r>
      <w:r>
        <w:rPr>
          <w:rFonts w:hint="eastAsia" w:ascii="Times New Roman" w:hAnsi="Times New Roman" w:cs="Times New Roman"/>
          <w:b w:val="0"/>
          <w:bCs w:val="0"/>
          <w:sz w:val="24"/>
          <w:szCs w:val="24"/>
          <w:lang w:val="en-US" w:eastAsia="zh-CN"/>
        </w:rPr>
        <w:t>they are</w:t>
      </w:r>
      <w:r>
        <w:rPr>
          <w:rFonts w:hint="default" w:ascii="Times New Roman" w:hAnsi="Times New Roman" w:cs="Times New Roman"/>
          <w:b w:val="0"/>
          <w:bCs w:val="0"/>
          <w:sz w:val="24"/>
          <w:szCs w:val="24"/>
          <w:lang w:val="en-US" w:eastAsia="zh-CN"/>
        </w:rPr>
        <w:t xml:space="preserve"> macro and micro factors. Macro represents influences from the national and societal levels, and micro represents influences from the family and the individual. Most of the studies on online education effectiveness deal with these two dimensions, so it will be helpful to discuss online learning effectiveness in terms of these two dimensions.</w:t>
      </w:r>
    </w:p>
    <w:p w14:paraId="6EA4A48D">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56CEDEDF">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Macro Factors</w:t>
      </w:r>
    </w:p>
    <w:p w14:paraId="06AE8423">
      <w:pPr>
        <w:keepNext w:val="0"/>
        <w:keepLines w:val="0"/>
        <w:widowControl/>
        <w:numPr>
          <w:ilvl w:val="0"/>
          <w:numId w:val="3"/>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National policies</w:t>
      </w:r>
    </w:p>
    <w:p w14:paraId="6326EF15">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Cohen and Davidovitch's (2020) study demonstrates that the development of online teaching in Israel has its origins in the unregulated higher education market and customer demand. In 2015, Israel proposed the "Digital Israel" national initiative, which aims to reduce social disparities by providing quality education through distance learning technology. However, as a public policy imposed by the government on the higher education sector, the education sector has not been able to implement this policy well due to the interests of all parties, and even delayed its implementation, resulting in many problems and contradictions within the higher education system, affecting the effectiveness of the popularization and implementation of online education in Israel.</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However, if the government is able to provide adequate support within the context of the demands placed on educational institutions. Then it may be a different outcome, whereby educational institutions are able to ride out the difficulties and succeed in reaching the effectiveness of online teaching and learning with the support of the government, including solving the problems of internet connectivity and technology, as well as the problems of teacher training (Gawanmeh et al., 2021). </w:t>
      </w:r>
    </w:p>
    <w:p w14:paraId="5CF91F30">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EB84E34">
      <w:pPr>
        <w:keepNext w:val="0"/>
        <w:keepLines w:val="0"/>
        <w:widowControl/>
        <w:numPr>
          <w:ilvl w:val="0"/>
          <w:numId w:val="3"/>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IT tool support </w:t>
      </w:r>
    </w:p>
    <w:p w14:paraId="29266719">
      <w:pPr>
        <w:keepNext w:val="0"/>
        <w:keepLines w:val="0"/>
        <w:widowControl/>
        <w:numPr>
          <w:ilvl w:val="0"/>
          <w:numId w:val="0"/>
        </w:numPr>
        <w:suppressLineNumbers w:val="0"/>
        <w:jc w:val="both"/>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Apart from national policies, the overall social environment and IT support is also an important factor that affects the outcomes of online learning.Singh and Meena's (2023) study shows that internet connectivity is a major challenge for teachers, which tends to affect the performance of online classroom delivery due to broadband instability, thus affecting the effectiveness of delivery.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While lack of online tools, basic network equipment and management also affects online education effectiveness (Hafeez, Ajmal and Zulfiqar, 2022). Not everyone has access to electronic devices, the internet and Wi-Fi due to uneven development globally and even in each social region, which may exacerbate educational resources inequity (Gawanmeh et al., 2021). Unaffordability due to insufficient funding is almost a common factor affecting online education effectiveness, and it is difficult for the government to ensure that adequate digital modes, Internet access, and Wi-Fi connectivity are available for every student (Gawanmeh et al., 2021). Therefore, ensuring that every student and staff member has access to the required online resources and preparing students for online education should be the focus of the management of every educational institution.</w:t>
      </w:r>
      <w:r>
        <w:rPr>
          <w:rFonts w:hint="eastAsia" w:ascii="Times New Roman" w:hAnsi="Times New Roman" w:cs="Times New Roman"/>
          <w:b w:val="0"/>
          <w:bCs w:val="0"/>
          <w:sz w:val="24"/>
          <w:szCs w:val="24"/>
          <w:lang w:val="en-US" w:eastAsia="zh-CN"/>
        </w:rPr>
        <w:t xml:space="preserve"> In addition, Lamanauskas and Pribeanu's study showed that ease of access and ease of use of online tools also affects the effectiveness of online learning. This study suggests that for distance learning, ease of access maximises perceived usefulness, which is a major determinant of online learning effectiveness (Lamanauskas and Pribeanu, 2023). This claim is supported by Abdel-Rahim's (2021) study, where the authors illustrate that the importance and effectiveness of online instructional tools for the online learning process is critical and effective. By analysing the perceived effectiveness of different online tools by students, it is illustrated that the convenience and effectiveness of the tools also determine the effectiveness of online delivery (Abdel-Rahim, 2021).</w:t>
      </w:r>
    </w:p>
    <w:p w14:paraId="36CF10C9">
      <w:pPr>
        <w:keepNext w:val="0"/>
        <w:keepLines w:val="0"/>
        <w:widowControl/>
        <w:numPr>
          <w:ilvl w:val="0"/>
          <w:numId w:val="0"/>
        </w:numPr>
        <w:suppressLineNumbers w:val="0"/>
        <w:jc w:val="both"/>
        <w:rPr>
          <w:rFonts w:hint="eastAsia" w:ascii="Times New Roman" w:hAnsi="Times New Roman" w:cs="Times New Roman"/>
          <w:b w:val="0"/>
          <w:bCs w:val="0"/>
          <w:sz w:val="24"/>
          <w:szCs w:val="24"/>
          <w:lang w:val="en-US" w:eastAsia="zh-CN"/>
        </w:rPr>
      </w:pPr>
    </w:p>
    <w:p w14:paraId="241B612F">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Micro Factors</w:t>
      </w:r>
    </w:p>
    <w:p w14:paraId="701D8C21">
      <w:pPr>
        <w:keepNext w:val="0"/>
        <w:keepLines w:val="0"/>
        <w:widowControl/>
        <w:numPr>
          <w:ilvl w:val="0"/>
          <w:numId w:val="4"/>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Learning environment </w:t>
      </w:r>
    </w:p>
    <w:p w14:paraId="27D403D6">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Different studies have shown that online learning effectiveness is sometimes also affected by the learning environment, and access to the Internet in one's home is one of the most significant reasons. In Gawanmeh's (2021) study, almost all of the participants indicated that there was a lack of proper infrastructure at home, a situation that can hinder the delivery of the course, especially in courses that include hands-on components (Gawanmeh et al., 2021).Singh and Meena's (2023) study showed that when implementing online education, the students face the main challenge is the lack of a professional environment at home and even infrastructure such as textbooks, computers and the internet. It is worth noting that Singh and Meena's study states that a significant proportion of students who were repulsed by online classes when they first began to lock down, fell behind other students using online education due to their insistence on maintaining traditional learning styles, and eventually had to give up their conformity in favour of online education (Singh and Meena, 2023). From this finding, it can be seen that online learning effectiveness is not only affected by the physical environment, but may also be influenced by the cultural environment and values.</w:t>
      </w:r>
    </w:p>
    <w:p w14:paraId="25E29EE8">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0FD14FD">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Students and qualifications</w:t>
      </w:r>
    </w:p>
    <w:p w14:paraId="2420B603">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has been suggested that students' preference for online course content design and delivery method and style may affect online learning effectiveness (Lamanauskas and Pribeanu, 2023). On the other hand, students' academic qualifications have also emerged as one of the questionable factors affecting the effectiveness of online learning. A study by Sukiman, Haningsih and Rohmi (2021) found that although effectiveness differed between Bachelor's and PhDs, and between Master's and PhDs, the influencing factor that led to the differences could be the maturity and readiness of the students rather than academic qualifications per se. One explanation for this is that students with doctoral degrees are typically more mature and motivated towards self-directed learning than students with bachelor's and master's degrees (Sukiman, Haningsih and Rohmi, 2021). This view of the influence of non-academic factors is further confirmed by the study of Sattayaraksa et al. (2023). Their study suggests that gender, position, and year of experience may influence online learning effectiveness, but does not include education as a factor (Sattayaraksa et al., 2023).</w:t>
      </w:r>
    </w:p>
    <w:p w14:paraId="4CA7BF13">
      <w:pPr>
        <w:keepNext w:val="0"/>
        <w:keepLines w:val="0"/>
        <w:widowControl/>
        <w:numPr>
          <w:ilvl w:val="0"/>
          <w:numId w:val="0"/>
        </w:numPr>
        <w:suppressLineNumbers w:val="0"/>
        <w:jc w:val="both"/>
        <w:rPr>
          <w:rFonts w:hint="default" w:ascii="Times New Roman" w:hAnsi="Times New Roman" w:cs="Times New Roman"/>
          <w:b w:val="0"/>
          <w:bCs w:val="0"/>
          <w:sz w:val="24"/>
          <w:szCs w:val="24"/>
          <w:lang w:val="en-US" w:eastAsia="zh-CN"/>
        </w:rPr>
      </w:pPr>
    </w:p>
    <w:p w14:paraId="2505E772">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w:t>
      </w:r>
      <w:r>
        <w:rPr>
          <w:rFonts w:hint="default" w:ascii="Times New Roman" w:hAnsi="Times New Roman" w:cs="Times New Roman"/>
          <w:b w:val="0"/>
          <w:bCs w:val="0"/>
          <w:sz w:val="24"/>
          <w:szCs w:val="24"/>
          <w:lang w:val="en-US" w:eastAsia="zh-CN"/>
        </w:rPr>
        <w:t>cademic discipline</w:t>
      </w:r>
    </w:p>
    <w:p w14:paraId="4595834C">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One limitation of online education that has been pointed out in many literatures to some extent or lesser extent is that online education may be effective for different subjects in different ways. For example, teaching and demonstrating spoken English through online delivery has been successful, with mostly positive learning outcomes and feedback from both teachers and students (Kusumawati, 2020); whereas Mathematics has been shown by some studies to be perhaps the most difficult subject to understand or teach in online courses (Lalduhawma, Thangmawia and Hussain, 2022). Physics, finance, and accounting, on the other hand, showed no significant or small differences between traditional and online delivery (Fouad et al., 2021; Nazempour, Darabi and Nelson, 2022; Abdel-Rahim, 2021).</w:t>
      </w:r>
    </w:p>
    <w:p w14:paraId="4EF8CE08">
      <w:pPr>
        <w:keepNext w:val="0"/>
        <w:keepLines w:val="0"/>
        <w:widowControl/>
        <w:numPr>
          <w:ilvl w:val="0"/>
          <w:numId w:val="0"/>
        </w:numPr>
        <w:suppressLineNumbers w:val="0"/>
        <w:ind w:leftChars="0"/>
        <w:jc w:val="both"/>
        <w:rPr>
          <w:rFonts w:hint="default" w:ascii="Times New Roman" w:hAnsi="Times New Roman" w:cs="Times New Roman"/>
          <w:b w:val="0"/>
          <w:bCs w:val="0"/>
          <w:sz w:val="24"/>
          <w:szCs w:val="24"/>
          <w:lang w:val="en-US" w:eastAsia="zh-CN"/>
        </w:rPr>
      </w:pPr>
    </w:p>
    <w:p w14:paraId="7592EDFD">
      <w:pPr>
        <w:jc w:val="both"/>
        <w:rPr>
          <w:rFonts w:hint="default" w:ascii="Times New Roman" w:hAnsi="Times New Roman" w:cs="Times New Roman"/>
          <w:b/>
          <w:bCs/>
          <w:sz w:val="28"/>
          <w:szCs w:val="28"/>
        </w:rPr>
      </w:pPr>
      <w:r>
        <w:rPr>
          <w:rFonts w:hint="default" w:ascii="Times New Roman" w:hAnsi="Times New Roman" w:cs="Times New Roman"/>
          <w:b/>
          <w:bCs/>
          <w:sz w:val="28"/>
          <w:szCs w:val="28"/>
        </w:rPr>
        <w:t>Conclusion</w:t>
      </w:r>
    </w:p>
    <w:p w14:paraId="46ACB69F">
      <w:pPr>
        <w:jc w:val="both"/>
        <w:rPr>
          <w:rFonts w:hint="default" w:ascii="Times New Roman" w:hAnsi="Times New Roman" w:cs="Times New Roman"/>
          <w:b/>
          <w:bCs/>
          <w:sz w:val="28"/>
          <w:szCs w:val="28"/>
        </w:rPr>
      </w:pPr>
      <w:bookmarkStart w:id="0" w:name="_GoBack"/>
      <w:bookmarkEnd w:id="0"/>
    </w:p>
    <w:p w14:paraId="1DD0AB39">
      <w:pPr>
        <w:jc w:val="both"/>
        <w:rPr>
          <w:rFonts w:hint="default" w:ascii="Times New Roman" w:hAnsi="Times New Roman" w:cs="Times New Roman"/>
          <w:b/>
          <w:bCs/>
          <w:sz w:val="28"/>
          <w:szCs w:val="28"/>
        </w:rPr>
      </w:pPr>
    </w:p>
    <w:p w14:paraId="27308630">
      <w:pPr>
        <w:jc w:val="both"/>
        <w:rPr>
          <w:rFonts w:hint="default" w:ascii="Times New Roman" w:hAnsi="Times New Roman" w:cs="Times New Roman"/>
          <w:b/>
          <w:bCs/>
          <w:sz w:val="28"/>
          <w:szCs w:val="28"/>
        </w:rPr>
      </w:pPr>
    </w:p>
    <w:p w14:paraId="66CC777F">
      <w:pPr>
        <w:jc w:val="both"/>
        <w:rPr>
          <w:rFonts w:hint="default" w:ascii="Times New Roman" w:hAnsi="Times New Roman" w:cs="Times New Roman"/>
          <w:b/>
          <w:bCs/>
          <w:sz w:val="28"/>
          <w:szCs w:val="28"/>
        </w:rPr>
      </w:pPr>
    </w:p>
    <w:p w14:paraId="5743D8A3">
      <w:pPr>
        <w:jc w:val="both"/>
        <w:rPr>
          <w:rFonts w:hint="default" w:ascii="Times New Roman" w:hAnsi="Times New Roman" w:cs="Times New Roman"/>
          <w:b/>
          <w:bCs/>
          <w:sz w:val="28"/>
          <w:szCs w:val="28"/>
        </w:rPr>
      </w:pPr>
    </w:p>
    <w:p w14:paraId="60AA55D1">
      <w:pPr>
        <w:jc w:val="both"/>
        <w:rPr>
          <w:rFonts w:hint="default" w:ascii="Times New Roman" w:hAnsi="Times New Roman" w:cs="Times New Roman"/>
          <w:b/>
          <w:bCs/>
          <w:sz w:val="28"/>
          <w:szCs w:val="28"/>
        </w:rPr>
      </w:pPr>
    </w:p>
    <w:p w14:paraId="162AA78B">
      <w:pPr>
        <w:jc w:val="both"/>
        <w:rPr>
          <w:rFonts w:hint="default" w:ascii="Times New Roman" w:hAnsi="Times New Roman" w:cs="Times New Roman"/>
          <w:b/>
          <w:bCs/>
          <w:sz w:val="28"/>
          <w:szCs w:val="28"/>
        </w:rPr>
      </w:pPr>
    </w:p>
    <w:p w14:paraId="417B1CE2">
      <w:pPr>
        <w:jc w:val="both"/>
        <w:rPr>
          <w:rFonts w:hint="default" w:ascii="Times New Roman" w:hAnsi="Times New Roman" w:cs="Times New Roman"/>
          <w:b/>
          <w:bCs/>
          <w:sz w:val="28"/>
          <w:szCs w:val="28"/>
        </w:rPr>
      </w:pPr>
    </w:p>
    <w:p w14:paraId="33E61F86">
      <w:pPr>
        <w:jc w:val="both"/>
        <w:rPr>
          <w:rFonts w:hint="default" w:ascii="Times New Roman" w:hAnsi="Times New Roman" w:cs="Times New Roman"/>
          <w:b/>
          <w:bCs/>
          <w:sz w:val="28"/>
          <w:szCs w:val="28"/>
        </w:rPr>
      </w:pPr>
    </w:p>
    <w:p w14:paraId="5F497DB4">
      <w:pPr>
        <w:jc w:val="both"/>
        <w:rPr>
          <w:rFonts w:hint="default" w:ascii="Times New Roman" w:hAnsi="Times New Roman" w:cs="Times New Roman"/>
          <w:b/>
          <w:bCs/>
          <w:sz w:val="28"/>
          <w:szCs w:val="28"/>
        </w:rPr>
      </w:pPr>
    </w:p>
    <w:p w14:paraId="4400CEFE">
      <w:pPr>
        <w:jc w:val="both"/>
        <w:rPr>
          <w:rFonts w:hint="default" w:ascii="Times New Roman" w:hAnsi="Times New Roman" w:cs="Times New Roman"/>
          <w:b/>
          <w:bCs/>
          <w:sz w:val="28"/>
          <w:szCs w:val="28"/>
        </w:rPr>
      </w:pPr>
    </w:p>
    <w:p w14:paraId="4EE1CACA">
      <w:pPr>
        <w:jc w:val="both"/>
        <w:rPr>
          <w:rFonts w:hint="default" w:ascii="Times New Roman" w:hAnsi="Times New Roman" w:cs="Times New Roman"/>
          <w:b/>
          <w:bCs/>
          <w:sz w:val="28"/>
          <w:szCs w:val="28"/>
        </w:rPr>
      </w:pPr>
    </w:p>
    <w:p w14:paraId="63B2A07C">
      <w:pPr>
        <w:jc w:val="both"/>
        <w:rPr>
          <w:rFonts w:hint="default" w:ascii="Times New Roman" w:hAnsi="Times New Roman" w:cs="Times New Roman"/>
          <w:b/>
          <w:bCs/>
          <w:sz w:val="28"/>
          <w:szCs w:val="28"/>
        </w:rPr>
      </w:pPr>
    </w:p>
    <w:p w14:paraId="784310E7">
      <w:pPr>
        <w:jc w:val="both"/>
        <w:rPr>
          <w:rFonts w:hint="default" w:ascii="Times New Roman" w:hAnsi="Times New Roman" w:cs="Times New Roman"/>
          <w:b/>
          <w:bCs/>
          <w:sz w:val="28"/>
          <w:szCs w:val="28"/>
        </w:rPr>
      </w:pPr>
    </w:p>
    <w:p w14:paraId="0B5ED2B6">
      <w:pPr>
        <w:jc w:val="both"/>
        <w:rPr>
          <w:rFonts w:hint="default" w:ascii="Times New Roman" w:hAnsi="Times New Roman" w:cs="Times New Roman"/>
          <w:b/>
          <w:bCs/>
          <w:sz w:val="28"/>
          <w:szCs w:val="28"/>
        </w:rPr>
      </w:pPr>
    </w:p>
    <w:p w14:paraId="4E4E40A2">
      <w:pPr>
        <w:jc w:val="both"/>
        <w:rPr>
          <w:rFonts w:hint="default" w:ascii="Times New Roman" w:hAnsi="Times New Roman" w:cs="Times New Roman"/>
          <w:b/>
          <w:bCs/>
          <w:sz w:val="28"/>
          <w:szCs w:val="28"/>
        </w:rPr>
      </w:pPr>
    </w:p>
    <w:p w14:paraId="146C791F">
      <w:pPr>
        <w:jc w:val="both"/>
        <w:rPr>
          <w:rFonts w:hint="default" w:ascii="Times New Roman" w:hAnsi="Times New Roman" w:cs="Times New Roman"/>
          <w:b/>
          <w:bCs/>
          <w:sz w:val="28"/>
          <w:szCs w:val="28"/>
        </w:rPr>
      </w:pPr>
    </w:p>
    <w:p w14:paraId="650E036B">
      <w:pPr>
        <w:jc w:val="both"/>
        <w:rPr>
          <w:rFonts w:hint="default" w:ascii="Times New Roman" w:hAnsi="Times New Roman" w:cs="Times New Roman"/>
          <w:b/>
          <w:bCs/>
          <w:sz w:val="28"/>
          <w:szCs w:val="28"/>
        </w:rPr>
      </w:pPr>
    </w:p>
    <w:p w14:paraId="34A13554">
      <w:pPr>
        <w:jc w:val="both"/>
        <w:rPr>
          <w:rFonts w:hint="default" w:ascii="Times New Roman" w:hAnsi="Times New Roman" w:cs="Times New Roman"/>
          <w:b/>
          <w:bCs/>
          <w:sz w:val="28"/>
          <w:szCs w:val="28"/>
        </w:rPr>
      </w:pPr>
    </w:p>
    <w:p w14:paraId="0AEAC7D1">
      <w:pPr>
        <w:jc w:val="both"/>
        <w:rPr>
          <w:rFonts w:hint="default" w:ascii="Times New Roman" w:hAnsi="Times New Roman" w:cs="Times New Roman"/>
          <w:b/>
          <w:bCs/>
          <w:sz w:val="28"/>
          <w:szCs w:val="28"/>
        </w:rPr>
      </w:pPr>
    </w:p>
    <w:p w14:paraId="5B50600C">
      <w:pPr>
        <w:pStyle w:val="2"/>
        <w:keepNext w:val="0"/>
        <w:keepLines w:val="0"/>
        <w:widowControl/>
        <w:suppressLineNumbers w:val="0"/>
        <w:spacing w:before="0" w:beforeAutospacing="0" w:after="210" w:afterAutospacing="0" w:line="360" w:lineRule="auto"/>
        <w:jc w:val="left"/>
        <w:rPr>
          <w:rFonts w:hint="default" w:ascii="Times New Roman" w:hAnsi="Times New Roman" w:cs="Times New Roman"/>
          <w:sz w:val="36"/>
          <w:szCs w:val="36"/>
        </w:rPr>
      </w:pPr>
      <w:r>
        <w:rPr>
          <w:rFonts w:hint="default" w:ascii="Times New Roman" w:hAnsi="Times New Roman" w:cs="Times New Roman"/>
          <w:sz w:val="36"/>
          <w:szCs w:val="36"/>
        </w:rPr>
        <w:t>Reference list</w:t>
      </w:r>
    </w:p>
    <w:p w14:paraId="3FB49957">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Abdel-Rahim, H. (2021) ‘The effectiveness of online teaching and learning tools’, </w:t>
      </w:r>
      <w:r>
        <w:rPr>
          <w:rFonts w:hint="default" w:ascii="Times New Roman" w:hAnsi="Times New Roman" w:cs="Times New Roman"/>
          <w:i/>
          <w:iCs/>
          <w:sz w:val="24"/>
          <w:szCs w:val="24"/>
        </w:rPr>
        <w:t>Learning and Teaching</w:t>
      </w:r>
      <w:r>
        <w:rPr>
          <w:rFonts w:hint="default" w:ascii="Times New Roman" w:hAnsi="Times New Roman" w:cs="Times New Roman"/>
          <w:sz w:val="24"/>
          <w:szCs w:val="24"/>
        </w:rPr>
        <w:t>, 14(3), pp. 52–69.</w:t>
      </w:r>
    </w:p>
    <w:p w14:paraId="5CE88F7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Allen, I.E. and Seaman, J. (2017) </w:t>
      </w:r>
      <w:r>
        <w:rPr>
          <w:rFonts w:hint="default" w:ascii="Times New Roman" w:hAnsi="Times New Roman" w:cs="Times New Roman"/>
          <w:i/>
          <w:iCs/>
          <w:sz w:val="24"/>
          <w:szCs w:val="24"/>
        </w:rPr>
        <w:t>Distance Education Enrollment Report 2017</w:t>
      </w:r>
      <w:r>
        <w:rPr>
          <w:rFonts w:hint="default" w:ascii="Times New Roman" w:hAnsi="Times New Roman" w:cs="Times New Roman"/>
          <w:sz w:val="24"/>
          <w:szCs w:val="24"/>
        </w:rPr>
        <w:t>.</w:t>
      </w:r>
    </w:p>
    <w:p w14:paraId="003A5FD0">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Bao, W. (2020) ‘COVID‐19 and online teaching in higher education: A case study of Peking University’, </w:t>
      </w:r>
      <w:r>
        <w:rPr>
          <w:rFonts w:hint="default" w:ascii="Times New Roman" w:hAnsi="Times New Roman" w:cs="Times New Roman"/>
          <w:i/>
          <w:iCs/>
          <w:sz w:val="24"/>
          <w:szCs w:val="24"/>
        </w:rPr>
        <w:t>Human Behavior and Emerging Technologies</w:t>
      </w:r>
      <w:r>
        <w:rPr>
          <w:rFonts w:hint="default" w:ascii="Times New Roman" w:hAnsi="Times New Roman" w:cs="Times New Roman"/>
          <w:sz w:val="24"/>
          <w:szCs w:val="24"/>
        </w:rPr>
        <w:t>, 2(2), pp. 113–115.</w:t>
      </w:r>
    </w:p>
    <w:p w14:paraId="3CE55325">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Batdı, V., Doğan, Y. and Talan, T. (2021) ‘Effectiveness of online learning: a multi-complementary approach research with responses from the COVID-19 pandemic period’, </w:t>
      </w:r>
      <w:r>
        <w:rPr>
          <w:rFonts w:hint="default" w:ascii="Times New Roman" w:hAnsi="Times New Roman" w:cs="Times New Roman"/>
          <w:i/>
          <w:iCs/>
          <w:sz w:val="24"/>
          <w:szCs w:val="24"/>
        </w:rPr>
        <w:t>Interactive Learning Environments</w:t>
      </w:r>
      <w:r>
        <w:rPr>
          <w:rFonts w:hint="default" w:ascii="Times New Roman" w:hAnsi="Times New Roman" w:cs="Times New Roman"/>
          <w:sz w:val="24"/>
          <w:szCs w:val="24"/>
        </w:rPr>
        <w:t>, 31(7), pp. 4113–4146.</w:t>
      </w:r>
    </w:p>
    <w:p w14:paraId="1E68C63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Cohen, E. and Davidovitch, N. (2020) ‘The Development of Online Learning in Israeli Higher Education’, </w:t>
      </w:r>
      <w:r>
        <w:rPr>
          <w:rFonts w:hint="default" w:ascii="Times New Roman" w:hAnsi="Times New Roman" w:cs="Times New Roman"/>
          <w:i/>
          <w:iCs/>
          <w:sz w:val="24"/>
          <w:szCs w:val="24"/>
        </w:rPr>
        <w:t>Journal of Education and Learning</w:t>
      </w:r>
      <w:r>
        <w:rPr>
          <w:rFonts w:hint="default" w:ascii="Times New Roman" w:hAnsi="Times New Roman" w:cs="Times New Roman"/>
          <w:sz w:val="24"/>
          <w:szCs w:val="24"/>
        </w:rPr>
        <w:t>, 9(5), p. 15.</w:t>
      </w:r>
    </w:p>
    <w:p w14:paraId="253B967C">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Fouad, E.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‘Online versus face-to-face learning in introductory university physics following COVID-19’, </w:t>
      </w:r>
      <w:r>
        <w:rPr>
          <w:rFonts w:hint="default" w:ascii="Times New Roman" w:hAnsi="Times New Roman" w:cs="Times New Roman"/>
          <w:i/>
          <w:iCs/>
          <w:sz w:val="24"/>
          <w:szCs w:val="24"/>
        </w:rPr>
        <w:t>Physics Education</w:t>
      </w:r>
      <w:r>
        <w:rPr>
          <w:rFonts w:hint="default" w:ascii="Times New Roman" w:hAnsi="Times New Roman" w:cs="Times New Roman"/>
          <w:sz w:val="24"/>
          <w:szCs w:val="24"/>
        </w:rPr>
        <w:t>, 57(2), p. 025008.</w:t>
      </w:r>
    </w:p>
    <w:p w14:paraId="2A840245">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Gawanmeh, A.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‘Evaluating the Effectiveness of Distance Learning in Higher Education during COVID-19 Global Crisis: UAE Educators’ Perspectives’, </w:t>
      </w:r>
      <w:r>
        <w:rPr>
          <w:rFonts w:hint="default" w:ascii="Times New Roman" w:hAnsi="Times New Roman" w:cs="Times New Roman"/>
          <w:i/>
          <w:iCs/>
          <w:sz w:val="24"/>
          <w:szCs w:val="24"/>
        </w:rPr>
        <w:t>Contemporary Educational Technology</w:t>
      </w:r>
      <w:r>
        <w:rPr>
          <w:rFonts w:hint="default" w:ascii="Times New Roman" w:hAnsi="Times New Roman" w:cs="Times New Roman"/>
          <w:sz w:val="24"/>
          <w:szCs w:val="24"/>
        </w:rPr>
        <w:t>, 13(3), p. ep311.</w:t>
      </w:r>
    </w:p>
    <w:p w14:paraId="5BD6F25D">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Hafeez, M., Ajmal, F. and Zulfiqar, Z. (2022) ‘Assessment of student’s academic achievements in online versus face-to-face modes of learning in higher education’, </w:t>
      </w:r>
      <w:r>
        <w:rPr>
          <w:rFonts w:hint="default" w:ascii="Times New Roman" w:hAnsi="Times New Roman" w:cs="Times New Roman"/>
          <w:i/>
          <w:iCs/>
          <w:sz w:val="24"/>
          <w:szCs w:val="24"/>
        </w:rPr>
        <w:t>Journal of Technology and Science Education</w:t>
      </w:r>
      <w:r>
        <w:rPr>
          <w:rFonts w:hint="default" w:ascii="Times New Roman" w:hAnsi="Times New Roman" w:cs="Times New Roman"/>
          <w:sz w:val="24"/>
          <w:szCs w:val="24"/>
        </w:rPr>
        <w:t>, 12(1), pp. 259–273.</w:t>
      </w:r>
    </w:p>
    <w:p w14:paraId="4B61DA34">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Kesumaningsari, N.P.A., Pudjibudojo, J.K. and Louk, M.H.L. (2022) ‘Teaching experience on online learning in higher education: Generational analysis’, </w:t>
      </w:r>
      <w:r>
        <w:rPr>
          <w:rFonts w:hint="default" w:ascii="Times New Roman" w:hAnsi="Times New Roman" w:cs="Times New Roman"/>
          <w:i/>
          <w:iCs/>
          <w:sz w:val="24"/>
          <w:szCs w:val="24"/>
        </w:rPr>
        <w:t>Journal of Education and Learning (EduLearn)</w:t>
      </w:r>
      <w:r>
        <w:rPr>
          <w:rFonts w:hint="default" w:ascii="Times New Roman" w:hAnsi="Times New Roman" w:cs="Times New Roman"/>
          <w:sz w:val="24"/>
          <w:szCs w:val="24"/>
        </w:rPr>
        <w:t>, 16(3), pp. 318–329.</w:t>
      </w:r>
    </w:p>
    <w:p w14:paraId="0B57B3F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Khan, M. and Viswanathan, R. (2023) ‘Effectiveness of online teaching and learning in Indian universities during the COVID-19 pandemic’, </w:t>
      </w:r>
      <w:r>
        <w:rPr>
          <w:rFonts w:hint="default" w:ascii="Times New Roman" w:hAnsi="Times New Roman" w:cs="Times New Roman"/>
          <w:i/>
          <w:iCs/>
          <w:sz w:val="24"/>
          <w:szCs w:val="24"/>
        </w:rPr>
        <w:t>International Journal of Educational Management</w:t>
      </w:r>
      <w:r>
        <w:rPr>
          <w:rFonts w:hint="default" w:ascii="Times New Roman" w:hAnsi="Times New Roman" w:cs="Times New Roman"/>
          <w:sz w:val="24"/>
          <w:szCs w:val="24"/>
        </w:rPr>
        <w:t>, 37(3), pp. 610–632.</w:t>
      </w:r>
    </w:p>
    <w:p w14:paraId="222F0257">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Kusumawati, A.J. (2020) ‘Redesigning Face-to-face into Online Learning for Speaking Competence during COVID-19: ESP for Higher Education in Indonesia’, </w:t>
      </w:r>
      <w:r>
        <w:rPr>
          <w:rFonts w:hint="default" w:ascii="Times New Roman" w:hAnsi="Times New Roman" w:cs="Times New Roman"/>
          <w:i/>
          <w:iCs/>
          <w:sz w:val="24"/>
          <w:szCs w:val="24"/>
        </w:rPr>
        <w:t>International Journal of Language Education</w:t>
      </w:r>
      <w:r>
        <w:rPr>
          <w:rFonts w:hint="default" w:ascii="Times New Roman" w:hAnsi="Times New Roman" w:cs="Times New Roman"/>
          <w:sz w:val="24"/>
          <w:szCs w:val="24"/>
        </w:rPr>
        <w:t>, pp. 276–288.</w:t>
      </w:r>
    </w:p>
    <w:p w14:paraId="161F6893">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Lalduhawma, L.P., Thangmawia, L. and Hussain, J. (2022) ‘Effectiveness of Online Learning during the COVID -19 Pandemic in Mizoram’, </w:t>
      </w:r>
      <w:r>
        <w:rPr>
          <w:rFonts w:hint="default" w:ascii="Times New Roman" w:hAnsi="Times New Roman" w:cs="Times New Roman"/>
          <w:i/>
          <w:iCs/>
          <w:sz w:val="24"/>
          <w:szCs w:val="24"/>
        </w:rPr>
        <w:t>Journal of Education and e-Learning Research</w:t>
      </w:r>
      <w:r>
        <w:rPr>
          <w:rFonts w:hint="default" w:ascii="Times New Roman" w:hAnsi="Times New Roman" w:cs="Times New Roman"/>
          <w:sz w:val="24"/>
          <w:szCs w:val="24"/>
        </w:rPr>
        <w:t>, 9(3), pp. 175–183.</w:t>
      </w:r>
    </w:p>
    <w:p w14:paraId="41196983">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Lamanauskas, V. and Pribeanu, C. (2023) ‘ANTECEDENTS OF THE PERCEIVED USEFULNESS OF AN ONLINE LEARNING PLATFORM DURING THE PANDEMIC’, </w:t>
      </w:r>
      <w:r>
        <w:rPr>
          <w:rFonts w:hint="default" w:ascii="Times New Roman" w:hAnsi="Times New Roman" w:cs="Times New Roman"/>
          <w:i/>
          <w:iCs/>
          <w:sz w:val="24"/>
          <w:szCs w:val="24"/>
        </w:rPr>
        <w:t>Problems of Education in the 21st Century</w:t>
      </w:r>
      <w:r>
        <w:rPr>
          <w:rFonts w:hint="default" w:ascii="Times New Roman" w:hAnsi="Times New Roman" w:cs="Times New Roman"/>
          <w:sz w:val="24"/>
          <w:szCs w:val="24"/>
        </w:rPr>
        <w:t>, 81(6), pp. 861–868.</w:t>
      </w:r>
    </w:p>
    <w:p w14:paraId="29058F7F">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Means, B.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(2010) </w:t>
      </w:r>
      <w:r>
        <w:rPr>
          <w:rFonts w:hint="default" w:ascii="Times New Roman" w:hAnsi="Times New Roman" w:cs="Times New Roman"/>
          <w:i/>
          <w:iCs/>
          <w:sz w:val="24"/>
          <w:szCs w:val="24"/>
        </w:rPr>
        <w:t>Evaluation of Evidence-Based Practices in Online Learning: A Meta-Analysis and Review of Online Learning Studies</w:t>
      </w:r>
      <w:r>
        <w:rPr>
          <w:rFonts w:hint="default" w:ascii="Times New Roman" w:hAnsi="Times New Roman" w:cs="Times New Roman"/>
          <w:sz w:val="24"/>
          <w:szCs w:val="24"/>
        </w:rPr>
        <w:t>. U.S. Department of Education.</w:t>
      </w:r>
    </w:p>
    <w:p w14:paraId="48F26740">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Nazempour, R., Darabi, H. and Nelson, P.C. (2022) ‘Impacts on Students’ Academic Performance Due to Emergency Transition to Remote Teaching during the COVID-19 Pandemic: A Financial Engineering Course Case Study’, </w:t>
      </w:r>
      <w:r>
        <w:rPr>
          <w:rFonts w:hint="default" w:ascii="Times New Roman" w:hAnsi="Times New Roman" w:cs="Times New Roman"/>
          <w:i/>
          <w:iCs/>
          <w:sz w:val="24"/>
          <w:szCs w:val="24"/>
        </w:rPr>
        <w:t>Education Sciences</w:t>
      </w:r>
      <w:r>
        <w:rPr>
          <w:rFonts w:hint="default" w:ascii="Times New Roman" w:hAnsi="Times New Roman" w:cs="Times New Roman"/>
          <w:sz w:val="24"/>
          <w:szCs w:val="24"/>
        </w:rPr>
        <w:t>, 12(3), p. 202.</w:t>
      </w:r>
    </w:p>
    <w:p w14:paraId="7F6A528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Nitza Davidovitch, N. and Wadmany, R. (2023) ‘Returning to the Academic Campus as the End of the Covid-19 Pandemic’, </w:t>
      </w:r>
      <w:r>
        <w:rPr>
          <w:rFonts w:hint="default" w:ascii="Times New Roman" w:hAnsi="Times New Roman" w:cs="Times New Roman"/>
          <w:i/>
          <w:iCs/>
          <w:sz w:val="24"/>
          <w:szCs w:val="24"/>
        </w:rPr>
        <w:t>Journal of Comparative &amp; International Higher Education</w:t>
      </w:r>
      <w:r>
        <w:rPr>
          <w:rFonts w:hint="default" w:ascii="Times New Roman" w:hAnsi="Times New Roman" w:cs="Times New Roman"/>
          <w:sz w:val="24"/>
          <w:szCs w:val="24"/>
        </w:rPr>
        <w:t>, 15(5), pp. 175–187.</w:t>
      </w:r>
    </w:p>
    <w:p w14:paraId="1D6DD511">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Sattayaraksa, W.D.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(2023) ‘Understanding how demographic factors influence faculty member s perceptions of online learning success: A case study in Thai private higher education’, </w:t>
      </w:r>
      <w:r>
        <w:rPr>
          <w:rFonts w:hint="default" w:ascii="Times New Roman" w:hAnsi="Times New Roman" w:cs="Times New Roman"/>
          <w:i/>
          <w:iCs/>
          <w:sz w:val="24"/>
          <w:szCs w:val="24"/>
        </w:rPr>
        <w:t>Journal of Pedagogical Research</w:t>
      </w:r>
      <w:r>
        <w:rPr>
          <w:rFonts w:hint="default" w:ascii="Times New Roman" w:hAnsi="Times New Roman" w:cs="Times New Roman"/>
          <w:sz w:val="24"/>
          <w:szCs w:val="24"/>
        </w:rPr>
        <w:t xml:space="preserve"> [Preprint].</w:t>
      </w:r>
    </w:p>
    <w:p w14:paraId="13E17EC8">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Singh, A.K. and Meena, M.K. (2023) ‘Online teaching in Indian higher education institutions during the pandemic time’, </w:t>
      </w:r>
      <w:r>
        <w:rPr>
          <w:rFonts w:hint="default" w:ascii="Times New Roman" w:hAnsi="Times New Roman" w:cs="Times New Roman"/>
          <w:i/>
          <w:iCs/>
          <w:sz w:val="24"/>
          <w:szCs w:val="24"/>
        </w:rPr>
        <w:t>Education and Information Technologies</w:t>
      </w:r>
      <w:r>
        <w:rPr>
          <w:rFonts w:hint="default" w:ascii="Times New Roman" w:hAnsi="Times New Roman" w:cs="Times New Roman"/>
          <w:sz w:val="24"/>
          <w:szCs w:val="24"/>
        </w:rPr>
        <w:t>, 29(4), pp. 4107–4157.</w:t>
      </w:r>
    </w:p>
    <w:p w14:paraId="08F2099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Singh, V. and Thurman, A. (2019) ‘How Many Ways Can We Define Online Learning? A Systematic Literature Review of Definitions of Online Learning (1988-2018)’, </w:t>
      </w:r>
      <w:r>
        <w:rPr>
          <w:rFonts w:hint="default" w:ascii="Times New Roman" w:hAnsi="Times New Roman" w:cs="Times New Roman"/>
          <w:i/>
          <w:iCs/>
          <w:sz w:val="24"/>
          <w:szCs w:val="24"/>
        </w:rPr>
        <w:t>American Journal of Distance Education</w:t>
      </w:r>
      <w:r>
        <w:rPr>
          <w:rFonts w:hint="default" w:ascii="Times New Roman" w:hAnsi="Times New Roman" w:cs="Times New Roman"/>
          <w:sz w:val="24"/>
          <w:szCs w:val="24"/>
        </w:rPr>
        <w:t>, 33(4), pp. 289–306.</w:t>
      </w:r>
    </w:p>
    <w:p w14:paraId="25A68A32">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Sukiman, S., Haningsih, S. and Rohmi, P. (2021) ‘The Pattern of Hybrid Learning to Maintain Learning Effectiveness at the Higher Education Level Post-COVID-19 Pandemic’, </w:t>
      </w:r>
      <w:r>
        <w:rPr>
          <w:rFonts w:hint="default" w:ascii="Times New Roman" w:hAnsi="Times New Roman" w:cs="Times New Roman"/>
          <w:i/>
          <w:iCs/>
          <w:sz w:val="24"/>
          <w:szCs w:val="24"/>
        </w:rPr>
        <w:t>European Journal of Educational Research</w:t>
      </w:r>
      <w:r>
        <w:rPr>
          <w:rFonts w:hint="default" w:ascii="Times New Roman" w:hAnsi="Times New Roman" w:cs="Times New Roman"/>
          <w:sz w:val="24"/>
          <w:szCs w:val="24"/>
        </w:rPr>
        <w:t>, volume-11-2022(volume-11-issue-1-january-2022), pp. 243–257.</w:t>
      </w:r>
    </w:p>
    <w:p w14:paraId="14EE3E1A">
      <w:pPr>
        <w:pStyle w:val="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Tsang, J.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(2021) ‘Higher Education during the Pandemic: The Predictive Factors of Learning Effectiveness in COVID-19 Online Learning’, </w:t>
      </w:r>
      <w:r>
        <w:rPr>
          <w:rFonts w:hint="default" w:ascii="Times New Roman" w:hAnsi="Times New Roman" w:cs="Times New Roman"/>
          <w:i/>
          <w:iCs/>
          <w:sz w:val="24"/>
          <w:szCs w:val="24"/>
        </w:rPr>
        <w:t>Education Sciences</w:t>
      </w:r>
      <w:r>
        <w:rPr>
          <w:rFonts w:hint="default" w:ascii="Times New Roman" w:hAnsi="Times New Roman" w:cs="Times New Roman"/>
          <w:sz w:val="24"/>
          <w:szCs w:val="24"/>
        </w:rPr>
        <w:t>, 11(8), p. 446.</w:t>
      </w:r>
    </w:p>
    <w:p w14:paraId="73B88DA9">
      <w:pPr>
        <w:jc w:val="both"/>
        <w:rPr>
          <w:rFonts w:hint="default" w:ascii="Times New Roman" w:hAnsi="Times New Roman" w:cs="Times New Roman"/>
          <w:b/>
          <w:bCs/>
          <w:sz w:val="28"/>
          <w:szCs w:val="28"/>
        </w:rPr>
      </w:pPr>
    </w:p>
    <w:sectPr>
      <w:foot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97BA1">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73207">
                          <w:pPr>
                            <w:pStyle w:val="3"/>
                            <w:rPr>
                              <w:rFonts w:hint="default" w:ascii="Times New Roman" w:hAnsi="Times New Roman" w:cs="Times New Roman"/>
                              <w:sz w:val="20"/>
                              <w:szCs w:val="20"/>
                            </w:rPr>
                          </w:pPr>
                          <w:r>
                            <w:rPr>
                              <w:rFonts w:hint="default" w:ascii="Times New Roman" w:hAnsi="Times New Roman" w:cs="Times New Roman"/>
                              <w:sz w:val="20"/>
                              <w:szCs w:val="20"/>
                            </w:rPr>
                            <w:fldChar w:fldCharType="begin"/>
                          </w:r>
                          <w:r>
                            <w:rPr>
                              <w:rFonts w:hint="default" w:ascii="Times New Roman" w:hAnsi="Times New Roman" w:cs="Times New Roman"/>
                              <w:sz w:val="20"/>
                              <w:szCs w:val="20"/>
                            </w:rPr>
                            <w:instrText xml:space="preserve"> PAGE  \* MERGEFORMAT </w:instrText>
                          </w:r>
                          <w:r>
                            <w:rPr>
                              <w:rFonts w:hint="default" w:ascii="Times New Roman" w:hAnsi="Times New Roman" w:cs="Times New Roman"/>
                              <w:sz w:val="20"/>
                              <w:szCs w:val="20"/>
                            </w:rPr>
                            <w:fldChar w:fldCharType="separate"/>
                          </w:r>
                          <w:r>
                            <w:rPr>
                              <w:rFonts w:hint="default" w:ascii="Times New Roman" w:hAnsi="Times New Roman" w:cs="Times New Roman"/>
                              <w:sz w:val="20"/>
                              <w:szCs w:val="20"/>
                            </w:rPr>
                            <w:t>1</w:t>
                          </w:r>
                          <w:r>
                            <w:rPr>
                              <w:rFonts w:hint="default"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E73207">
                    <w:pPr>
                      <w:pStyle w:val="3"/>
                      <w:rPr>
                        <w:rFonts w:hint="default" w:ascii="Times New Roman" w:hAnsi="Times New Roman" w:cs="Times New Roman"/>
                        <w:sz w:val="20"/>
                        <w:szCs w:val="20"/>
                      </w:rPr>
                    </w:pPr>
                    <w:r>
                      <w:rPr>
                        <w:rFonts w:hint="default" w:ascii="Times New Roman" w:hAnsi="Times New Roman" w:cs="Times New Roman"/>
                        <w:sz w:val="20"/>
                        <w:szCs w:val="20"/>
                      </w:rPr>
                      <w:fldChar w:fldCharType="begin"/>
                    </w:r>
                    <w:r>
                      <w:rPr>
                        <w:rFonts w:hint="default" w:ascii="Times New Roman" w:hAnsi="Times New Roman" w:cs="Times New Roman"/>
                        <w:sz w:val="20"/>
                        <w:szCs w:val="20"/>
                      </w:rPr>
                      <w:instrText xml:space="preserve"> PAGE  \* MERGEFORMAT </w:instrText>
                    </w:r>
                    <w:r>
                      <w:rPr>
                        <w:rFonts w:hint="default" w:ascii="Times New Roman" w:hAnsi="Times New Roman" w:cs="Times New Roman"/>
                        <w:sz w:val="20"/>
                        <w:szCs w:val="20"/>
                      </w:rPr>
                      <w:fldChar w:fldCharType="separate"/>
                    </w:r>
                    <w:r>
                      <w:rPr>
                        <w:rFonts w:hint="default" w:ascii="Times New Roman" w:hAnsi="Times New Roman" w:cs="Times New Roman"/>
                        <w:sz w:val="20"/>
                        <w:szCs w:val="20"/>
                      </w:rPr>
                      <w:t>1</w:t>
                    </w:r>
                    <w:r>
                      <w:rPr>
                        <w:rFonts w:hint="default" w:ascii="Times New Roman" w:hAnsi="Times New Roman" w:cs="Times New Roman"/>
                        <w:sz w:val="20"/>
                        <w:szCs w:val="2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A002F"/>
    <w:multiLevelType w:val="singleLevel"/>
    <w:tmpl w:val="B32A002F"/>
    <w:lvl w:ilvl="0" w:tentative="0">
      <w:start w:val="1"/>
      <w:numFmt w:val="decimal"/>
      <w:suff w:val="space"/>
      <w:lvlText w:val="%1."/>
      <w:lvlJc w:val="left"/>
    </w:lvl>
  </w:abstractNum>
  <w:abstractNum w:abstractNumId="1">
    <w:nsid w:val="37EAD529"/>
    <w:multiLevelType w:val="singleLevel"/>
    <w:tmpl w:val="37EAD529"/>
    <w:lvl w:ilvl="0" w:tentative="0">
      <w:start w:val="1"/>
      <w:numFmt w:val="decimal"/>
      <w:suff w:val="space"/>
      <w:lvlText w:val="(%1)"/>
      <w:lvlJc w:val="left"/>
    </w:lvl>
  </w:abstractNum>
  <w:abstractNum w:abstractNumId="2">
    <w:nsid w:val="4C307DC2"/>
    <w:multiLevelType w:val="singleLevel"/>
    <w:tmpl w:val="4C307DC2"/>
    <w:lvl w:ilvl="0" w:tentative="0">
      <w:start w:val="1"/>
      <w:numFmt w:val="decimal"/>
      <w:suff w:val="space"/>
      <w:lvlText w:val="%1."/>
      <w:lvlJc w:val="left"/>
    </w:lvl>
  </w:abstractNum>
  <w:abstractNum w:abstractNumId="3">
    <w:nsid w:val="5E11D507"/>
    <w:multiLevelType w:val="singleLevel"/>
    <w:tmpl w:val="5E11D507"/>
    <w:lvl w:ilvl="0" w:tentative="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yNWFiZmI3NDlmN2IzYTA3ZGIyMDhiNmZiNDZmY2MifQ=="/>
  </w:docVars>
  <w:rsids>
    <w:rsidRoot w:val="1E8502E1"/>
    <w:rsid w:val="06F8292A"/>
    <w:rsid w:val="1E8502E1"/>
    <w:rsid w:val="583142F2"/>
    <w:rsid w:val="6C8C1BAF"/>
    <w:rsid w:val="7A311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5359</Words>
  <Characters>32439</Characters>
  <Lines>0</Lines>
  <Paragraphs>0</Paragraphs>
  <TotalTime>14</TotalTime>
  <ScaleCrop>false</ScaleCrop>
  <LinksUpToDate>false</LinksUpToDate>
  <CharactersWithSpaces>37739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2024-09-16T14:59:00Z</dcterms:created>
  <dc:creator>Paul</dc:creator>
  <cp:lastModifiedBy>曾思瑶</cp:lastModifiedBy>
  <dcterms:modified xsi:type="dcterms:W3CDTF">2024-09-19T22:45:10Z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CA06A88EF4704D8A89DA8AA60EC5CDC9_11</vt:lpwstr>
  </property>
</Properties>
</file>