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54D0CB" w14:textId="77777777" w:rsidR="002D6AA3" w:rsidRPr="00B039B1" w:rsidRDefault="00611374" w:rsidP="00B039B1">
      <w:pPr>
        <w:spacing w:line="360" w:lineRule="auto"/>
        <w:jc w:val="both"/>
        <w:rPr>
          <w:rFonts w:cstheme="minorHAnsi"/>
          <w:sz w:val="24"/>
          <w:szCs w:val="24"/>
        </w:rPr>
      </w:pPr>
      <w:bookmarkStart w:id="0" w:name="_GoBack"/>
      <w:bookmarkEnd w:id="0"/>
      <w:r w:rsidRPr="00B039B1">
        <w:rPr>
          <w:rFonts w:cstheme="minorHAnsi"/>
          <w:sz w:val="24"/>
          <w:szCs w:val="24"/>
        </w:rPr>
        <w:t xml:space="preserve">Before beginning this assignment, which is intended to reflect upon and critically evaluate the experience gained from a micro-teach session, as well as applying additional focus and academic critique of the emergent technologies used during the aforementioned session; it is perhaps timely and relevant to firstly examine the process of reflection as an aid for learning, </w:t>
      </w:r>
      <w:r w:rsidR="00EE3F3B" w:rsidRPr="00B039B1">
        <w:rPr>
          <w:rFonts w:cstheme="minorHAnsi"/>
          <w:sz w:val="24"/>
          <w:szCs w:val="24"/>
        </w:rPr>
        <w:t xml:space="preserve">the position and historical significance of reflection as innately human philosophical concept, </w:t>
      </w:r>
      <w:r w:rsidRPr="00B039B1">
        <w:rPr>
          <w:rFonts w:cstheme="minorHAnsi"/>
          <w:sz w:val="24"/>
          <w:szCs w:val="24"/>
        </w:rPr>
        <w:t xml:space="preserve">and </w:t>
      </w:r>
      <w:r w:rsidR="00EE3F3B" w:rsidRPr="00B039B1">
        <w:rPr>
          <w:rFonts w:cstheme="minorHAnsi"/>
          <w:sz w:val="24"/>
          <w:szCs w:val="24"/>
        </w:rPr>
        <w:t xml:space="preserve">also </w:t>
      </w:r>
      <w:r w:rsidRPr="00B039B1">
        <w:rPr>
          <w:rFonts w:cstheme="minorHAnsi"/>
          <w:sz w:val="24"/>
          <w:szCs w:val="24"/>
        </w:rPr>
        <w:t>how reflective practice c</w:t>
      </w:r>
      <w:r w:rsidR="00EE3F3B" w:rsidRPr="00B039B1">
        <w:rPr>
          <w:rFonts w:cstheme="minorHAnsi"/>
          <w:sz w:val="24"/>
          <w:szCs w:val="24"/>
        </w:rPr>
        <w:t>ould specifically</w:t>
      </w:r>
      <w:r w:rsidRPr="00B039B1">
        <w:rPr>
          <w:rFonts w:cstheme="minorHAnsi"/>
          <w:sz w:val="24"/>
          <w:szCs w:val="24"/>
        </w:rPr>
        <w:t xml:space="preserve"> aid the professional development of a practitioner working within the field of Higher Education. </w:t>
      </w:r>
      <w:r w:rsidR="00EE3F3B" w:rsidRPr="00B039B1">
        <w:rPr>
          <w:rFonts w:cstheme="minorHAnsi"/>
          <w:sz w:val="24"/>
          <w:szCs w:val="24"/>
        </w:rPr>
        <w:t xml:space="preserve">In addition to these areas of study, there will also be opportunity to </w:t>
      </w:r>
      <w:r w:rsidR="002D6AA3" w:rsidRPr="00B039B1">
        <w:rPr>
          <w:rFonts w:cstheme="minorHAnsi"/>
          <w:sz w:val="24"/>
          <w:szCs w:val="24"/>
        </w:rPr>
        <w:t xml:space="preserve">examine </w:t>
      </w:r>
      <w:r w:rsidR="001C2BCF" w:rsidRPr="00B039B1">
        <w:rPr>
          <w:rFonts w:cstheme="minorHAnsi"/>
          <w:sz w:val="24"/>
          <w:szCs w:val="24"/>
        </w:rPr>
        <w:t xml:space="preserve">relevant </w:t>
      </w:r>
      <w:r w:rsidR="00EE3F3B" w:rsidRPr="00B039B1">
        <w:rPr>
          <w:rFonts w:cstheme="minorHAnsi"/>
          <w:sz w:val="24"/>
          <w:szCs w:val="24"/>
        </w:rPr>
        <w:t>Welsh Government policies and recommendations that deal explicitly with</w:t>
      </w:r>
      <w:r w:rsidR="001C2BCF" w:rsidRPr="00B039B1">
        <w:rPr>
          <w:rFonts w:cstheme="minorHAnsi"/>
          <w:sz w:val="24"/>
          <w:szCs w:val="24"/>
        </w:rPr>
        <w:t xml:space="preserve"> </w:t>
      </w:r>
      <w:r w:rsidR="00EE3F3B" w:rsidRPr="00B039B1">
        <w:rPr>
          <w:rFonts w:cstheme="minorHAnsi"/>
          <w:sz w:val="24"/>
          <w:szCs w:val="24"/>
        </w:rPr>
        <w:t xml:space="preserve">this area, and </w:t>
      </w:r>
      <w:r w:rsidR="002D6AA3" w:rsidRPr="00B039B1">
        <w:rPr>
          <w:rFonts w:cstheme="minorHAnsi"/>
          <w:sz w:val="24"/>
          <w:szCs w:val="24"/>
        </w:rPr>
        <w:t xml:space="preserve">also </w:t>
      </w:r>
      <w:r w:rsidR="00EE3F3B" w:rsidRPr="00B039B1">
        <w:rPr>
          <w:rFonts w:cstheme="minorHAnsi"/>
          <w:sz w:val="24"/>
          <w:szCs w:val="24"/>
        </w:rPr>
        <w:t>attempt to draw connections and comparison between all mentioned</w:t>
      </w:r>
      <w:r w:rsidR="002D6AA3" w:rsidRPr="00B039B1">
        <w:rPr>
          <w:rFonts w:cstheme="minorHAnsi"/>
          <w:sz w:val="24"/>
          <w:szCs w:val="24"/>
        </w:rPr>
        <w:t xml:space="preserve"> topics of discussion.</w:t>
      </w:r>
      <w:r w:rsidR="00EE3F3B" w:rsidRPr="00B039B1">
        <w:rPr>
          <w:rFonts w:cstheme="minorHAnsi"/>
          <w:sz w:val="24"/>
          <w:szCs w:val="24"/>
        </w:rPr>
        <w:t xml:space="preserve"> </w:t>
      </w:r>
    </w:p>
    <w:p w14:paraId="3C1BF7E7" w14:textId="66F4ECBF" w:rsidR="00A92FD8" w:rsidRPr="00B039B1" w:rsidRDefault="00A92FD8" w:rsidP="00B039B1">
      <w:pPr>
        <w:spacing w:line="360" w:lineRule="auto"/>
        <w:jc w:val="both"/>
        <w:rPr>
          <w:rFonts w:cstheme="minorHAnsi"/>
          <w:sz w:val="24"/>
          <w:szCs w:val="24"/>
        </w:rPr>
      </w:pPr>
      <w:r w:rsidRPr="00B039B1">
        <w:rPr>
          <w:rFonts w:cstheme="minorHAnsi"/>
          <w:sz w:val="24"/>
          <w:szCs w:val="24"/>
        </w:rPr>
        <w:t>Why do we as humans reflect? And to what ends are the processes of reflective practice a useful and professionally enhancing tool for educators? Reflection as a philosophical concept, in human terms, can possibly be best exhibited, in Western Philosophy at least</w:t>
      </w:r>
      <w:r w:rsidR="00996A01" w:rsidRPr="00B039B1">
        <w:rPr>
          <w:rFonts w:cstheme="minorHAnsi"/>
          <w:sz w:val="24"/>
          <w:szCs w:val="24"/>
        </w:rPr>
        <w:t>,</w:t>
      </w:r>
      <w:r w:rsidRPr="00B039B1">
        <w:rPr>
          <w:rFonts w:cstheme="minorHAnsi"/>
          <w:sz w:val="24"/>
          <w:szCs w:val="24"/>
        </w:rPr>
        <w:t xml:space="preserve"> by Plato in his Allegory of The Cave. Plato uses his narrator Socrates </w:t>
      </w:r>
      <w:r w:rsidR="00996A01" w:rsidRPr="00B039B1">
        <w:rPr>
          <w:rFonts w:cstheme="minorHAnsi"/>
          <w:sz w:val="24"/>
          <w:szCs w:val="24"/>
        </w:rPr>
        <w:t>to tell the story of prisoners who are chained up within an underground cave from childhood</w:t>
      </w:r>
      <w:r w:rsidR="00B134F7" w:rsidRPr="00B039B1">
        <w:rPr>
          <w:rFonts w:cstheme="minorHAnsi"/>
          <w:sz w:val="24"/>
          <w:szCs w:val="24"/>
        </w:rPr>
        <w:t xml:space="preserve">. Throughout this period of </w:t>
      </w:r>
      <w:r w:rsidR="00996A01" w:rsidRPr="00B039B1">
        <w:rPr>
          <w:rFonts w:cstheme="minorHAnsi"/>
          <w:sz w:val="24"/>
          <w:szCs w:val="24"/>
        </w:rPr>
        <w:t>imprisonment</w:t>
      </w:r>
      <w:r w:rsidR="00B134F7" w:rsidRPr="00B039B1">
        <w:rPr>
          <w:rFonts w:cstheme="minorHAnsi"/>
          <w:sz w:val="24"/>
          <w:szCs w:val="24"/>
        </w:rPr>
        <w:t>, and due to the manner in which they have been restrained, their only form of stimulation is to look directly forward at a</w:t>
      </w:r>
      <w:r w:rsidR="00996A01" w:rsidRPr="00B039B1">
        <w:rPr>
          <w:rFonts w:cstheme="minorHAnsi"/>
          <w:sz w:val="24"/>
          <w:szCs w:val="24"/>
        </w:rPr>
        <w:t xml:space="preserve"> stone wall at the back of the cave. They are </w:t>
      </w:r>
      <w:r w:rsidR="00B134F7" w:rsidRPr="00B039B1">
        <w:rPr>
          <w:rFonts w:cstheme="minorHAnsi"/>
          <w:sz w:val="24"/>
          <w:szCs w:val="24"/>
        </w:rPr>
        <w:t xml:space="preserve">also </w:t>
      </w:r>
      <w:r w:rsidR="00996A01" w:rsidRPr="00B039B1">
        <w:rPr>
          <w:rFonts w:cstheme="minorHAnsi"/>
          <w:sz w:val="24"/>
          <w:szCs w:val="24"/>
        </w:rPr>
        <w:t xml:space="preserve">aware of a fire burning somewhere </w:t>
      </w:r>
      <w:r w:rsidR="00B134F7" w:rsidRPr="00B039B1">
        <w:rPr>
          <w:rFonts w:cstheme="minorHAnsi"/>
          <w:sz w:val="24"/>
          <w:szCs w:val="24"/>
        </w:rPr>
        <w:t>behind them</w:t>
      </w:r>
      <w:r w:rsidR="00996A01" w:rsidRPr="00B039B1">
        <w:rPr>
          <w:rFonts w:cstheme="minorHAnsi"/>
          <w:sz w:val="24"/>
          <w:szCs w:val="24"/>
        </w:rPr>
        <w:t xml:space="preserve">, and </w:t>
      </w:r>
      <w:r w:rsidR="009D21AF">
        <w:rPr>
          <w:rFonts w:cstheme="minorHAnsi"/>
          <w:sz w:val="24"/>
          <w:szCs w:val="24"/>
        </w:rPr>
        <w:t>als</w:t>
      </w:r>
      <w:r w:rsidR="00B134F7" w:rsidRPr="00B039B1">
        <w:rPr>
          <w:rFonts w:cstheme="minorHAnsi"/>
          <w:sz w:val="24"/>
          <w:szCs w:val="24"/>
        </w:rPr>
        <w:t xml:space="preserve">o their rear, </w:t>
      </w:r>
      <w:r w:rsidR="009D21AF">
        <w:rPr>
          <w:rFonts w:cstheme="minorHAnsi"/>
          <w:sz w:val="24"/>
          <w:szCs w:val="24"/>
        </w:rPr>
        <w:t xml:space="preserve">they </w:t>
      </w:r>
      <w:r w:rsidR="00E32958" w:rsidRPr="00B039B1">
        <w:rPr>
          <w:rFonts w:cstheme="minorHAnsi"/>
          <w:sz w:val="24"/>
          <w:szCs w:val="24"/>
        </w:rPr>
        <w:t xml:space="preserve">can hear </w:t>
      </w:r>
      <w:r w:rsidR="00996A01" w:rsidRPr="00B039B1">
        <w:rPr>
          <w:rFonts w:cstheme="minorHAnsi"/>
          <w:sz w:val="24"/>
          <w:szCs w:val="24"/>
        </w:rPr>
        <w:t xml:space="preserve">that </w:t>
      </w:r>
      <w:r w:rsidR="00B134F7" w:rsidRPr="00B039B1">
        <w:rPr>
          <w:rFonts w:cstheme="minorHAnsi"/>
          <w:sz w:val="24"/>
          <w:szCs w:val="24"/>
        </w:rPr>
        <w:t xml:space="preserve">there </w:t>
      </w:r>
      <w:r w:rsidR="00996A01" w:rsidRPr="00B039B1">
        <w:rPr>
          <w:rFonts w:cstheme="minorHAnsi"/>
          <w:sz w:val="24"/>
          <w:szCs w:val="24"/>
        </w:rPr>
        <w:t>are other humans going about their business</w:t>
      </w:r>
      <w:r w:rsidR="00B134F7" w:rsidRPr="00B039B1">
        <w:rPr>
          <w:rFonts w:cstheme="minorHAnsi"/>
          <w:sz w:val="24"/>
          <w:szCs w:val="24"/>
        </w:rPr>
        <w:t>,</w:t>
      </w:r>
      <w:r w:rsidR="00996A01" w:rsidRPr="00B039B1">
        <w:rPr>
          <w:rFonts w:cstheme="minorHAnsi"/>
          <w:sz w:val="24"/>
          <w:szCs w:val="24"/>
        </w:rPr>
        <w:t xml:space="preserve"> on a road </w:t>
      </w:r>
      <w:r w:rsidR="00B134F7" w:rsidRPr="00B039B1">
        <w:rPr>
          <w:rFonts w:cstheme="minorHAnsi"/>
          <w:sz w:val="24"/>
          <w:szCs w:val="24"/>
        </w:rPr>
        <w:t>which is hidden behind a curtain wall</w:t>
      </w:r>
      <w:r w:rsidR="009D21AF">
        <w:rPr>
          <w:rFonts w:cstheme="minorHAnsi"/>
          <w:sz w:val="24"/>
          <w:szCs w:val="24"/>
        </w:rPr>
        <w:t xml:space="preserve">, </w:t>
      </w:r>
      <w:r w:rsidR="00E32958" w:rsidRPr="00B039B1">
        <w:rPr>
          <w:rFonts w:cstheme="minorHAnsi"/>
          <w:sz w:val="24"/>
          <w:szCs w:val="24"/>
        </w:rPr>
        <w:t>and they are</w:t>
      </w:r>
      <w:r w:rsidR="00996A01" w:rsidRPr="00B039B1">
        <w:rPr>
          <w:rFonts w:cstheme="minorHAnsi"/>
          <w:sz w:val="24"/>
          <w:szCs w:val="24"/>
        </w:rPr>
        <w:t xml:space="preserve"> able to see images that are projected through the curtain onto the cave wall in front of them</w:t>
      </w:r>
      <w:r w:rsidR="00B134F7" w:rsidRPr="00B039B1">
        <w:rPr>
          <w:rFonts w:cstheme="minorHAnsi"/>
          <w:sz w:val="24"/>
          <w:szCs w:val="24"/>
        </w:rPr>
        <w:t>, through the light generated by the burning fire</w:t>
      </w:r>
      <w:r w:rsidR="00996A01" w:rsidRPr="00B039B1">
        <w:rPr>
          <w:rFonts w:cstheme="minorHAnsi"/>
          <w:sz w:val="24"/>
          <w:szCs w:val="24"/>
        </w:rPr>
        <w:t xml:space="preserve">. Without any context, or </w:t>
      </w:r>
      <w:r w:rsidR="00B134F7" w:rsidRPr="00B039B1">
        <w:rPr>
          <w:rFonts w:cstheme="minorHAnsi"/>
          <w:sz w:val="24"/>
          <w:szCs w:val="24"/>
        </w:rPr>
        <w:t xml:space="preserve">any form of </w:t>
      </w:r>
      <w:r w:rsidR="00996A01" w:rsidRPr="00B039B1">
        <w:rPr>
          <w:rFonts w:cstheme="minorHAnsi"/>
          <w:sz w:val="24"/>
          <w:szCs w:val="24"/>
        </w:rPr>
        <w:t>education, the prisoners interpret thi</w:t>
      </w:r>
      <w:r w:rsidR="001C2BCF" w:rsidRPr="00B039B1">
        <w:rPr>
          <w:rFonts w:cstheme="minorHAnsi"/>
          <w:sz w:val="24"/>
          <w:szCs w:val="24"/>
        </w:rPr>
        <w:t>s unknown world in various ways;</w:t>
      </w:r>
      <w:r w:rsidR="00996A01" w:rsidRPr="00B039B1">
        <w:rPr>
          <w:rFonts w:cstheme="minorHAnsi"/>
          <w:sz w:val="24"/>
          <w:szCs w:val="24"/>
        </w:rPr>
        <w:t xml:space="preserve"> </w:t>
      </w:r>
      <w:r w:rsidR="001C2BCF" w:rsidRPr="00B039B1">
        <w:rPr>
          <w:rFonts w:cstheme="minorHAnsi"/>
          <w:sz w:val="24"/>
          <w:szCs w:val="24"/>
        </w:rPr>
        <w:t xml:space="preserve">that is </w:t>
      </w:r>
      <w:r w:rsidR="00996A01" w:rsidRPr="00B039B1">
        <w:rPr>
          <w:rFonts w:cstheme="minorHAnsi"/>
          <w:sz w:val="24"/>
          <w:szCs w:val="24"/>
        </w:rPr>
        <w:t xml:space="preserve">until </w:t>
      </w:r>
      <w:r w:rsidR="00B134F7" w:rsidRPr="00B039B1">
        <w:rPr>
          <w:rFonts w:cstheme="minorHAnsi"/>
          <w:sz w:val="24"/>
          <w:szCs w:val="24"/>
        </w:rPr>
        <w:t xml:space="preserve">the point where </w:t>
      </w:r>
      <w:r w:rsidR="00996A01" w:rsidRPr="00B039B1">
        <w:rPr>
          <w:rFonts w:cstheme="minorHAnsi"/>
          <w:sz w:val="24"/>
          <w:szCs w:val="24"/>
        </w:rPr>
        <w:t>one of the prisoners somehow escapes</w:t>
      </w:r>
      <w:r w:rsidR="001C2BCF" w:rsidRPr="00B039B1">
        <w:rPr>
          <w:rFonts w:cstheme="minorHAnsi"/>
          <w:sz w:val="24"/>
          <w:szCs w:val="24"/>
        </w:rPr>
        <w:t>,</w:t>
      </w:r>
      <w:r w:rsidR="00996A01" w:rsidRPr="00B039B1">
        <w:rPr>
          <w:rFonts w:cstheme="minorHAnsi"/>
          <w:sz w:val="24"/>
          <w:szCs w:val="24"/>
        </w:rPr>
        <w:t xml:space="preserve"> and turns to look at the fire behind him, which is </w:t>
      </w:r>
      <w:r w:rsidR="00B134F7" w:rsidRPr="00B039B1">
        <w:rPr>
          <w:rFonts w:cstheme="minorHAnsi"/>
          <w:sz w:val="24"/>
          <w:szCs w:val="24"/>
        </w:rPr>
        <w:t xml:space="preserve">usually interpreted as </w:t>
      </w:r>
      <w:r w:rsidR="00996A01" w:rsidRPr="00B039B1">
        <w:rPr>
          <w:rFonts w:cstheme="minorHAnsi"/>
          <w:sz w:val="24"/>
          <w:szCs w:val="24"/>
        </w:rPr>
        <w:t>represent</w:t>
      </w:r>
      <w:r w:rsidR="00B134F7" w:rsidRPr="00B039B1">
        <w:rPr>
          <w:rFonts w:cstheme="minorHAnsi"/>
          <w:sz w:val="24"/>
          <w:szCs w:val="24"/>
        </w:rPr>
        <w:t>ing</w:t>
      </w:r>
      <w:r w:rsidR="00996A01" w:rsidRPr="00B039B1">
        <w:rPr>
          <w:rFonts w:cstheme="minorHAnsi"/>
          <w:sz w:val="24"/>
          <w:szCs w:val="24"/>
        </w:rPr>
        <w:t xml:space="preserve"> illumination and enlightenment</w:t>
      </w:r>
      <w:r w:rsidR="00B134F7" w:rsidRPr="00B039B1">
        <w:rPr>
          <w:rFonts w:cstheme="minorHAnsi"/>
          <w:sz w:val="24"/>
          <w:szCs w:val="24"/>
        </w:rPr>
        <w:t xml:space="preserve"> </w:t>
      </w:r>
      <w:r w:rsidR="007572D0" w:rsidRPr="00B039B1">
        <w:rPr>
          <w:rFonts w:cstheme="minorHAnsi"/>
          <w:sz w:val="24"/>
          <w:szCs w:val="24"/>
        </w:rPr>
        <w:t xml:space="preserve">(Plato, Emlyn-Jones and Preddy, 2015). </w:t>
      </w:r>
      <w:r w:rsidR="00996A01" w:rsidRPr="00B039B1">
        <w:rPr>
          <w:rFonts w:cstheme="minorHAnsi"/>
          <w:sz w:val="24"/>
          <w:szCs w:val="24"/>
        </w:rPr>
        <w:t xml:space="preserve">The light burns his eyes after </w:t>
      </w:r>
      <w:r w:rsidR="00B134F7" w:rsidRPr="00B039B1">
        <w:rPr>
          <w:rFonts w:cstheme="minorHAnsi"/>
          <w:sz w:val="24"/>
          <w:szCs w:val="24"/>
        </w:rPr>
        <w:t xml:space="preserve">the </w:t>
      </w:r>
      <w:r w:rsidR="00996A01" w:rsidRPr="00B039B1">
        <w:rPr>
          <w:rFonts w:cstheme="minorHAnsi"/>
          <w:sz w:val="24"/>
          <w:szCs w:val="24"/>
        </w:rPr>
        <w:t xml:space="preserve">many years of staring at the darkness of the cave wall, and he wishes to return to the darkness and avoid the pain of this new </w:t>
      </w:r>
      <w:r w:rsidR="00B134F7" w:rsidRPr="00B039B1">
        <w:rPr>
          <w:rFonts w:cstheme="minorHAnsi"/>
          <w:sz w:val="24"/>
          <w:szCs w:val="24"/>
        </w:rPr>
        <w:t xml:space="preserve">world. With time though, and through </w:t>
      </w:r>
      <w:r w:rsidR="009D21AF">
        <w:rPr>
          <w:rFonts w:cstheme="minorHAnsi"/>
          <w:sz w:val="24"/>
          <w:szCs w:val="24"/>
        </w:rPr>
        <w:t>a</w:t>
      </w:r>
      <w:r w:rsidR="00B134F7" w:rsidRPr="00B039B1">
        <w:rPr>
          <w:rFonts w:cstheme="minorHAnsi"/>
          <w:sz w:val="24"/>
          <w:szCs w:val="24"/>
        </w:rPr>
        <w:t xml:space="preserve"> bearing of a certain level of pain, he is then able to take stock of his surroundings. Firstly he is only able to look comfortably at the images that are shrouded in shadow, but, again with time to adjust</w:t>
      </w:r>
      <w:r w:rsidR="009D21AF">
        <w:rPr>
          <w:rFonts w:cstheme="minorHAnsi"/>
          <w:sz w:val="24"/>
          <w:szCs w:val="24"/>
        </w:rPr>
        <w:t>,</w:t>
      </w:r>
      <w:r w:rsidR="00B134F7" w:rsidRPr="00B039B1">
        <w:rPr>
          <w:rFonts w:cstheme="minorHAnsi"/>
          <w:sz w:val="24"/>
          <w:szCs w:val="24"/>
        </w:rPr>
        <w:t xml:space="preserve"> he is able to progress to being able to look at all manner of objects, and finally the sun itself. The allegory of the cave is usually seen as an extended metaphor, which can be related to both the process of education, and also to </w:t>
      </w:r>
      <w:r w:rsidR="00B134F7" w:rsidRPr="00B039B1">
        <w:rPr>
          <w:rFonts w:cstheme="minorHAnsi"/>
          <w:sz w:val="24"/>
          <w:szCs w:val="24"/>
        </w:rPr>
        <w:lastRenderedPageBreak/>
        <w:t xml:space="preserve">the concept of reflective practice, </w:t>
      </w:r>
      <w:r w:rsidR="009D21AF">
        <w:rPr>
          <w:rFonts w:cstheme="minorHAnsi"/>
          <w:sz w:val="24"/>
          <w:szCs w:val="24"/>
        </w:rPr>
        <w:t>which can</w:t>
      </w:r>
      <w:r w:rsidR="001C2BCF" w:rsidRPr="00B039B1">
        <w:rPr>
          <w:rFonts w:cstheme="minorHAnsi"/>
          <w:sz w:val="24"/>
          <w:szCs w:val="24"/>
        </w:rPr>
        <w:t xml:space="preserve"> be summarised by stating that that knowledge which is gained through the senses alone is no more than opinion, and in order to have real knowledge, we must gain it through philosophical reasoning </w:t>
      </w:r>
      <w:r w:rsidR="007572D0" w:rsidRPr="00B039B1">
        <w:rPr>
          <w:rFonts w:cstheme="minorHAnsi"/>
          <w:color w:val="000000"/>
          <w:sz w:val="24"/>
          <w:szCs w:val="24"/>
          <w:shd w:val="clear" w:color="auto" w:fill="FFFFFF"/>
        </w:rPr>
        <w:t>(Plato, Emlyn-Jones and Preddy, 2015).</w:t>
      </w:r>
      <w:r w:rsidR="001C2BCF" w:rsidRPr="00B039B1">
        <w:rPr>
          <w:rFonts w:cstheme="minorHAnsi"/>
          <w:sz w:val="24"/>
          <w:szCs w:val="24"/>
        </w:rPr>
        <w:t xml:space="preserve"> </w:t>
      </w:r>
      <w:r w:rsidR="00B134F7" w:rsidRPr="00B039B1">
        <w:rPr>
          <w:rFonts w:cstheme="minorHAnsi"/>
          <w:color w:val="222222"/>
          <w:sz w:val="24"/>
          <w:szCs w:val="24"/>
          <w:shd w:val="clear" w:color="auto" w:fill="FFFFFF"/>
        </w:rPr>
        <w:t xml:space="preserve"> </w:t>
      </w:r>
    </w:p>
    <w:p w14:paraId="296ACD95" w14:textId="61194805" w:rsidR="00F16DFC" w:rsidRPr="00B039B1" w:rsidRDefault="002D6AA3" w:rsidP="00B039B1">
      <w:pPr>
        <w:spacing w:line="360" w:lineRule="auto"/>
        <w:jc w:val="both"/>
        <w:rPr>
          <w:rFonts w:cstheme="minorHAnsi"/>
          <w:sz w:val="24"/>
          <w:szCs w:val="24"/>
        </w:rPr>
      </w:pPr>
      <w:r w:rsidRPr="00B039B1">
        <w:rPr>
          <w:rFonts w:cstheme="minorHAnsi"/>
          <w:sz w:val="24"/>
          <w:szCs w:val="24"/>
        </w:rPr>
        <w:t xml:space="preserve">Within the </w:t>
      </w:r>
      <w:r w:rsidR="009D21AF">
        <w:rPr>
          <w:rFonts w:cstheme="minorHAnsi"/>
          <w:sz w:val="24"/>
          <w:szCs w:val="24"/>
        </w:rPr>
        <w:t xml:space="preserve">specific </w:t>
      </w:r>
      <w:r w:rsidRPr="00B039B1">
        <w:rPr>
          <w:rFonts w:cstheme="minorHAnsi"/>
          <w:sz w:val="24"/>
          <w:szCs w:val="24"/>
        </w:rPr>
        <w:t>context of education, reflecti</w:t>
      </w:r>
      <w:r w:rsidR="00A92FD8" w:rsidRPr="00B039B1">
        <w:rPr>
          <w:rFonts w:cstheme="minorHAnsi"/>
          <w:sz w:val="24"/>
          <w:szCs w:val="24"/>
        </w:rPr>
        <w:t>on and reflective practice can possibly be</w:t>
      </w:r>
      <w:r w:rsidRPr="00B039B1">
        <w:rPr>
          <w:rFonts w:cstheme="minorHAnsi"/>
          <w:sz w:val="24"/>
          <w:szCs w:val="24"/>
        </w:rPr>
        <w:t xml:space="preserve"> best described as ‘the deliberate, purposeful, metacognitive thinking and/or action in which educators engage in order to improve their professional practice’ </w:t>
      </w:r>
      <w:r w:rsidRPr="00B039B1">
        <w:rPr>
          <w:rFonts w:cstheme="minorHAnsi"/>
          <w:color w:val="000000"/>
          <w:sz w:val="24"/>
          <w:szCs w:val="24"/>
          <w:shd w:val="clear" w:color="auto" w:fill="FFFFFF"/>
        </w:rPr>
        <w:t xml:space="preserve">(Sellars, 2017). </w:t>
      </w:r>
      <w:r w:rsidR="00A92FD8" w:rsidRPr="00B039B1">
        <w:rPr>
          <w:rFonts w:cstheme="minorHAnsi"/>
          <w:color w:val="000000"/>
          <w:sz w:val="24"/>
          <w:szCs w:val="24"/>
          <w:shd w:val="clear" w:color="auto" w:fill="FFFFFF"/>
        </w:rPr>
        <w:t xml:space="preserve"> </w:t>
      </w:r>
      <w:r w:rsidR="00611374" w:rsidRPr="00B039B1">
        <w:rPr>
          <w:rFonts w:cstheme="minorHAnsi"/>
          <w:sz w:val="24"/>
          <w:szCs w:val="24"/>
        </w:rPr>
        <w:t xml:space="preserve">The Welsh Government defines reflective practice as the ‘process of thinking through professional issues, problems or dilemmas, which do not have an obvious solution’ </w:t>
      </w:r>
      <w:r w:rsidR="009D21AF" w:rsidRPr="009D21AF">
        <w:rPr>
          <w:rFonts w:cstheme="minorHAnsi"/>
          <w:sz w:val="24"/>
          <w:szCs w:val="24"/>
        </w:rPr>
        <w:t>(Department for Education and Skills, 2015)</w:t>
      </w:r>
      <w:r w:rsidR="00611374" w:rsidRPr="00B039B1">
        <w:rPr>
          <w:rFonts w:cstheme="minorHAnsi"/>
          <w:sz w:val="24"/>
          <w:szCs w:val="24"/>
        </w:rPr>
        <w:t xml:space="preserve">. </w:t>
      </w:r>
      <w:r w:rsidR="00AA6F1E" w:rsidRPr="00B039B1">
        <w:rPr>
          <w:rFonts w:cstheme="minorHAnsi"/>
          <w:sz w:val="24"/>
          <w:szCs w:val="24"/>
        </w:rPr>
        <w:t xml:space="preserve">To further investigate the critical requirement for reflective practice in teaching, there are two luminaries within the field of educational theory that must be addressed, namely </w:t>
      </w:r>
      <w:r w:rsidR="00E32958" w:rsidRPr="00B039B1">
        <w:rPr>
          <w:rFonts w:cstheme="minorHAnsi"/>
          <w:sz w:val="24"/>
          <w:szCs w:val="24"/>
        </w:rPr>
        <w:t xml:space="preserve">John Dewey and Donald </w:t>
      </w:r>
      <w:r w:rsidR="009D21AF" w:rsidRPr="00B039B1">
        <w:rPr>
          <w:rFonts w:cstheme="minorHAnsi"/>
          <w:color w:val="000000"/>
          <w:sz w:val="24"/>
          <w:szCs w:val="24"/>
          <w:shd w:val="clear" w:color="auto" w:fill="FFFFFF"/>
        </w:rPr>
        <w:t>Schön</w:t>
      </w:r>
      <w:r w:rsidR="00E32958" w:rsidRPr="00B039B1">
        <w:rPr>
          <w:rFonts w:cstheme="minorHAnsi"/>
          <w:sz w:val="24"/>
          <w:szCs w:val="24"/>
        </w:rPr>
        <w:t xml:space="preserve">. Dewey’s model of reflective practice posits the opinion that reflective thought was an ‘active, persistent, and careful consideration of any belief or supposed form of knowledge in the light of the grounds that support it and the further conclusions to which it tends’ (Dewey 1933). </w:t>
      </w:r>
      <w:r w:rsidR="007572D0" w:rsidRPr="00B039B1">
        <w:rPr>
          <w:rFonts w:cstheme="minorHAnsi"/>
          <w:sz w:val="24"/>
          <w:szCs w:val="24"/>
        </w:rPr>
        <w:t>This</w:t>
      </w:r>
      <w:r w:rsidR="000401CA" w:rsidRPr="00B039B1">
        <w:rPr>
          <w:rFonts w:cstheme="minorHAnsi"/>
          <w:sz w:val="24"/>
          <w:szCs w:val="24"/>
        </w:rPr>
        <w:t xml:space="preserve"> cou</w:t>
      </w:r>
      <w:r w:rsidR="007572D0" w:rsidRPr="00B039B1">
        <w:rPr>
          <w:rFonts w:cstheme="minorHAnsi"/>
          <w:sz w:val="24"/>
          <w:szCs w:val="24"/>
        </w:rPr>
        <w:t>ld possibly be interpreted as a</w:t>
      </w:r>
      <w:r w:rsidR="000401CA" w:rsidRPr="00B039B1">
        <w:rPr>
          <w:rFonts w:cstheme="minorHAnsi"/>
          <w:sz w:val="24"/>
          <w:szCs w:val="24"/>
        </w:rPr>
        <w:t>s</w:t>
      </w:r>
      <w:r w:rsidR="007572D0" w:rsidRPr="00B039B1">
        <w:rPr>
          <w:rFonts w:cstheme="minorHAnsi"/>
          <w:sz w:val="24"/>
          <w:szCs w:val="24"/>
        </w:rPr>
        <w:t>k</w:t>
      </w:r>
      <w:r w:rsidR="000401CA" w:rsidRPr="00B039B1">
        <w:rPr>
          <w:rFonts w:cstheme="minorHAnsi"/>
          <w:sz w:val="24"/>
          <w:szCs w:val="24"/>
        </w:rPr>
        <w:t xml:space="preserve">ing the practitioner to constantly challenge their assumptions, as a method for professional growth. </w:t>
      </w:r>
      <w:r w:rsidR="009D21AF" w:rsidRPr="00B039B1">
        <w:rPr>
          <w:rFonts w:cstheme="minorHAnsi"/>
          <w:color w:val="000000"/>
          <w:sz w:val="24"/>
          <w:szCs w:val="24"/>
          <w:shd w:val="clear" w:color="auto" w:fill="FFFFFF"/>
        </w:rPr>
        <w:t>Schön</w:t>
      </w:r>
      <w:r w:rsidR="007572D0" w:rsidRPr="00B039B1">
        <w:rPr>
          <w:rFonts w:cstheme="minorHAnsi"/>
          <w:sz w:val="24"/>
          <w:szCs w:val="24"/>
        </w:rPr>
        <w:t xml:space="preserve">’s model of reflective practice described the reflective process a “dialogue of thinking and doing through which I become more </w:t>
      </w:r>
      <w:r w:rsidR="009D21AF" w:rsidRPr="00B039B1">
        <w:rPr>
          <w:rFonts w:cstheme="minorHAnsi"/>
          <w:sz w:val="24"/>
          <w:szCs w:val="24"/>
        </w:rPr>
        <w:t>skilful</w:t>
      </w:r>
      <w:r w:rsidR="007572D0" w:rsidRPr="00B039B1">
        <w:rPr>
          <w:rFonts w:cstheme="minorHAnsi"/>
          <w:sz w:val="24"/>
          <w:szCs w:val="24"/>
        </w:rPr>
        <w:t>’</w:t>
      </w:r>
      <w:r w:rsidR="009D21AF">
        <w:rPr>
          <w:rFonts w:cstheme="minorHAnsi"/>
          <w:sz w:val="24"/>
          <w:szCs w:val="24"/>
        </w:rPr>
        <w:t xml:space="preserve"> </w:t>
      </w:r>
      <w:r w:rsidR="007572D0" w:rsidRPr="00B039B1">
        <w:rPr>
          <w:rFonts w:cstheme="minorHAnsi"/>
          <w:color w:val="000000"/>
          <w:sz w:val="24"/>
          <w:szCs w:val="24"/>
          <w:shd w:val="clear" w:color="auto" w:fill="FFFFFF"/>
        </w:rPr>
        <w:t>(Schön, 1983).</w:t>
      </w:r>
      <w:r w:rsidR="00B039B1" w:rsidRPr="00B039B1">
        <w:rPr>
          <w:rFonts w:cstheme="minorHAnsi"/>
          <w:color w:val="000000"/>
          <w:sz w:val="24"/>
          <w:szCs w:val="24"/>
          <w:shd w:val="clear" w:color="auto" w:fill="FFFFFF"/>
        </w:rPr>
        <w:t xml:space="preserve"> Both models </w:t>
      </w:r>
      <w:r w:rsidR="00B039B1">
        <w:rPr>
          <w:rFonts w:cstheme="minorHAnsi"/>
          <w:color w:val="000000"/>
          <w:sz w:val="24"/>
          <w:szCs w:val="24"/>
          <w:shd w:val="clear" w:color="auto" w:fill="FFFFFF"/>
        </w:rPr>
        <w:t>however require the practitioner to reflect ‘</w:t>
      </w:r>
      <w:r w:rsidR="00B039B1" w:rsidRPr="00B039B1">
        <w:rPr>
          <w:rFonts w:cstheme="minorHAnsi"/>
          <w:color w:val="000000"/>
          <w:sz w:val="24"/>
          <w:szCs w:val="24"/>
          <w:shd w:val="clear" w:color="auto" w:fill="FFFFFF"/>
        </w:rPr>
        <w:t>on-the-spot, in the here-and-now, and the products of their reflections are immediately put into practice in a continuous and spontaneous interplay between thinking and doing, in which ideas are formulated, tested and revised</w:t>
      </w:r>
      <w:r w:rsidR="00B039B1">
        <w:rPr>
          <w:rFonts w:cstheme="minorHAnsi"/>
          <w:color w:val="000000"/>
          <w:sz w:val="24"/>
          <w:szCs w:val="24"/>
          <w:shd w:val="clear" w:color="auto" w:fill="FFFFFF"/>
        </w:rPr>
        <w:t xml:space="preserve">’ </w:t>
      </w:r>
      <w:r w:rsidR="00B039B1" w:rsidRPr="00B039B1">
        <w:rPr>
          <w:rFonts w:cstheme="minorHAnsi"/>
          <w:color w:val="000000"/>
          <w:sz w:val="24"/>
          <w:szCs w:val="24"/>
          <w:shd w:val="clear" w:color="auto" w:fill="FFFFFF"/>
        </w:rPr>
        <w:t>(Rolfe, 2014)</w:t>
      </w:r>
      <w:r w:rsidR="009D21AF">
        <w:rPr>
          <w:rFonts w:cstheme="minorHAnsi"/>
          <w:color w:val="000000"/>
          <w:sz w:val="24"/>
          <w:szCs w:val="24"/>
          <w:shd w:val="clear" w:color="auto" w:fill="FFFFFF"/>
        </w:rPr>
        <w:t>.</w:t>
      </w:r>
      <w:r w:rsidR="00B039B1">
        <w:rPr>
          <w:rFonts w:cstheme="minorHAnsi"/>
          <w:color w:val="000000"/>
          <w:sz w:val="24"/>
          <w:szCs w:val="24"/>
          <w:shd w:val="clear" w:color="auto" w:fill="FFFFFF"/>
        </w:rPr>
        <w:t xml:space="preserve"> </w:t>
      </w:r>
    </w:p>
    <w:p w14:paraId="34650E43" w14:textId="3AAADA08" w:rsidR="00F16DFC" w:rsidRPr="00B039B1" w:rsidRDefault="009D21AF" w:rsidP="00B039B1">
      <w:pPr>
        <w:spacing w:line="360" w:lineRule="auto"/>
        <w:jc w:val="both"/>
        <w:rPr>
          <w:rFonts w:cstheme="minorHAnsi"/>
          <w:sz w:val="24"/>
          <w:szCs w:val="24"/>
          <w:u w:val="single"/>
        </w:rPr>
      </w:pPr>
      <w:r>
        <w:rPr>
          <w:rFonts w:cstheme="minorHAnsi"/>
          <w:sz w:val="24"/>
          <w:szCs w:val="24"/>
          <w:u w:val="single"/>
        </w:rPr>
        <w:t>Personal r</w:t>
      </w:r>
      <w:r w:rsidR="00F16DFC" w:rsidRPr="00B039B1">
        <w:rPr>
          <w:rFonts w:cstheme="minorHAnsi"/>
          <w:sz w:val="24"/>
          <w:szCs w:val="24"/>
          <w:u w:val="single"/>
        </w:rPr>
        <w:t xml:space="preserve">eflection on </w:t>
      </w:r>
      <w:r w:rsidR="000401CA" w:rsidRPr="00B039B1">
        <w:rPr>
          <w:rFonts w:cstheme="minorHAnsi"/>
          <w:sz w:val="24"/>
          <w:szCs w:val="24"/>
          <w:u w:val="single"/>
        </w:rPr>
        <w:t>Micro-</w:t>
      </w:r>
      <w:r w:rsidR="00F16DFC" w:rsidRPr="00B039B1">
        <w:rPr>
          <w:rFonts w:cstheme="minorHAnsi"/>
          <w:sz w:val="24"/>
          <w:szCs w:val="24"/>
          <w:u w:val="single"/>
        </w:rPr>
        <w:t>teach</w:t>
      </w:r>
      <w:r w:rsidR="00481EDA" w:rsidRPr="00B039B1">
        <w:rPr>
          <w:rFonts w:cstheme="minorHAnsi"/>
          <w:sz w:val="24"/>
          <w:szCs w:val="24"/>
          <w:u w:val="single"/>
        </w:rPr>
        <w:t xml:space="preserve"> and </w:t>
      </w:r>
      <w:r w:rsidR="000401CA" w:rsidRPr="00B039B1">
        <w:rPr>
          <w:rFonts w:cstheme="minorHAnsi"/>
          <w:sz w:val="24"/>
          <w:szCs w:val="24"/>
          <w:u w:val="single"/>
        </w:rPr>
        <w:t xml:space="preserve">use of </w:t>
      </w:r>
      <w:r w:rsidR="00481EDA" w:rsidRPr="00B039B1">
        <w:rPr>
          <w:rFonts w:cstheme="minorHAnsi"/>
          <w:sz w:val="24"/>
          <w:szCs w:val="24"/>
          <w:u w:val="single"/>
        </w:rPr>
        <w:t xml:space="preserve">emergent </w:t>
      </w:r>
      <w:r w:rsidR="000401CA" w:rsidRPr="00B039B1">
        <w:rPr>
          <w:rFonts w:cstheme="minorHAnsi"/>
          <w:sz w:val="24"/>
          <w:szCs w:val="24"/>
          <w:u w:val="single"/>
        </w:rPr>
        <w:t>technologies.</w:t>
      </w:r>
    </w:p>
    <w:p w14:paraId="67892F81" w14:textId="40EE0659" w:rsidR="00F16DFC" w:rsidRDefault="00F16DFC" w:rsidP="00B039B1">
      <w:pPr>
        <w:spacing w:line="360" w:lineRule="auto"/>
        <w:jc w:val="both"/>
        <w:rPr>
          <w:rFonts w:cstheme="minorHAnsi"/>
          <w:sz w:val="24"/>
          <w:szCs w:val="24"/>
        </w:rPr>
      </w:pPr>
      <w:r w:rsidRPr="00B039B1">
        <w:rPr>
          <w:rFonts w:cstheme="minorHAnsi"/>
          <w:sz w:val="24"/>
          <w:szCs w:val="24"/>
        </w:rPr>
        <w:t xml:space="preserve">During my last few years of employment I have been working as an Employability Coach, for a company operating within the third sector called Rathbone Training. My duties have mainly including the production, delivery, or adaption of employability geared learning modules, which themselves focused mainly on </w:t>
      </w:r>
      <w:r w:rsidR="0073047C" w:rsidRPr="00B039B1">
        <w:rPr>
          <w:rFonts w:cstheme="minorHAnsi"/>
          <w:sz w:val="24"/>
          <w:szCs w:val="24"/>
        </w:rPr>
        <w:t>improving a variety of an</w:t>
      </w:r>
      <w:r w:rsidRPr="00B039B1">
        <w:rPr>
          <w:rFonts w:cstheme="minorHAnsi"/>
          <w:sz w:val="24"/>
          <w:szCs w:val="24"/>
        </w:rPr>
        <w:t xml:space="preserve"> individuals’ employability skills</w:t>
      </w:r>
      <w:r w:rsidR="0073047C" w:rsidRPr="00B039B1">
        <w:rPr>
          <w:rFonts w:cstheme="minorHAnsi"/>
          <w:sz w:val="24"/>
          <w:szCs w:val="24"/>
        </w:rPr>
        <w:t>, with the intended purpose of assisting to, in the short-term, secure emplo</w:t>
      </w:r>
      <w:r w:rsidR="009D21AF">
        <w:rPr>
          <w:rFonts w:cstheme="minorHAnsi"/>
          <w:sz w:val="24"/>
          <w:szCs w:val="24"/>
        </w:rPr>
        <w:t>yment within their chosen field;</w:t>
      </w:r>
      <w:r w:rsidR="0073047C" w:rsidRPr="00B039B1">
        <w:rPr>
          <w:rFonts w:cstheme="minorHAnsi"/>
          <w:sz w:val="24"/>
          <w:szCs w:val="24"/>
        </w:rPr>
        <w:t xml:space="preserve"> and in the long-term, maintain that employment</w:t>
      </w:r>
      <w:r w:rsidRPr="00B039B1">
        <w:rPr>
          <w:rFonts w:cstheme="minorHAnsi"/>
          <w:sz w:val="24"/>
          <w:szCs w:val="24"/>
        </w:rPr>
        <w:t xml:space="preserve">. This focus on ‘soft skills’ allowed me to push </w:t>
      </w:r>
      <w:r w:rsidR="004A0079">
        <w:rPr>
          <w:rFonts w:cstheme="minorHAnsi"/>
          <w:sz w:val="24"/>
          <w:szCs w:val="24"/>
        </w:rPr>
        <w:t xml:space="preserve">for an enhanced focus on </w:t>
      </w:r>
      <w:r w:rsidR="0073047C" w:rsidRPr="00B039B1">
        <w:rPr>
          <w:rFonts w:cstheme="minorHAnsi"/>
          <w:sz w:val="24"/>
          <w:szCs w:val="24"/>
        </w:rPr>
        <w:t xml:space="preserve">communication skills, which is </w:t>
      </w:r>
      <w:r w:rsidRPr="00B039B1">
        <w:rPr>
          <w:rFonts w:cstheme="minorHAnsi"/>
          <w:sz w:val="24"/>
          <w:szCs w:val="24"/>
        </w:rPr>
        <w:t>an area of both personal interest, as well as an increasingly important aspect</w:t>
      </w:r>
      <w:r w:rsidR="0073047C" w:rsidRPr="00B039B1">
        <w:rPr>
          <w:rFonts w:cstheme="minorHAnsi"/>
          <w:sz w:val="24"/>
          <w:szCs w:val="24"/>
        </w:rPr>
        <w:t xml:space="preserve"> of the modern employability</w:t>
      </w:r>
      <w:r w:rsidRPr="00B039B1">
        <w:rPr>
          <w:rFonts w:cstheme="minorHAnsi"/>
          <w:sz w:val="24"/>
          <w:szCs w:val="24"/>
        </w:rPr>
        <w:t xml:space="preserve"> </w:t>
      </w:r>
      <w:r w:rsidR="0073047C" w:rsidRPr="00B039B1">
        <w:rPr>
          <w:rFonts w:cstheme="minorHAnsi"/>
          <w:sz w:val="24"/>
          <w:szCs w:val="24"/>
        </w:rPr>
        <w:lastRenderedPageBreak/>
        <w:t>skillset.</w:t>
      </w:r>
      <w:r w:rsidRPr="00B039B1">
        <w:rPr>
          <w:rFonts w:cstheme="minorHAnsi"/>
          <w:sz w:val="24"/>
          <w:szCs w:val="24"/>
        </w:rPr>
        <w:t xml:space="preserve"> </w:t>
      </w:r>
      <w:r w:rsidR="0073047C" w:rsidRPr="00B039B1">
        <w:rPr>
          <w:rFonts w:cstheme="minorHAnsi"/>
          <w:sz w:val="24"/>
          <w:szCs w:val="24"/>
        </w:rPr>
        <w:t xml:space="preserve">Communication skills, or a lack thereof, are often cited by employers in 2018 as problematic area with regards to recruitment </w:t>
      </w:r>
      <w:r w:rsidR="000401CA" w:rsidRPr="00B039B1">
        <w:rPr>
          <w:rFonts w:cstheme="minorHAnsi"/>
          <w:sz w:val="24"/>
          <w:szCs w:val="24"/>
        </w:rPr>
        <w:t>(Hurrell, 2015)</w:t>
      </w:r>
      <w:r w:rsidR="009D21AF">
        <w:rPr>
          <w:rFonts w:cstheme="minorHAnsi"/>
          <w:sz w:val="24"/>
          <w:szCs w:val="24"/>
        </w:rPr>
        <w:t>, and</w:t>
      </w:r>
      <w:r w:rsidR="0073047C" w:rsidRPr="00B039B1">
        <w:rPr>
          <w:rFonts w:cstheme="minorHAnsi"/>
          <w:sz w:val="24"/>
          <w:szCs w:val="24"/>
        </w:rPr>
        <w:t xml:space="preserve"> </w:t>
      </w:r>
      <w:r w:rsidRPr="00B039B1">
        <w:rPr>
          <w:rFonts w:cstheme="minorHAnsi"/>
          <w:sz w:val="24"/>
          <w:szCs w:val="24"/>
        </w:rPr>
        <w:t xml:space="preserve">I wanted during this first micro-teach to use my existing knowledge </w:t>
      </w:r>
      <w:r w:rsidR="00896E78" w:rsidRPr="00B039B1">
        <w:rPr>
          <w:rFonts w:cstheme="minorHAnsi"/>
          <w:sz w:val="24"/>
          <w:szCs w:val="24"/>
        </w:rPr>
        <w:t xml:space="preserve">and experience gained from this time of my own employment, and to deliver a lesson based around the concept of communication. To begin this process I began by looking through my previous work in this field, and looking at the different ways that I have taught communication skills over the past few years. The main difference however was that the micro-teach session was scheduled to last thirty minutes, and the vast majority of the lessons that I have taught since graduating have been much longer sessions. My initial reaction was to see this as an easier process, as in that I would be simply able to adapt my previous work, shorten it, and then that would then give me the basis from which to work from. Unfortunately, this turned out to be much more difficult in practice than </w:t>
      </w:r>
      <w:r w:rsidR="004A0079">
        <w:rPr>
          <w:rFonts w:cstheme="minorHAnsi"/>
          <w:sz w:val="24"/>
          <w:szCs w:val="24"/>
        </w:rPr>
        <w:t>in theory</w:t>
      </w:r>
      <w:r w:rsidR="00896E78" w:rsidRPr="00B039B1">
        <w:rPr>
          <w:rFonts w:cstheme="minorHAnsi"/>
          <w:sz w:val="24"/>
          <w:szCs w:val="24"/>
        </w:rPr>
        <w:t xml:space="preserve">, and it was </w:t>
      </w:r>
      <w:r w:rsidR="004A0079">
        <w:rPr>
          <w:rFonts w:cstheme="minorHAnsi"/>
          <w:sz w:val="24"/>
          <w:szCs w:val="24"/>
        </w:rPr>
        <w:t>quickly apparent</w:t>
      </w:r>
      <w:r w:rsidR="00896E78" w:rsidRPr="00B039B1">
        <w:rPr>
          <w:rFonts w:cstheme="minorHAnsi"/>
          <w:sz w:val="24"/>
          <w:szCs w:val="24"/>
        </w:rPr>
        <w:t xml:space="preserve"> that I would be required to look at producing a standalone lesson from scratch, which would fulfil the requirements on which I was being marked. The other main initial problem was the consideration of the existing understanding of the audience. </w:t>
      </w:r>
      <w:r w:rsidR="00866441" w:rsidRPr="00B039B1">
        <w:rPr>
          <w:rFonts w:cstheme="minorHAnsi"/>
          <w:sz w:val="24"/>
          <w:szCs w:val="24"/>
        </w:rPr>
        <w:t>Most of the audience would be comprised of Post Graduate students, and through conversations I’d had with my peers who were to make up my ‘class’, I was aware that most of them had studied some form of communication skills during their undergraduat</w:t>
      </w:r>
      <w:r w:rsidR="00186F61" w:rsidRPr="00B039B1">
        <w:rPr>
          <w:rFonts w:cstheme="minorHAnsi"/>
          <w:sz w:val="24"/>
          <w:szCs w:val="24"/>
        </w:rPr>
        <w:t>e degrees, and we’d also attended</w:t>
      </w:r>
      <w:r w:rsidR="00866441" w:rsidRPr="00B039B1">
        <w:rPr>
          <w:rFonts w:cstheme="minorHAnsi"/>
          <w:sz w:val="24"/>
          <w:szCs w:val="24"/>
        </w:rPr>
        <w:t xml:space="preserve"> a lecture which discussed communication skills the week previously. It was at this point of the process of preparation that I decided to instead focus on a specific section of communication skills, </w:t>
      </w:r>
      <w:r w:rsidR="00186F61" w:rsidRPr="00B039B1">
        <w:rPr>
          <w:rFonts w:cstheme="minorHAnsi"/>
          <w:sz w:val="24"/>
          <w:szCs w:val="24"/>
        </w:rPr>
        <w:t>namely</w:t>
      </w:r>
      <w:r w:rsidR="000401CA" w:rsidRPr="00B039B1">
        <w:rPr>
          <w:rFonts w:cstheme="minorHAnsi"/>
          <w:sz w:val="24"/>
          <w:szCs w:val="24"/>
        </w:rPr>
        <w:t xml:space="preserve"> non-verbal communication, which was not covered within the previous lecture. </w:t>
      </w:r>
      <w:r w:rsidR="00866441" w:rsidRPr="00B039B1">
        <w:rPr>
          <w:rFonts w:cstheme="minorHAnsi"/>
          <w:sz w:val="24"/>
          <w:szCs w:val="24"/>
        </w:rPr>
        <w:t xml:space="preserve"> </w:t>
      </w:r>
      <w:r w:rsidR="000401CA" w:rsidRPr="00B039B1">
        <w:rPr>
          <w:rFonts w:cstheme="minorHAnsi"/>
          <w:sz w:val="24"/>
          <w:szCs w:val="24"/>
        </w:rPr>
        <w:t xml:space="preserve">I had decided to use a mixture of resources, which would be presented through the use of Microsoft PowerPoint. I am familiar with the application and felt confident that I would be able to produce a lesson of a reasonable visual standard at least. </w:t>
      </w:r>
      <w:r w:rsidR="00186F61" w:rsidRPr="00B039B1">
        <w:rPr>
          <w:rFonts w:cstheme="minorHAnsi"/>
          <w:sz w:val="24"/>
          <w:szCs w:val="24"/>
        </w:rPr>
        <w:t xml:space="preserve">PowerPoint as presentation tool could be said to have become ‘ubiquitous as an instrument for lecture presentations’, and as a result its ‘pervasiveness and importance in higher and other forms of education, PowerPoint pedagogy has been subject of much research’ </w:t>
      </w:r>
      <w:r w:rsidR="00186F61" w:rsidRPr="00B039B1">
        <w:rPr>
          <w:rFonts w:cstheme="minorHAnsi"/>
          <w:color w:val="000000"/>
          <w:sz w:val="24"/>
          <w:szCs w:val="24"/>
          <w:shd w:val="clear" w:color="auto" w:fill="FFFFFF"/>
        </w:rPr>
        <w:t xml:space="preserve">(Wanner, 2015). </w:t>
      </w:r>
      <w:r w:rsidR="007572D0" w:rsidRPr="00B039B1">
        <w:rPr>
          <w:rFonts w:cstheme="minorHAnsi"/>
          <w:color w:val="000000"/>
          <w:sz w:val="24"/>
          <w:szCs w:val="24"/>
          <w:shd w:val="clear" w:color="auto" w:fill="FFFFFF"/>
        </w:rPr>
        <w:t>PowerPoint however, is not without its critics, with criticisms ranging</w:t>
      </w:r>
      <w:r w:rsidR="00186F61" w:rsidRPr="00B039B1">
        <w:rPr>
          <w:rFonts w:cstheme="minorHAnsi"/>
          <w:sz w:val="24"/>
          <w:szCs w:val="24"/>
        </w:rPr>
        <w:t xml:space="preserve"> from </w:t>
      </w:r>
      <w:r w:rsidR="007572D0" w:rsidRPr="00B039B1">
        <w:rPr>
          <w:rFonts w:cstheme="minorHAnsi"/>
          <w:sz w:val="24"/>
          <w:szCs w:val="24"/>
        </w:rPr>
        <w:t>‘</w:t>
      </w:r>
      <w:r w:rsidR="00186F61" w:rsidRPr="00B039B1">
        <w:rPr>
          <w:rFonts w:cstheme="minorHAnsi"/>
          <w:sz w:val="24"/>
          <w:szCs w:val="24"/>
        </w:rPr>
        <w:t>charges that it reduces the analytical quality of presentations to a claim that it inhibits presenter–audience interaction</w:t>
      </w:r>
      <w:r w:rsidR="007572D0" w:rsidRPr="00B039B1">
        <w:rPr>
          <w:rFonts w:cstheme="minorHAnsi"/>
          <w:sz w:val="24"/>
          <w:szCs w:val="24"/>
        </w:rPr>
        <w:t>’</w:t>
      </w:r>
      <w:r w:rsidR="00186F61" w:rsidRPr="00B039B1">
        <w:rPr>
          <w:rFonts w:cstheme="minorHAnsi"/>
          <w:sz w:val="24"/>
          <w:szCs w:val="24"/>
        </w:rPr>
        <w:t xml:space="preserve"> (Driessnack, 2005).</w:t>
      </w:r>
      <w:r w:rsidR="007572D0" w:rsidRPr="00B039B1">
        <w:rPr>
          <w:rFonts w:cstheme="minorHAnsi"/>
          <w:sz w:val="24"/>
          <w:szCs w:val="24"/>
        </w:rPr>
        <w:t xml:space="preserve"> At present, and for this particular situation, I felt that it was the most appropriate tool at my disposal, and would enable me to present my lesson in a way in which I felt comfortable. </w:t>
      </w:r>
      <w:r w:rsidR="00A16D41">
        <w:rPr>
          <w:rFonts w:cstheme="minorHAnsi"/>
          <w:sz w:val="24"/>
          <w:szCs w:val="24"/>
        </w:rPr>
        <w:t xml:space="preserve">In practice the lesson went reasonably well, however there are clearly areas in which I need to improve, namely in my delivery. Feedback </w:t>
      </w:r>
      <w:r w:rsidR="00A16D41">
        <w:rPr>
          <w:rFonts w:cstheme="minorHAnsi"/>
          <w:sz w:val="24"/>
          <w:szCs w:val="24"/>
        </w:rPr>
        <w:lastRenderedPageBreak/>
        <w:t xml:space="preserve">from both my peers and lecturer emphasised my speech pattern as being too rapid, and that will be something that I will be working on improving over the next year of my studies and teaching placements. Additional areas for improvement were also mentioned, including to ensure that I ask for feedback from the activity to ensure that learners feel engaged, and that their efforts are worthwhile and valued also. </w:t>
      </w:r>
    </w:p>
    <w:p w14:paraId="0676690A" w14:textId="4F99AC6D" w:rsidR="00A16D41" w:rsidRPr="00B039B1" w:rsidRDefault="00A16D41" w:rsidP="00B039B1">
      <w:pPr>
        <w:spacing w:line="360" w:lineRule="auto"/>
        <w:jc w:val="both"/>
        <w:rPr>
          <w:rFonts w:cstheme="minorHAnsi"/>
          <w:sz w:val="24"/>
          <w:szCs w:val="24"/>
        </w:rPr>
      </w:pPr>
    </w:p>
    <w:p w14:paraId="5144E784" w14:textId="77777777" w:rsidR="00A16D41" w:rsidRDefault="00A16D41" w:rsidP="004A0079">
      <w:pPr>
        <w:spacing w:after="100" w:afterAutospacing="1" w:line="360" w:lineRule="auto"/>
        <w:jc w:val="both"/>
        <w:outlineLvl w:val="1"/>
        <w:rPr>
          <w:rFonts w:eastAsia="Times New Roman" w:cstheme="minorHAnsi"/>
          <w:color w:val="000000"/>
          <w:sz w:val="36"/>
          <w:szCs w:val="36"/>
          <w:lang w:eastAsia="en-GB"/>
        </w:rPr>
      </w:pPr>
    </w:p>
    <w:p w14:paraId="69D83E67" w14:textId="77777777" w:rsidR="00A16D41" w:rsidRDefault="00A16D41" w:rsidP="004A0079">
      <w:pPr>
        <w:spacing w:after="100" w:afterAutospacing="1" w:line="360" w:lineRule="auto"/>
        <w:jc w:val="both"/>
        <w:outlineLvl w:val="1"/>
        <w:rPr>
          <w:rFonts w:eastAsia="Times New Roman" w:cstheme="minorHAnsi"/>
          <w:color w:val="000000"/>
          <w:sz w:val="36"/>
          <w:szCs w:val="36"/>
          <w:lang w:eastAsia="en-GB"/>
        </w:rPr>
      </w:pPr>
    </w:p>
    <w:p w14:paraId="1DDC5BDB" w14:textId="77777777" w:rsidR="00A16D41" w:rsidRDefault="00A16D41" w:rsidP="004A0079">
      <w:pPr>
        <w:spacing w:after="100" w:afterAutospacing="1" w:line="360" w:lineRule="auto"/>
        <w:jc w:val="both"/>
        <w:outlineLvl w:val="1"/>
        <w:rPr>
          <w:rFonts w:eastAsia="Times New Roman" w:cstheme="minorHAnsi"/>
          <w:color w:val="000000"/>
          <w:sz w:val="36"/>
          <w:szCs w:val="36"/>
          <w:lang w:eastAsia="en-GB"/>
        </w:rPr>
      </w:pPr>
    </w:p>
    <w:p w14:paraId="673D8DB1" w14:textId="77777777" w:rsidR="00A16D41" w:rsidRDefault="00A16D41" w:rsidP="004A0079">
      <w:pPr>
        <w:spacing w:after="100" w:afterAutospacing="1" w:line="360" w:lineRule="auto"/>
        <w:jc w:val="both"/>
        <w:outlineLvl w:val="1"/>
        <w:rPr>
          <w:rFonts w:eastAsia="Times New Roman" w:cstheme="minorHAnsi"/>
          <w:color w:val="000000"/>
          <w:sz w:val="36"/>
          <w:szCs w:val="36"/>
          <w:lang w:eastAsia="en-GB"/>
        </w:rPr>
      </w:pPr>
    </w:p>
    <w:p w14:paraId="599F7AC4" w14:textId="77777777" w:rsidR="00A16D41" w:rsidRDefault="00A16D41" w:rsidP="004A0079">
      <w:pPr>
        <w:spacing w:after="100" w:afterAutospacing="1" w:line="360" w:lineRule="auto"/>
        <w:jc w:val="both"/>
        <w:outlineLvl w:val="1"/>
        <w:rPr>
          <w:rFonts w:eastAsia="Times New Roman" w:cstheme="minorHAnsi"/>
          <w:color w:val="000000"/>
          <w:sz w:val="36"/>
          <w:szCs w:val="36"/>
          <w:lang w:eastAsia="en-GB"/>
        </w:rPr>
      </w:pPr>
    </w:p>
    <w:p w14:paraId="17422921" w14:textId="77777777" w:rsidR="00A16D41" w:rsidRDefault="00A16D41" w:rsidP="004A0079">
      <w:pPr>
        <w:spacing w:after="100" w:afterAutospacing="1" w:line="360" w:lineRule="auto"/>
        <w:jc w:val="both"/>
        <w:outlineLvl w:val="1"/>
        <w:rPr>
          <w:rFonts w:eastAsia="Times New Roman" w:cstheme="minorHAnsi"/>
          <w:color w:val="000000"/>
          <w:sz w:val="36"/>
          <w:szCs w:val="36"/>
          <w:lang w:eastAsia="en-GB"/>
        </w:rPr>
      </w:pPr>
    </w:p>
    <w:p w14:paraId="32E0BBF9" w14:textId="77777777" w:rsidR="00A16D41" w:rsidRDefault="00A16D41" w:rsidP="004A0079">
      <w:pPr>
        <w:spacing w:after="100" w:afterAutospacing="1" w:line="360" w:lineRule="auto"/>
        <w:jc w:val="both"/>
        <w:outlineLvl w:val="1"/>
        <w:rPr>
          <w:rFonts w:eastAsia="Times New Roman" w:cstheme="minorHAnsi"/>
          <w:color w:val="000000"/>
          <w:sz w:val="36"/>
          <w:szCs w:val="36"/>
          <w:lang w:eastAsia="en-GB"/>
        </w:rPr>
      </w:pPr>
    </w:p>
    <w:p w14:paraId="4462BB7B" w14:textId="77777777" w:rsidR="00A16D41" w:rsidRDefault="00A16D41" w:rsidP="004A0079">
      <w:pPr>
        <w:spacing w:after="100" w:afterAutospacing="1" w:line="360" w:lineRule="auto"/>
        <w:jc w:val="both"/>
        <w:outlineLvl w:val="1"/>
        <w:rPr>
          <w:rFonts w:eastAsia="Times New Roman" w:cstheme="minorHAnsi"/>
          <w:color w:val="000000"/>
          <w:sz w:val="36"/>
          <w:szCs w:val="36"/>
          <w:lang w:eastAsia="en-GB"/>
        </w:rPr>
      </w:pPr>
    </w:p>
    <w:p w14:paraId="16E2DE23" w14:textId="77777777" w:rsidR="00A16D41" w:rsidRDefault="00A16D41" w:rsidP="004A0079">
      <w:pPr>
        <w:spacing w:after="100" w:afterAutospacing="1" w:line="360" w:lineRule="auto"/>
        <w:jc w:val="both"/>
        <w:outlineLvl w:val="1"/>
        <w:rPr>
          <w:rFonts w:eastAsia="Times New Roman" w:cstheme="minorHAnsi"/>
          <w:color w:val="000000"/>
          <w:sz w:val="36"/>
          <w:szCs w:val="36"/>
          <w:lang w:eastAsia="en-GB"/>
        </w:rPr>
      </w:pPr>
    </w:p>
    <w:p w14:paraId="144C5D24" w14:textId="77777777" w:rsidR="00A16D41" w:rsidRDefault="00A16D41" w:rsidP="004A0079">
      <w:pPr>
        <w:spacing w:after="100" w:afterAutospacing="1" w:line="360" w:lineRule="auto"/>
        <w:jc w:val="both"/>
        <w:outlineLvl w:val="1"/>
        <w:rPr>
          <w:rFonts w:eastAsia="Times New Roman" w:cstheme="minorHAnsi"/>
          <w:color w:val="000000"/>
          <w:sz w:val="36"/>
          <w:szCs w:val="36"/>
          <w:lang w:eastAsia="en-GB"/>
        </w:rPr>
      </w:pPr>
    </w:p>
    <w:p w14:paraId="4EAE507C" w14:textId="77777777" w:rsidR="00A16D41" w:rsidRDefault="00A16D41" w:rsidP="004A0079">
      <w:pPr>
        <w:spacing w:after="100" w:afterAutospacing="1" w:line="360" w:lineRule="auto"/>
        <w:jc w:val="both"/>
        <w:outlineLvl w:val="1"/>
        <w:rPr>
          <w:rFonts w:eastAsia="Times New Roman" w:cstheme="minorHAnsi"/>
          <w:color w:val="000000"/>
          <w:sz w:val="36"/>
          <w:szCs w:val="36"/>
          <w:lang w:eastAsia="en-GB"/>
        </w:rPr>
      </w:pPr>
    </w:p>
    <w:p w14:paraId="33754A7C" w14:textId="77777777" w:rsidR="00A16D41" w:rsidRDefault="00A16D41" w:rsidP="004A0079">
      <w:pPr>
        <w:spacing w:after="100" w:afterAutospacing="1" w:line="360" w:lineRule="auto"/>
        <w:jc w:val="both"/>
        <w:outlineLvl w:val="1"/>
        <w:rPr>
          <w:rFonts w:eastAsia="Times New Roman" w:cstheme="minorHAnsi"/>
          <w:color w:val="000000"/>
          <w:sz w:val="36"/>
          <w:szCs w:val="36"/>
          <w:lang w:eastAsia="en-GB"/>
        </w:rPr>
      </w:pPr>
    </w:p>
    <w:p w14:paraId="5F7B98D3" w14:textId="77777777" w:rsidR="00A16D41" w:rsidRDefault="00A16D41" w:rsidP="004A0079">
      <w:pPr>
        <w:spacing w:after="100" w:afterAutospacing="1" w:line="360" w:lineRule="auto"/>
        <w:jc w:val="both"/>
        <w:outlineLvl w:val="1"/>
        <w:rPr>
          <w:rFonts w:eastAsia="Times New Roman" w:cstheme="minorHAnsi"/>
          <w:color w:val="000000"/>
          <w:sz w:val="36"/>
          <w:szCs w:val="36"/>
          <w:lang w:eastAsia="en-GB"/>
        </w:rPr>
      </w:pPr>
    </w:p>
    <w:p w14:paraId="0DFD173D" w14:textId="561F5913" w:rsidR="004A0079" w:rsidRPr="004A0079" w:rsidRDefault="004A0079" w:rsidP="004A0079">
      <w:pPr>
        <w:spacing w:after="100" w:afterAutospacing="1" w:line="360" w:lineRule="auto"/>
        <w:jc w:val="both"/>
        <w:outlineLvl w:val="1"/>
        <w:rPr>
          <w:rFonts w:eastAsia="Times New Roman" w:cstheme="minorHAnsi"/>
          <w:color w:val="000000"/>
          <w:sz w:val="36"/>
          <w:szCs w:val="36"/>
          <w:lang w:eastAsia="en-GB"/>
        </w:rPr>
      </w:pPr>
      <w:r w:rsidRPr="004A0079">
        <w:rPr>
          <w:rFonts w:eastAsia="Times New Roman" w:cstheme="minorHAnsi"/>
          <w:color w:val="000000"/>
          <w:sz w:val="36"/>
          <w:szCs w:val="36"/>
          <w:lang w:eastAsia="en-GB"/>
        </w:rPr>
        <w:t>References</w:t>
      </w:r>
    </w:p>
    <w:p w14:paraId="417138A1" w14:textId="77777777" w:rsidR="004A0079" w:rsidRPr="004A0079" w:rsidRDefault="004A0079" w:rsidP="004A0079">
      <w:pPr>
        <w:spacing w:after="180" w:line="360" w:lineRule="auto"/>
        <w:ind w:left="450" w:hanging="450"/>
        <w:jc w:val="both"/>
        <w:rPr>
          <w:rFonts w:eastAsia="Times New Roman" w:cstheme="minorHAnsi"/>
          <w:color w:val="000000"/>
          <w:sz w:val="24"/>
          <w:szCs w:val="24"/>
          <w:lang w:eastAsia="en-GB"/>
        </w:rPr>
      </w:pPr>
      <w:r w:rsidRPr="004A0079">
        <w:rPr>
          <w:rFonts w:eastAsia="Times New Roman" w:cstheme="minorHAnsi"/>
          <w:color w:val="000000"/>
          <w:sz w:val="24"/>
          <w:szCs w:val="24"/>
          <w:lang w:eastAsia="en-GB"/>
        </w:rPr>
        <w:t>Department for Education and Skills (2015). </w:t>
      </w:r>
      <w:r w:rsidRPr="004A0079">
        <w:rPr>
          <w:rFonts w:eastAsia="Times New Roman" w:cstheme="minorHAnsi"/>
          <w:i/>
          <w:iCs/>
          <w:color w:val="000000"/>
          <w:sz w:val="24"/>
          <w:szCs w:val="24"/>
          <w:lang w:eastAsia="en-GB"/>
        </w:rPr>
        <w:t>New Deal for the Education Workforce</w:t>
      </w:r>
      <w:r w:rsidRPr="004A0079">
        <w:rPr>
          <w:rFonts w:eastAsia="Times New Roman" w:cstheme="minorHAnsi"/>
          <w:color w:val="000000"/>
          <w:sz w:val="24"/>
          <w:szCs w:val="24"/>
          <w:lang w:eastAsia="en-GB"/>
        </w:rPr>
        <w:t>. Cardiff: Welsh Government.</w:t>
      </w:r>
    </w:p>
    <w:p w14:paraId="2F965E8B" w14:textId="77777777" w:rsidR="004A0079" w:rsidRPr="004A0079" w:rsidRDefault="004A0079" w:rsidP="004A0079">
      <w:pPr>
        <w:spacing w:after="180" w:line="360" w:lineRule="auto"/>
        <w:ind w:left="450" w:hanging="450"/>
        <w:jc w:val="both"/>
        <w:rPr>
          <w:rFonts w:eastAsia="Times New Roman" w:cstheme="minorHAnsi"/>
          <w:color w:val="000000"/>
          <w:sz w:val="24"/>
          <w:szCs w:val="24"/>
          <w:lang w:eastAsia="en-GB"/>
        </w:rPr>
      </w:pPr>
      <w:r w:rsidRPr="004A0079">
        <w:rPr>
          <w:rFonts w:eastAsia="Times New Roman" w:cstheme="minorHAnsi"/>
          <w:color w:val="000000"/>
          <w:sz w:val="24"/>
          <w:szCs w:val="24"/>
          <w:lang w:eastAsia="en-GB"/>
        </w:rPr>
        <w:t>Dewey, J. (1933). </w:t>
      </w:r>
      <w:r w:rsidRPr="004A0079">
        <w:rPr>
          <w:rFonts w:eastAsia="Times New Roman" w:cstheme="minorHAnsi"/>
          <w:i/>
          <w:iCs/>
          <w:color w:val="000000"/>
          <w:sz w:val="24"/>
          <w:szCs w:val="24"/>
          <w:lang w:eastAsia="en-GB"/>
        </w:rPr>
        <w:t>How We Think</w:t>
      </w:r>
      <w:r w:rsidRPr="004A0079">
        <w:rPr>
          <w:rFonts w:eastAsia="Times New Roman" w:cstheme="minorHAnsi"/>
          <w:color w:val="000000"/>
          <w:sz w:val="24"/>
          <w:szCs w:val="24"/>
          <w:lang w:eastAsia="en-GB"/>
        </w:rPr>
        <w:t>. 1st ed. New York: D. C. Heath, p.118.</w:t>
      </w:r>
    </w:p>
    <w:p w14:paraId="36B5BD1C" w14:textId="77777777" w:rsidR="004A0079" w:rsidRPr="004A0079" w:rsidRDefault="004A0079" w:rsidP="004A0079">
      <w:pPr>
        <w:spacing w:after="180" w:line="360" w:lineRule="auto"/>
        <w:ind w:left="450" w:hanging="450"/>
        <w:jc w:val="both"/>
        <w:rPr>
          <w:rFonts w:eastAsia="Times New Roman" w:cstheme="minorHAnsi"/>
          <w:color w:val="000000"/>
          <w:sz w:val="24"/>
          <w:szCs w:val="24"/>
          <w:lang w:eastAsia="en-GB"/>
        </w:rPr>
      </w:pPr>
      <w:r w:rsidRPr="004A0079">
        <w:rPr>
          <w:rFonts w:eastAsia="Times New Roman" w:cstheme="minorHAnsi"/>
          <w:color w:val="000000"/>
          <w:sz w:val="24"/>
          <w:szCs w:val="24"/>
          <w:lang w:eastAsia="en-GB"/>
        </w:rPr>
        <w:t>Driessnack, M. (2005). A closer look at PowerPoint. </w:t>
      </w:r>
      <w:r w:rsidRPr="004A0079">
        <w:rPr>
          <w:rFonts w:eastAsia="Times New Roman" w:cstheme="minorHAnsi"/>
          <w:i/>
          <w:iCs/>
          <w:color w:val="000000"/>
          <w:sz w:val="24"/>
          <w:szCs w:val="24"/>
          <w:lang w:eastAsia="en-GB"/>
        </w:rPr>
        <w:t>Journal of Nursing Education</w:t>
      </w:r>
      <w:r w:rsidRPr="004A0079">
        <w:rPr>
          <w:rFonts w:eastAsia="Times New Roman" w:cstheme="minorHAnsi"/>
          <w:color w:val="000000"/>
          <w:sz w:val="24"/>
          <w:szCs w:val="24"/>
          <w:lang w:eastAsia="en-GB"/>
        </w:rPr>
        <w:t>, 44(8), p.347.</w:t>
      </w:r>
    </w:p>
    <w:p w14:paraId="7524A101" w14:textId="77777777" w:rsidR="004A0079" w:rsidRPr="004A0079" w:rsidRDefault="004A0079" w:rsidP="004A0079">
      <w:pPr>
        <w:spacing w:after="180" w:line="360" w:lineRule="auto"/>
        <w:ind w:left="450" w:hanging="450"/>
        <w:jc w:val="both"/>
        <w:rPr>
          <w:rFonts w:eastAsia="Times New Roman" w:cstheme="minorHAnsi"/>
          <w:color w:val="000000"/>
          <w:sz w:val="24"/>
          <w:szCs w:val="24"/>
          <w:lang w:eastAsia="en-GB"/>
        </w:rPr>
      </w:pPr>
      <w:r w:rsidRPr="004A0079">
        <w:rPr>
          <w:rFonts w:eastAsia="Times New Roman" w:cstheme="minorHAnsi"/>
          <w:color w:val="000000"/>
          <w:sz w:val="24"/>
          <w:szCs w:val="24"/>
          <w:lang w:eastAsia="en-GB"/>
        </w:rPr>
        <w:t>Hurrell, S. (2015). Rethinking the soft skills deficit blame game: Employers, skills withdrawal and the reporting of soft skills gaps. </w:t>
      </w:r>
      <w:r w:rsidRPr="004A0079">
        <w:rPr>
          <w:rFonts w:eastAsia="Times New Roman" w:cstheme="minorHAnsi"/>
          <w:i/>
          <w:iCs/>
          <w:color w:val="000000"/>
          <w:sz w:val="24"/>
          <w:szCs w:val="24"/>
          <w:lang w:eastAsia="en-GB"/>
        </w:rPr>
        <w:t>Human Relations</w:t>
      </w:r>
      <w:r w:rsidRPr="004A0079">
        <w:rPr>
          <w:rFonts w:eastAsia="Times New Roman" w:cstheme="minorHAnsi"/>
          <w:color w:val="000000"/>
          <w:sz w:val="24"/>
          <w:szCs w:val="24"/>
          <w:lang w:eastAsia="en-GB"/>
        </w:rPr>
        <w:t>, 69(3), pp.605-628.</w:t>
      </w:r>
    </w:p>
    <w:p w14:paraId="1941884B" w14:textId="77777777" w:rsidR="004A0079" w:rsidRPr="004A0079" w:rsidRDefault="004A0079" w:rsidP="004A0079">
      <w:pPr>
        <w:spacing w:after="180" w:line="360" w:lineRule="auto"/>
        <w:ind w:left="450" w:hanging="450"/>
        <w:jc w:val="both"/>
        <w:rPr>
          <w:rFonts w:eastAsia="Times New Roman" w:cstheme="minorHAnsi"/>
          <w:color w:val="000000"/>
          <w:sz w:val="24"/>
          <w:szCs w:val="24"/>
          <w:lang w:eastAsia="en-GB"/>
        </w:rPr>
      </w:pPr>
      <w:r w:rsidRPr="004A0079">
        <w:rPr>
          <w:rFonts w:eastAsia="Times New Roman" w:cstheme="minorHAnsi"/>
          <w:color w:val="000000"/>
          <w:sz w:val="24"/>
          <w:szCs w:val="24"/>
          <w:lang w:eastAsia="en-GB"/>
        </w:rPr>
        <w:t>Plato., Emlyn-Jones, C. and Preddy, W. (2015). </w:t>
      </w:r>
      <w:r w:rsidRPr="004A0079">
        <w:rPr>
          <w:rFonts w:eastAsia="Times New Roman" w:cstheme="minorHAnsi"/>
          <w:i/>
          <w:iCs/>
          <w:color w:val="000000"/>
          <w:sz w:val="24"/>
          <w:szCs w:val="24"/>
          <w:lang w:eastAsia="en-GB"/>
        </w:rPr>
        <w:t>Republic</w:t>
      </w:r>
      <w:r w:rsidRPr="004A0079">
        <w:rPr>
          <w:rFonts w:eastAsia="Times New Roman" w:cstheme="minorHAnsi"/>
          <w:color w:val="000000"/>
          <w:sz w:val="24"/>
          <w:szCs w:val="24"/>
          <w:lang w:eastAsia="en-GB"/>
        </w:rPr>
        <w:t>. Cambridge, MA: Harvard University Press.</w:t>
      </w:r>
    </w:p>
    <w:p w14:paraId="02167280" w14:textId="77777777" w:rsidR="004A0079" w:rsidRPr="004A0079" w:rsidRDefault="004A0079" w:rsidP="004A0079">
      <w:pPr>
        <w:spacing w:after="180" w:line="360" w:lineRule="auto"/>
        <w:ind w:left="450" w:hanging="450"/>
        <w:jc w:val="both"/>
        <w:rPr>
          <w:rFonts w:eastAsia="Times New Roman" w:cstheme="minorHAnsi"/>
          <w:color w:val="000000"/>
          <w:sz w:val="24"/>
          <w:szCs w:val="24"/>
          <w:lang w:eastAsia="en-GB"/>
        </w:rPr>
      </w:pPr>
      <w:r w:rsidRPr="004A0079">
        <w:rPr>
          <w:rFonts w:eastAsia="Times New Roman" w:cstheme="minorHAnsi"/>
          <w:color w:val="000000"/>
          <w:sz w:val="24"/>
          <w:szCs w:val="24"/>
          <w:lang w:eastAsia="en-GB"/>
        </w:rPr>
        <w:t>Rolfe, G. (2014). Rethinking reflective education: What would Dewey have done?. </w:t>
      </w:r>
      <w:r w:rsidRPr="004A0079">
        <w:rPr>
          <w:rFonts w:eastAsia="Times New Roman" w:cstheme="minorHAnsi"/>
          <w:i/>
          <w:iCs/>
          <w:color w:val="000000"/>
          <w:sz w:val="24"/>
          <w:szCs w:val="24"/>
          <w:lang w:eastAsia="en-GB"/>
        </w:rPr>
        <w:t>Nurse Education Today</w:t>
      </w:r>
      <w:r w:rsidRPr="004A0079">
        <w:rPr>
          <w:rFonts w:eastAsia="Times New Roman" w:cstheme="minorHAnsi"/>
          <w:color w:val="000000"/>
          <w:sz w:val="24"/>
          <w:szCs w:val="24"/>
          <w:lang w:eastAsia="en-GB"/>
        </w:rPr>
        <w:t>, 34(8), pp.1179-1183.</w:t>
      </w:r>
    </w:p>
    <w:p w14:paraId="32335664" w14:textId="77777777" w:rsidR="004A0079" w:rsidRPr="004A0079" w:rsidRDefault="004A0079" w:rsidP="004A0079">
      <w:pPr>
        <w:spacing w:after="180" w:line="360" w:lineRule="auto"/>
        <w:ind w:left="450" w:hanging="450"/>
        <w:jc w:val="both"/>
        <w:rPr>
          <w:rFonts w:eastAsia="Times New Roman" w:cstheme="minorHAnsi"/>
          <w:color w:val="000000"/>
          <w:sz w:val="24"/>
          <w:szCs w:val="24"/>
          <w:lang w:eastAsia="en-GB"/>
        </w:rPr>
      </w:pPr>
      <w:r w:rsidRPr="004A0079">
        <w:rPr>
          <w:rFonts w:eastAsia="Times New Roman" w:cstheme="minorHAnsi"/>
          <w:color w:val="000000"/>
          <w:sz w:val="24"/>
          <w:szCs w:val="24"/>
          <w:lang w:eastAsia="en-GB"/>
        </w:rPr>
        <w:t>Schön, D. (1983). </w:t>
      </w:r>
      <w:r w:rsidRPr="004A0079">
        <w:rPr>
          <w:rFonts w:eastAsia="Times New Roman" w:cstheme="minorHAnsi"/>
          <w:i/>
          <w:iCs/>
          <w:color w:val="000000"/>
          <w:sz w:val="24"/>
          <w:szCs w:val="24"/>
          <w:lang w:eastAsia="en-GB"/>
        </w:rPr>
        <w:t>The Reflective Practitioner</w:t>
      </w:r>
      <w:r w:rsidRPr="004A0079">
        <w:rPr>
          <w:rFonts w:eastAsia="Times New Roman" w:cstheme="minorHAnsi"/>
          <w:color w:val="000000"/>
          <w:sz w:val="24"/>
          <w:szCs w:val="24"/>
          <w:lang w:eastAsia="en-GB"/>
        </w:rPr>
        <w:t>.</w:t>
      </w:r>
    </w:p>
    <w:p w14:paraId="76861584" w14:textId="77777777" w:rsidR="004A0079" w:rsidRPr="004A0079" w:rsidRDefault="004A0079" w:rsidP="004A0079">
      <w:pPr>
        <w:spacing w:after="180" w:line="360" w:lineRule="auto"/>
        <w:ind w:left="450" w:hanging="450"/>
        <w:jc w:val="both"/>
        <w:rPr>
          <w:rFonts w:eastAsia="Times New Roman" w:cstheme="minorHAnsi"/>
          <w:color w:val="000000"/>
          <w:sz w:val="24"/>
          <w:szCs w:val="24"/>
          <w:lang w:eastAsia="en-GB"/>
        </w:rPr>
      </w:pPr>
      <w:r w:rsidRPr="004A0079">
        <w:rPr>
          <w:rFonts w:eastAsia="Times New Roman" w:cstheme="minorHAnsi"/>
          <w:color w:val="000000"/>
          <w:sz w:val="24"/>
          <w:szCs w:val="24"/>
          <w:lang w:eastAsia="en-GB"/>
        </w:rPr>
        <w:t>Wanner, T. (2015). Enhancing Student Engagement and Active Learning through Just-in-Time Teaching and the use of PowerPoint. </w:t>
      </w:r>
      <w:r w:rsidRPr="004A0079">
        <w:rPr>
          <w:rFonts w:eastAsia="Times New Roman" w:cstheme="minorHAnsi"/>
          <w:i/>
          <w:iCs/>
          <w:color w:val="000000"/>
          <w:sz w:val="24"/>
          <w:szCs w:val="24"/>
          <w:lang w:eastAsia="en-GB"/>
        </w:rPr>
        <w:t>International Journal of Teaching and Learning in Higher Education</w:t>
      </w:r>
      <w:r w:rsidRPr="004A0079">
        <w:rPr>
          <w:rFonts w:eastAsia="Times New Roman" w:cstheme="minorHAnsi"/>
          <w:color w:val="000000"/>
          <w:sz w:val="24"/>
          <w:szCs w:val="24"/>
          <w:lang w:eastAsia="en-GB"/>
        </w:rPr>
        <w:t>, 27(1), pp.154-163.</w:t>
      </w:r>
    </w:p>
    <w:p w14:paraId="40314DA8" w14:textId="7BD8449F" w:rsidR="00F16DFC" w:rsidRPr="00B039B1" w:rsidRDefault="00F16DFC" w:rsidP="004A0079">
      <w:pPr>
        <w:spacing w:line="360" w:lineRule="auto"/>
        <w:jc w:val="both"/>
        <w:rPr>
          <w:rFonts w:cstheme="minorHAnsi"/>
          <w:sz w:val="24"/>
          <w:szCs w:val="24"/>
        </w:rPr>
      </w:pPr>
    </w:p>
    <w:p w14:paraId="32CD7037" w14:textId="77777777" w:rsidR="00F16DFC" w:rsidRPr="00B039B1" w:rsidRDefault="00F16DFC" w:rsidP="00B039B1">
      <w:pPr>
        <w:spacing w:line="360" w:lineRule="auto"/>
        <w:jc w:val="both"/>
        <w:rPr>
          <w:rFonts w:cstheme="minorHAnsi"/>
          <w:sz w:val="24"/>
          <w:szCs w:val="24"/>
        </w:rPr>
      </w:pPr>
    </w:p>
    <w:p w14:paraId="79EABF78" w14:textId="77777777" w:rsidR="00A92FD8" w:rsidRPr="00B039B1" w:rsidRDefault="00A92FD8" w:rsidP="00B039B1">
      <w:pPr>
        <w:spacing w:line="360" w:lineRule="auto"/>
        <w:jc w:val="both"/>
        <w:rPr>
          <w:rFonts w:cstheme="minorHAnsi"/>
          <w:sz w:val="24"/>
          <w:szCs w:val="24"/>
        </w:rPr>
      </w:pPr>
    </w:p>
    <w:p w14:paraId="3DC05654" w14:textId="77777777" w:rsidR="00611374" w:rsidRPr="00B039B1" w:rsidRDefault="00611374" w:rsidP="00B039B1">
      <w:pPr>
        <w:spacing w:line="360" w:lineRule="auto"/>
        <w:jc w:val="both"/>
        <w:rPr>
          <w:rFonts w:cstheme="minorHAnsi"/>
          <w:sz w:val="24"/>
          <w:szCs w:val="24"/>
        </w:rPr>
      </w:pPr>
    </w:p>
    <w:sectPr w:rsidR="00611374" w:rsidRPr="00B039B1">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99BDDD" w14:textId="77777777" w:rsidR="00EE3F3B" w:rsidRDefault="00EE3F3B" w:rsidP="00EE3F3B">
      <w:pPr>
        <w:spacing w:after="0" w:line="240" w:lineRule="auto"/>
      </w:pPr>
      <w:r>
        <w:separator/>
      </w:r>
    </w:p>
  </w:endnote>
  <w:endnote w:type="continuationSeparator" w:id="0">
    <w:p w14:paraId="2FF541BA" w14:textId="77777777" w:rsidR="00EE3F3B" w:rsidRDefault="00EE3F3B" w:rsidP="00EE3F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22674658"/>
      <w:docPartObj>
        <w:docPartGallery w:val="Page Numbers (Bottom of Page)"/>
        <w:docPartUnique/>
      </w:docPartObj>
    </w:sdtPr>
    <w:sdtEndPr>
      <w:rPr>
        <w:noProof/>
      </w:rPr>
    </w:sdtEndPr>
    <w:sdtContent>
      <w:p w14:paraId="18610799" w14:textId="0B70BAE2" w:rsidR="00EE3F3B" w:rsidRDefault="00EE3F3B">
        <w:pPr>
          <w:pStyle w:val="Footer"/>
          <w:jc w:val="center"/>
        </w:pPr>
        <w:r>
          <w:fldChar w:fldCharType="begin"/>
        </w:r>
        <w:r>
          <w:instrText xml:space="preserve"> PAGE   \* MERGEFORMAT </w:instrText>
        </w:r>
        <w:r>
          <w:fldChar w:fldCharType="separate"/>
        </w:r>
        <w:r w:rsidR="008806D2">
          <w:rPr>
            <w:noProof/>
          </w:rPr>
          <w:t>1</w:t>
        </w:r>
        <w:r>
          <w:rPr>
            <w:noProof/>
          </w:rPr>
          <w:fldChar w:fldCharType="end"/>
        </w:r>
      </w:p>
    </w:sdtContent>
  </w:sdt>
  <w:p w14:paraId="5D6D357F" w14:textId="77777777" w:rsidR="00EE3F3B" w:rsidRDefault="00EE3F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7B0FAC" w14:textId="77777777" w:rsidR="00EE3F3B" w:rsidRDefault="00EE3F3B" w:rsidP="00EE3F3B">
      <w:pPr>
        <w:spacing w:after="0" w:line="240" w:lineRule="auto"/>
      </w:pPr>
      <w:r>
        <w:separator/>
      </w:r>
    </w:p>
  </w:footnote>
  <w:footnote w:type="continuationSeparator" w:id="0">
    <w:p w14:paraId="273907ED" w14:textId="77777777" w:rsidR="00EE3F3B" w:rsidRDefault="00EE3F3B" w:rsidP="00EE3F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7DE7C0" w14:textId="77777777" w:rsidR="00EE3F3B" w:rsidRDefault="00EE3F3B">
    <w:pPr>
      <w:pStyle w:val="Header"/>
    </w:pPr>
    <w:r>
      <w:t>M6X02268</w:t>
    </w:r>
    <w:r>
      <w:ptab w:relativeTo="margin" w:alignment="center" w:leader="none"/>
    </w:r>
    <w:r>
      <w:t>Principles of Teaching, Learning and Emergent Technologies</w:t>
    </w:r>
    <w:r>
      <w:ptab w:relativeTo="margin" w:alignment="right" w:leader="none"/>
    </w:r>
    <w:r>
      <w:t>P075233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1374"/>
    <w:rsid w:val="00017914"/>
    <w:rsid w:val="000401CA"/>
    <w:rsid w:val="00186F61"/>
    <w:rsid w:val="001A2C4D"/>
    <w:rsid w:val="001A764D"/>
    <w:rsid w:val="001C2BCF"/>
    <w:rsid w:val="002D6AA3"/>
    <w:rsid w:val="00481EDA"/>
    <w:rsid w:val="004A0079"/>
    <w:rsid w:val="00611374"/>
    <w:rsid w:val="00713DEA"/>
    <w:rsid w:val="0073047C"/>
    <w:rsid w:val="007572D0"/>
    <w:rsid w:val="00866441"/>
    <w:rsid w:val="008806D2"/>
    <w:rsid w:val="00896E78"/>
    <w:rsid w:val="00996A01"/>
    <w:rsid w:val="009D21AF"/>
    <w:rsid w:val="00A16D41"/>
    <w:rsid w:val="00A92FD8"/>
    <w:rsid w:val="00A93F0A"/>
    <w:rsid w:val="00AA6F1E"/>
    <w:rsid w:val="00B039B1"/>
    <w:rsid w:val="00B134F7"/>
    <w:rsid w:val="00DF7A76"/>
    <w:rsid w:val="00E32958"/>
    <w:rsid w:val="00EE3F3B"/>
    <w:rsid w:val="00F017C8"/>
    <w:rsid w:val="00F16D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B95071"/>
  <w15:chartTrackingRefBased/>
  <w15:docId w15:val="{6A06FF53-10F2-4C5E-A94C-A6CCAC9053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4A007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E3F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3F3B"/>
  </w:style>
  <w:style w:type="paragraph" w:styleId="Footer">
    <w:name w:val="footer"/>
    <w:basedOn w:val="Normal"/>
    <w:link w:val="FooterChar"/>
    <w:uiPriority w:val="99"/>
    <w:unhideWhenUsed/>
    <w:rsid w:val="00EE3F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3F3B"/>
  </w:style>
  <w:style w:type="paragraph" w:customStyle="1" w:styleId="graf">
    <w:name w:val="graf"/>
    <w:basedOn w:val="Normal"/>
    <w:rsid w:val="00996A0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996A01"/>
    <w:rPr>
      <w:i/>
      <w:iCs/>
    </w:rPr>
  </w:style>
  <w:style w:type="character" w:styleId="Hyperlink">
    <w:name w:val="Hyperlink"/>
    <w:basedOn w:val="DefaultParagraphFont"/>
    <w:uiPriority w:val="99"/>
    <w:semiHidden/>
    <w:unhideWhenUsed/>
    <w:rsid w:val="00996A01"/>
    <w:rPr>
      <w:color w:val="0000FF"/>
      <w:u w:val="single"/>
    </w:rPr>
  </w:style>
  <w:style w:type="character" w:customStyle="1" w:styleId="markup--quote">
    <w:name w:val="markup--quote"/>
    <w:basedOn w:val="DefaultParagraphFont"/>
    <w:rsid w:val="00996A01"/>
  </w:style>
  <w:style w:type="character" w:customStyle="1" w:styleId="Heading2Char">
    <w:name w:val="Heading 2 Char"/>
    <w:basedOn w:val="DefaultParagraphFont"/>
    <w:link w:val="Heading2"/>
    <w:uiPriority w:val="9"/>
    <w:rsid w:val="004A0079"/>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4A007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2160619">
      <w:bodyDiv w:val="1"/>
      <w:marLeft w:val="0"/>
      <w:marRight w:val="0"/>
      <w:marTop w:val="0"/>
      <w:marBottom w:val="0"/>
      <w:divBdr>
        <w:top w:val="none" w:sz="0" w:space="0" w:color="auto"/>
        <w:left w:val="none" w:sz="0" w:space="0" w:color="auto"/>
        <w:bottom w:val="none" w:sz="0" w:space="0" w:color="auto"/>
        <w:right w:val="none" w:sz="0" w:space="0" w:color="auto"/>
      </w:divBdr>
      <w:divsChild>
        <w:div w:id="782072528">
          <w:blockQuote w:val="1"/>
          <w:marLeft w:val="-345"/>
          <w:marRight w:val="0"/>
          <w:marTop w:val="435"/>
          <w:marBottom w:val="0"/>
          <w:divBdr>
            <w:top w:val="none" w:sz="0" w:space="0" w:color="auto"/>
            <w:left w:val="none" w:sz="0" w:space="0" w:color="auto"/>
            <w:bottom w:val="none" w:sz="0" w:space="0" w:color="auto"/>
            <w:right w:val="none" w:sz="0" w:space="0" w:color="auto"/>
          </w:divBdr>
        </w:div>
      </w:divsChild>
    </w:div>
    <w:div w:id="1425149500">
      <w:bodyDiv w:val="1"/>
      <w:marLeft w:val="0"/>
      <w:marRight w:val="0"/>
      <w:marTop w:val="0"/>
      <w:marBottom w:val="0"/>
      <w:divBdr>
        <w:top w:val="none" w:sz="0" w:space="0" w:color="auto"/>
        <w:left w:val="none" w:sz="0" w:space="0" w:color="auto"/>
        <w:bottom w:val="none" w:sz="0" w:space="0" w:color="auto"/>
        <w:right w:val="none" w:sz="0" w:space="0" w:color="auto"/>
      </w:divBdr>
    </w:div>
    <w:div w:id="1830512979">
      <w:bodyDiv w:val="1"/>
      <w:marLeft w:val="0"/>
      <w:marRight w:val="0"/>
      <w:marTop w:val="0"/>
      <w:marBottom w:val="0"/>
      <w:divBdr>
        <w:top w:val="none" w:sz="0" w:space="0" w:color="auto"/>
        <w:left w:val="none" w:sz="0" w:space="0" w:color="auto"/>
        <w:bottom w:val="none" w:sz="0" w:space="0" w:color="auto"/>
        <w:right w:val="none" w:sz="0" w:space="0" w:color="auto"/>
      </w:divBdr>
      <w:divsChild>
        <w:div w:id="2065636754">
          <w:blockQuote w:val="1"/>
          <w:marLeft w:val="-345"/>
          <w:marRight w:val="0"/>
          <w:marTop w:val="43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378661-D810-409E-B43E-7F464B8FC1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1462</Words>
  <Characters>8338</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Morgan (P075233)</dc:creator>
  <cp:keywords/>
  <dc:description/>
  <cp:lastModifiedBy>James Morgan (P075233)</cp:lastModifiedBy>
  <cp:revision>2</cp:revision>
  <dcterms:created xsi:type="dcterms:W3CDTF">2018-10-12T13:16:00Z</dcterms:created>
  <dcterms:modified xsi:type="dcterms:W3CDTF">2018-10-12T13:16:00Z</dcterms:modified>
</cp:coreProperties>
</file>