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25A" w:rsidRDefault="00F37B17" w:rsidP="00F37B17">
      <w:pPr>
        <w:jc w:val="center"/>
        <w:rPr>
          <w:u w:val="single"/>
        </w:rPr>
      </w:pPr>
      <w:r>
        <w:rPr>
          <w:u w:val="single"/>
        </w:rPr>
        <w:t xml:space="preserve">A book review on Peter </w:t>
      </w:r>
      <w:proofErr w:type="spellStart"/>
      <w:r>
        <w:rPr>
          <w:u w:val="single"/>
        </w:rPr>
        <w:t>FitzSimons</w:t>
      </w:r>
      <w:proofErr w:type="spellEnd"/>
      <w:r>
        <w:rPr>
          <w:u w:val="single"/>
        </w:rPr>
        <w:t xml:space="preserve"> Gallipoli.</w:t>
      </w:r>
    </w:p>
    <w:p w:rsidR="00F37B17" w:rsidRDefault="00F37B17" w:rsidP="00F37B17">
      <w:pPr>
        <w:jc w:val="center"/>
        <w:rPr>
          <w:u w:val="single"/>
        </w:rPr>
      </w:pPr>
    </w:p>
    <w:p w:rsidR="008E7729" w:rsidRDefault="0073576F" w:rsidP="00F37B17">
      <w:r>
        <w:rPr>
          <w:i/>
        </w:rPr>
        <w:t xml:space="preserve">Gallipoli, </w:t>
      </w:r>
      <w:r>
        <w:t xml:space="preserve">is the work of Australian journalist Peter </w:t>
      </w:r>
      <w:proofErr w:type="spellStart"/>
      <w:r>
        <w:t>FitzSimons</w:t>
      </w:r>
      <w:proofErr w:type="spellEnd"/>
      <w:r w:rsidR="00FD7B93">
        <w:t>, born 1961,</w:t>
      </w:r>
      <w:r>
        <w:t xml:space="preserve"> and was published in 2015.</w:t>
      </w:r>
      <w:r w:rsidR="00204313">
        <w:t xml:space="preserve"> </w:t>
      </w:r>
      <w:r w:rsidR="003753AE">
        <w:t>Over twenty-one chapters</w:t>
      </w:r>
      <w:r w:rsidR="00B528DE">
        <w:t>,</w:t>
      </w:r>
      <w:r w:rsidR="003753AE">
        <w:t xml:space="preserve"> t</w:t>
      </w:r>
      <w:r w:rsidR="00204313">
        <w:t xml:space="preserve">his book </w:t>
      </w:r>
      <w:r w:rsidR="003753AE">
        <w:t>tells the story</w:t>
      </w:r>
      <w:r w:rsidR="00204313">
        <w:t xml:space="preserve"> of the Gallipoli campaign from a primarily Australian perspective. The perspectives of the Turks, Germans, British and Australian civilians are all </w:t>
      </w:r>
      <w:r w:rsidR="003753AE">
        <w:t>represented</w:t>
      </w:r>
      <w:r w:rsidR="00204313">
        <w:t xml:space="preserve"> as well.</w:t>
      </w:r>
      <w:r w:rsidR="00FD7B93">
        <w:t xml:space="preserve"> As a modern work it employs a number of techniques not seen in older works on the same subject.</w:t>
      </w:r>
      <w:r>
        <w:t xml:space="preserve"> </w:t>
      </w:r>
      <w:r w:rsidR="00A60393">
        <w:t>One of the aspects of this book that separate it from similar works</w:t>
      </w:r>
      <w:r w:rsidR="00F908FD">
        <w:t>,</w:t>
      </w:r>
      <w:r w:rsidR="00A60393">
        <w:t xml:space="preserve"> is the use of fonts. </w:t>
      </w:r>
      <w:r w:rsidR="00B528DE">
        <w:t>H</w:t>
      </w:r>
      <w:r w:rsidR="00A60393">
        <w:t>andwriting style</w:t>
      </w:r>
      <w:r w:rsidR="00B528DE">
        <w:t xml:space="preserve"> is used</w:t>
      </w:r>
      <w:r w:rsidR="00A60393">
        <w:t xml:space="preserve"> to denote the </w:t>
      </w:r>
      <w:r w:rsidR="00425673">
        <w:t>passages relating to individuals and their messages to loved ones</w:t>
      </w:r>
      <w:r w:rsidR="00B528DE">
        <w:t>,</w:t>
      </w:r>
      <w:r w:rsidR="00425673">
        <w:t xml:space="preserve"> </w:t>
      </w:r>
      <w:r w:rsidR="0077682F">
        <w:t>or diary entries. With</w:t>
      </w:r>
      <w:r w:rsidR="00425673">
        <w:t xml:space="preserve"> large capitalised font to highlight military messages. </w:t>
      </w:r>
      <w:r w:rsidR="00B528DE">
        <w:t>T</w:t>
      </w:r>
      <w:r w:rsidR="00425673">
        <w:t>his</w:t>
      </w:r>
      <w:r w:rsidR="00B528DE">
        <w:t xml:space="preserve"> technique</w:t>
      </w:r>
      <w:r w:rsidR="00425673">
        <w:t xml:space="preserve"> break</w:t>
      </w:r>
      <w:r w:rsidR="00B528DE">
        <w:t>s</w:t>
      </w:r>
      <w:r w:rsidR="00425673">
        <w:t xml:space="preserve"> up the text, making it easier to distinguish the voice and message being portrayed</w:t>
      </w:r>
      <w:r w:rsidR="00B528DE">
        <w:t>.</w:t>
      </w:r>
      <w:r w:rsidR="00425673">
        <w:t xml:space="preserve"> </w:t>
      </w:r>
      <w:r w:rsidR="00B528DE">
        <w:t>I</w:t>
      </w:r>
      <w:r w:rsidR="00425673">
        <w:t>t also makes the book easier to use for reference purposes.</w:t>
      </w:r>
      <w:r w:rsidR="0077682F">
        <w:t xml:space="preserve"> Large capitalised fonts are</w:t>
      </w:r>
      <w:bookmarkStart w:id="0" w:name="_GoBack"/>
      <w:bookmarkEnd w:id="0"/>
      <w:r w:rsidR="0077682F">
        <w:t xml:space="preserve"> used to highlight changes in perspective</w:t>
      </w:r>
      <w:r w:rsidR="00204313">
        <w:t>,</w:t>
      </w:r>
      <w:r w:rsidR="0077682F">
        <w:t xml:space="preserve"> almost like headlines.</w:t>
      </w:r>
      <w:r w:rsidR="00536BB8">
        <w:t xml:space="preserve"> </w:t>
      </w:r>
      <w:r>
        <w:t>The use of these modern techniques make it appeal to a newer, more contemporary audience.</w:t>
      </w:r>
    </w:p>
    <w:p w:rsidR="00F8203C" w:rsidRDefault="0077682F" w:rsidP="00F37B17">
      <w:r>
        <w:t>Another aspect to this book is that it reads as a novel more than a history textbook. Although all the relevant information is provided to make this a source for factual and accurate research, it is enjoyable to read purely for interest in the subject.</w:t>
      </w:r>
      <w:r w:rsidR="0001789A">
        <w:t xml:space="preserve"> This is achieved with countless anecdotes about the ordinary men and women involved in the campaign. Juxtaposed</w:t>
      </w:r>
      <w:r w:rsidR="00B528DE">
        <w:t>,</w:t>
      </w:r>
      <w:r w:rsidR="0001789A">
        <w:t xml:space="preserve"> almost harshly</w:t>
      </w:r>
      <w:r w:rsidR="00B528DE">
        <w:t>,</w:t>
      </w:r>
      <w:r w:rsidR="0001789A">
        <w:t xml:space="preserve"> with monumental political decisions being made hundreds of miles away, that are about to have an irrevocable influence upon their lives. Falling in the middle of these two extremes and linking them together</w:t>
      </w:r>
      <w:r w:rsidR="00F908FD">
        <w:t>,</w:t>
      </w:r>
      <w:r w:rsidR="0001789A">
        <w:t xml:space="preserve"> is a comprehensive </w:t>
      </w:r>
      <w:r w:rsidR="00F8203C">
        <w:t>depiction of the military campaign.</w:t>
      </w:r>
    </w:p>
    <w:p w:rsidR="00B44381" w:rsidRDefault="00B44381" w:rsidP="00F37B17">
      <w:r>
        <w:t xml:space="preserve">At the start of the book </w:t>
      </w:r>
      <w:proofErr w:type="spellStart"/>
      <w:r w:rsidRPr="00B44381">
        <w:t>FitzSimons</w:t>
      </w:r>
      <w:proofErr w:type="spellEnd"/>
      <w:r w:rsidRPr="00B44381">
        <w:t xml:space="preserve"> describes the Turkish revolution and the strength of national feeling that it had stirred up. He describes how excited and exuberant the Australian troops were to join in the war effort. Political decisions being made in London</w:t>
      </w:r>
      <w:r w:rsidR="004B6BAB">
        <w:t xml:space="preserve"> and Germany</w:t>
      </w:r>
      <w:r w:rsidR="00FF1331">
        <w:t>, which lead</w:t>
      </w:r>
      <w:r>
        <w:t xml:space="preserve"> to the invasion of the Dardanelles. Interspersed are anecdotes of individual experiences. Taken together</w:t>
      </w:r>
      <w:r w:rsidR="00FF1331">
        <w:t>,</w:t>
      </w:r>
      <w:r>
        <w:t xml:space="preserve"> </w:t>
      </w:r>
      <w:r w:rsidR="004B6BAB">
        <w:t>all these accounts</w:t>
      </w:r>
      <w:r>
        <w:t xml:space="preserve"> create a sense of intrigue and anticipation.</w:t>
      </w:r>
      <w:r w:rsidR="004B6BAB">
        <w:t xml:space="preserve"> This account is not as comprehensive as some, Hickeys account of the pre-war conditions are far more detailed from a military perspective.</w:t>
      </w:r>
      <w:r w:rsidR="00F908FD">
        <w:rPr>
          <w:rStyle w:val="FootnoteReference"/>
        </w:rPr>
        <w:footnoteReference w:id="1"/>
      </w:r>
      <w:r w:rsidR="00204313">
        <w:t xml:space="preserve"> Not found discussed in many other books is the </w:t>
      </w:r>
      <w:r w:rsidR="00FF1331">
        <w:t xml:space="preserve">experience of the </w:t>
      </w:r>
      <w:r w:rsidR="00204313">
        <w:t>Australian</w:t>
      </w:r>
      <w:r w:rsidR="00FF1331">
        <w:t xml:space="preserve"> troops</w:t>
      </w:r>
      <w:r w:rsidR="00204313">
        <w:t xml:space="preserve"> in Egypt</w:t>
      </w:r>
      <w:r w:rsidR="00FF1331">
        <w:t>,</w:t>
      </w:r>
      <w:r w:rsidR="00204313">
        <w:t xml:space="preserve"> before </w:t>
      </w:r>
      <w:r w:rsidR="00FF1331">
        <w:t>they were</w:t>
      </w:r>
      <w:r w:rsidR="00204313">
        <w:t xml:space="preserve"> sent to the Dardanelles. </w:t>
      </w:r>
      <w:proofErr w:type="spellStart"/>
      <w:r w:rsidR="00204313">
        <w:t>FitzSimons</w:t>
      </w:r>
      <w:proofErr w:type="spellEnd"/>
      <w:r w:rsidR="00204313">
        <w:t xml:space="preserve"> describes in great detail the drinking, fighting and visiting of brothels. He does not shy away from the unruly behaviour exhibited by his fellow Australians, this suggests an unbiased approach to his writing.</w:t>
      </w:r>
      <w:r>
        <w:t xml:space="preserve">  </w:t>
      </w:r>
    </w:p>
    <w:p w:rsidR="008E7729" w:rsidRDefault="00F8203C" w:rsidP="00F37B17">
      <w:r>
        <w:t xml:space="preserve">There are a good number of images dispersed throughout the book. These vary from maps to naval gun blueprints. In comparison with other books such as Steel and Hart’s </w:t>
      </w:r>
      <w:r>
        <w:rPr>
          <w:i/>
        </w:rPr>
        <w:t xml:space="preserve">Defeat at Gallipoli, </w:t>
      </w:r>
      <w:r>
        <w:t>which only contains three maps at the beginning of the book and</w:t>
      </w:r>
      <w:r w:rsidR="00F908FD">
        <w:t>,</w:t>
      </w:r>
      <w:r>
        <w:t xml:space="preserve"> photographs in two sections within the pages</w:t>
      </w:r>
      <w:r w:rsidR="00F908FD">
        <w:t>.</w:t>
      </w:r>
      <w:r w:rsidR="00FF1331">
        <w:rPr>
          <w:rStyle w:val="FootnoteReference"/>
        </w:rPr>
        <w:footnoteReference w:id="2"/>
      </w:r>
      <w:r>
        <w:t xml:space="preserve"> </w:t>
      </w:r>
      <w:proofErr w:type="spellStart"/>
      <w:r>
        <w:t>FitzSimons</w:t>
      </w:r>
      <w:proofErr w:type="spellEnd"/>
      <w:r>
        <w:t>’ use of images creates more interest and</w:t>
      </w:r>
      <w:r w:rsidR="008E7729">
        <w:t>,</w:t>
      </w:r>
      <w:r>
        <w:t xml:space="preserve"> is a lot more varied.</w:t>
      </w:r>
      <w:r w:rsidR="004B6BAB">
        <w:t xml:space="preserve"> </w:t>
      </w:r>
      <w:proofErr w:type="spellStart"/>
      <w:r w:rsidR="004B6BAB">
        <w:t>Laffin’s</w:t>
      </w:r>
      <w:proofErr w:type="spellEnd"/>
      <w:r w:rsidR="004B6BAB">
        <w:t xml:space="preserve">, </w:t>
      </w:r>
      <w:r w:rsidR="004B6BAB">
        <w:rPr>
          <w:i/>
        </w:rPr>
        <w:t>Damn the Dardanelles,</w:t>
      </w:r>
      <w:r w:rsidR="004B6BAB">
        <w:t xml:space="preserve"> has a similar technique to </w:t>
      </w:r>
      <w:proofErr w:type="spellStart"/>
      <w:r w:rsidR="004B6BAB">
        <w:t>FitzSimons</w:t>
      </w:r>
      <w:proofErr w:type="spellEnd"/>
      <w:r w:rsidR="004B6BAB">
        <w:t>, with varied images dispersed throughout the pages.</w:t>
      </w:r>
      <w:r w:rsidR="00F908FD">
        <w:rPr>
          <w:rStyle w:val="FootnoteReference"/>
        </w:rPr>
        <w:footnoteReference w:id="3"/>
      </w:r>
      <w:r w:rsidR="00A5701A">
        <w:t xml:space="preserve"> Also interspersed through the book are stories of soldier’s lives, this is not merely something that </w:t>
      </w:r>
      <w:proofErr w:type="spellStart"/>
      <w:r w:rsidR="00A5701A">
        <w:t>FitzSimons</w:t>
      </w:r>
      <w:proofErr w:type="spellEnd"/>
      <w:r w:rsidR="00A5701A">
        <w:t xml:space="preserve"> devotes a chapter to. The way he writes of the experiences of the soldiers and their families back home</w:t>
      </w:r>
      <w:r w:rsidR="00FF1331">
        <w:t>,</w:t>
      </w:r>
      <w:r w:rsidR="00A5701A">
        <w:t xml:space="preserve"> snaps focus back to the true tragedy of Gallipoli. It is easy to become dispassionate when reading ever increasing death tolls but, this is remedied by anecdotes of real people and real experiences throughout. </w:t>
      </w:r>
      <w:r w:rsidR="008E7729">
        <w:t xml:space="preserve"> </w:t>
      </w:r>
    </w:p>
    <w:p w:rsidR="0077682F" w:rsidRDefault="008E7729" w:rsidP="00F37B17">
      <w:r>
        <w:lastRenderedPageBreak/>
        <w:t xml:space="preserve">Unlike many other Gallipoli books, </w:t>
      </w:r>
      <w:proofErr w:type="spellStart"/>
      <w:r>
        <w:t>FitzSimons</w:t>
      </w:r>
      <w:proofErr w:type="spellEnd"/>
      <w:r>
        <w:t xml:space="preserve"> account reads as non-political</w:t>
      </w:r>
      <w:r w:rsidR="00104F61">
        <w:t xml:space="preserve"> and dispassionate</w:t>
      </w:r>
      <w:r>
        <w:t xml:space="preserve">. Robert Rhodes James’ </w:t>
      </w:r>
      <w:r w:rsidRPr="00104F61">
        <w:rPr>
          <w:i/>
        </w:rPr>
        <w:t>Gallipoli</w:t>
      </w:r>
      <w:r>
        <w:t xml:space="preserve"> is excellent at capturing the chaotic nature of the campaign, with a multitude of perspectives being </w:t>
      </w:r>
      <w:r w:rsidR="00104F61">
        <w:t>depicted.</w:t>
      </w:r>
      <w:r w:rsidR="00F908FD">
        <w:rPr>
          <w:rStyle w:val="FootnoteReference"/>
        </w:rPr>
        <w:footnoteReference w:id="4"/>
      </w:r>
      <w:r w:rsidR="00104F61">
        <w:t xml:space="preserve"> Trumbull Higgins’ </w:t>
      </w:r>
      <w:r w:rsidR="00104F61" w:rsidRPr="00104F61">
        <w:rPr>
          <w:i/>
        </w:rPr>
        <w:t>Winston Churchill and the Dardanelles</w:t>
      </w:r>
      <w:r w:rsidR="00104F61">
        <w:t>, is a very British take on the subject. This work is about the failures of the commanders and was only made possible by relaxation of censorship in the 1960’s.</w:t>
      </w:r>
      <w:r w:rsidR="00F908FD">
        <w:rPr>
          <w:rStyle w:val="FootnoteReference"/>
        </w:rPr>
        <w:footnoteReference w:id="5"/>
      </w:r>
      <w:r>
        <w:t xml:space="preserve"> </w:t>
      </w:r>
      <w:r w:rsidR="00104F61">
        <w:t xml:space="preserve">John </w:t>
      </w:r>
      <w:proofErr w:type="spellStart"/>
      <w:r w:rsidR="00104F61">
        <w:t>Laffin’s</w:t>
      </w:r>
      <w:proofErr w:type="spellEnd"/>
      <w:r w:rsidR="00104F61">
        <w:t xml:space="preserve"> </w:t>
      </w:r>
      <w:r w:rsidR="00104F61">
        <w:rPr>
          <w:i/>
        </w:rPr>
        <w:t xml:space="preserve">Damn the Dardanelles, </w:t>
      </w:r>
      <w:r w:rsidR="00104F61">
        <w:t xml:space="preserve">Is another scathing account of the failures of those in command. His writing shows a passion for the subject which sets him apart from </w:t>
      </w:r>
      <w:proofErr w:type="spellStart"/>
      <w:r w:rsidR="00104F61">
        <w:t>FitzSimons</w:t>
      </w:r>
      <w:proofErr w:type="spellEnd"/>
      <w:r w:rsidR="00104F61">
        <w:t>.</w:t>
      </w:r>
      <w:r w:rsidR="00F908FD">
        <w:rPr>
          <w:rStyle w:val="FootnoteReference"/>
        </w:rPr>
        <w:footnoteReference w:id="6"/>
      </w:r>
      <w:r>
        <w:t xml:space="preserve"> </w:t>
      </w:r>
      <w:r w:rsidR="00104F61">
        <w:rPr>
          <w:i/>
        </w:rPr>
        <w:t xml:space="preserve">Hell’s foundation, </w:t>
      </w:r>
      <w:r w:rsidR="00104F61">
        <w:t xml:space="preserve">By Geoffrey </w:t>
      </w:r>
      <w:proofErr w:type="spellStart"/>
      <w:r w:rsidR="00104F61">
        <w:t>Moorehouse</w:t>
      </w:r>
      <w:proofErr w:type="spellEnd"/>
      <w:r w:rsidR="00104F61">
        <w:t xml:space="preserve"> is another British take on the subject</w:t>
      </w:r>
      <w:r w:rsidR="00FD7B93">
        <w:t>,</w:t>
      </w:r>
      <w:r w:rsidR="00A05785">
        <w:t xml:space="preserve"> as it focuses almost exclusively on the service of the Lancashire Fusiliers</w:t>
      </w:r>
      <w:r w:rsidR="00104F61">
        <w:t>.</w:t>
      </w:r>
      <w:r w:rsidR="00FF1331">
        <w:t xml:space="preserve"> </w:t>
      </w:r>
      <w:proofErr w:type="spellStart"/>
      <w:r w:rsidR="00FF1331">
        <w:t>Moorehouse’s</w:t>
      </w:r>
      <w:proofErr w:type="spellEnd"/>
      <w:r w:rsidR="00FF1331">
        <w:t xml:space="preserve"> work is also dedicated to dispelling the myth of Australian heroism, that has grown around the Gallipoli campaign.</w:t>
      </w:r>
      <w:r w:rsidR="00F908FD">
        <w:rPr>
          <w:rStyle w:val="FootnoteReference"/>
        </w:rPr>
        <w:footnoteReference w:id="7"/>
      </w:r>
    </w:p>
    <w:p w:rsidR="00775611" w:rsidRPr="00104F61" w:rsidRDefault="00775611" w:rsidP="00F37B17">
      <w:r>
        <w:t>The pervasive argument made throughout this book is the Anzac relationship with Gallipoli and, how</w:t>
      </w:r>
      <w:r w:rsidR="00FF1331">
        <w:t xml:space="preserve"> it</w:t>
      </w:r>
      <w:r>
        <w:t xml:space="preserve"> </w:t>
      </w:r>
      <w:r w:rsidR="00FF1331">
        <w:t xml:space="preserve">created the </w:t>
      </w:r>
      <w:r>
        <w:t>Australian national identity</w:t>
      </w:r>
      <w:r w:rsidR="00FF1331">
        <w:t xml:space="preserve"> known today.</w:t>
      </w:r>
      <w:r>
        <w:t xml:space="preserve"> The prologue is called ‘a nation is born’ and the theme runs strongly through the rest of the book. Although his work is a largely unbiased account from a national perspective, </w:t>
      </w:r>
      <w:proofErr w:type="spellStart"/>
      <w:r>
        <w:t>FitzSimons</w:t>
      </w:r>
      <w:proofErr w:type="spellEnd"/>
      <w:r>
        <w:t xml:space="preserve"> seems to have a professional bias. Chapter nineteen is called Keith Murdoch arrives and, he gives a largely unchallenged account of his fellow journalist’s accomplishments after his visit to Gallipoli. </w:t>
      </w:r>
    </w:p>
    <w:p w:rsidR="00CC4193" w:rsidRDefault="00CC4193" w:rsidP="00F37B17">
      <w:r>
        <w:t xml:space="preserve">The best feature of this book is the </w:t>
      </w:r>
      <w:r w:rsidR="00042EC9">
        <w:t xml:space="preserve">account of the evacuation. </w:t>
      </w:r>
      <w:r w:rsidR="008E7729">
        <w:t xml:space="preserve">After the harrowing ordeal the troops had suffered through, </w:t>
      </w:r>
      <w:proofErr w:type="spellStart"/>
      <w:r w:rsidR="008E7729">
        <w:t>FitzSimons</w:t>
      </w:r>
      <w:proofErr w:type="spellEnd"/>
      <w:r w:rsidR="008E7729">
        <w:t xml:space="preserve"> depicts the evacuation process in such a way that is gripping and exciting to read.</w:t>
      </w:r>
      <w:r w:rsidR="00A05785">
        <w:t xml:space="preserve"> </w:t>
      </w:r>
      <w:proofErr w:type="spellStart"/>
      <w:r w:rsidR="00A05785">
        <w:t>Moorehead’s</w:t>
      </w:r>
      <w:proofErr w:type="spellEnd"/>
      <w:r w:rsidR="00A05785">
        <w:t xml:space="preserve"> account of the evacuation is somewhat stale and lacklustre.</w:t>
      </w:r>
      <w:r w:rsidR="00F908FD">
        <w:rPr>
          <w:rStyle w:val="FootnoteReference"/>
        </w:rPr>
        <w:footnoteReference w:id="8"/>
      </w:r>
      <w:r w:rsidR="00A05785">
        <w:t xml:space="preserve"> This is also true of Hickey’s account.</w:t>
      </w:r>
      <w:r w:rsidR="00F908FD">
        <w:rPr>
          <w:rStyle w:val="FootnoteReference"/>
        </w:rPr>
        <w:footnoteReference w:id="9"/>
      </w:r>
      <w:r w:rsidR="00A05785">
        <w:t xml:space="preserve"> </w:t>
      </w:r>
      <w:proofErr w:type="spellStart"/>
      <w:r w:rsidR="00A05785">
        <w:t>FitzSimons</w:t>
      </w:r>
      <w:proofErr w:type="spellEnd"/>
      <w:r w:rsidR="00A05785">
        <w:t xml:space="preserve"> creates a vivid depiction of the genius strategy created by general Charles </w:t>
      </w:r>
      <w:proofErr w:type="spellStart"/>
      <w:r w:rsidR="00A05785">
        <w:t>Monro</w:t>
      </w:r>
      <w:proofErr w:type="spellEnd"/>
      <w:r w:rsidR="00A05785">
        <w:t>. Again</w:t>
      </w:r>
      <w:r w:rsidR="00FD7B93">
        <w:t>,</w:t>
      </w:r>
      <w:r w:rsidR="00A05785">
        <w:t xml:space="preserve"> with the use of quickly changing perspectives from commanders to soldiers to observers, a frantic scene </w:t>
      </w:r>
      <w:r w:rsidR="00FD7B93">
        <w:t xml:space="preserve">is depicted. </w:t>
      </w:r>
      <w:proofErr w:type="spellStart"/>
      <w:r w:rsidR="00FD7B93">
        <w:t>Moorehead</w:t>
      </w:r>
      <w:proofErr w:type="spellEnd"/>
      <w:r w:rsidR="00FD7B93">
        <w:t xml:space="preserve"> and Hickey both write from a military perspective, rather than from the point of view of the men. This is what creates a one-dimensional view of the evacuation process. </w:t>
      </w:r>
    </w:p>
    <w:p w:rsidR="00A5701A" w:rsidRDefault="00A5701A" w:rsidP="00F37B17">
      <w:r>
        <w:t>From a personal point of view, this was the first book I read on the subject of Gallipoli. I found it very enjoyable</w:t>
      </w:r>
      <w:r w:rsidR="00392E13">
        <w:t xml:space="preserve"> and, it</w:t>
      </w:r>
      <w:r w:rsidR="00882537">
        <w:t xml:space="preserve"> has been a great source of information</w:t>
      </w:r>
      <w:r w:rsidR="00392E13">
        <w:t>.</w:t>
      </w:r>
      <w:r w:rsidR="00882537">
        <w:t xml:space="preserve"> it is not an exhaustive study, although I doubt any single book could be, and leaves room for far more research. The strengths of this work are primarily the multitude of perspectives, the lack of political bias and the fast-paced writing style. I did</w:t>
      </w:r>
      <w:r w:rsidR="00293FF4">
        <w:t xml:space="preserve"> not</w:t>
      </w:r>
      <w:r w:rsidR="00882537">
        <w:t xml:space="preserve"> find any negative</w:t>
      </w:r>
      <w:r w:rsidR="00293FF4">
        <w:t xml:space="preserve"> aspects</w:t>
      </w:r>
      <w:r w:rsidR="00882537">
        <w:t xml:space="preserve"> </w:t>
      </w:r>
      <w:r w:rsidR="00293FF4">
        <w:t>in</w:t>
      </w:r>
      <w:r w:rsidR="00882537">
        <w:t xml:space="preserve"> this book. I would highly recommend this work as a research tool of social history, or a general interest in the subject. As a tool for military or political study it would work well due to the clever use of fonts. Though </w:t>
      </w:r>
      <w:proofErr w:type="spellStart"/>
      <w:r w:rsidR="00882537">
        <w:t>Moorehead’s</w:t>
      </w:r>
      <w:proofErr w:type="spellEnd"/>
      <w:r w:rsidR="00392E13">
        <w:t xml:space="preserve"> or Hickey’s</w:t>
      </w:r>
      <w:r w:rsidR="00882537">
        <w:t xml:space="preserve"> </w:t>
      </w:r>
      <w:r w:rsidR="00882537">
        <w:rPr>
          <w:i/>
        </w:rPr>
        <w:t xml:space="preserve">Gallipoli </w:t>
      </w:r>
      <w:r w:rsidR="00392E13">
        <w:t>books would be as good if not better.</w:t>
      </w:r>
      <w:r w:rsidR="00882537">
        <w:t xml:space="preserve">    </w:t>
      </w:r>
    </w:p>
    <w:p w:rsidR="00A5701A" w:rsidRPr="00A60393" w:rsidRDefault="00A5701A" w:rsidP="00F37B17"/>
    <w:p w:rsidR="00F37B17" w:rsidRDefault="00F37B17" w:rsidP="00F37B17">
      <w:pPr>
        <w:jc w:val="center"/>
        <w:rPr>
          <w:u w:val="single"/>
        </w:rPr>
      </w:pPr>
    </w:p>
    <w:p w:rsidR="00F37B17" w:rsidRPr="00F37B17" w:rsidRDefault="00F37B17" w:rsidP="00F37B17">
      <w:pPr>
        <w:jc w:val="center"/>
      </w:pPr>
    </w:p>
    <w:sectPr w:rsidR="00F37B17" w:rsidRPr="00F37B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03C" w:rsidRDefault="00F8203C" w:rsidP="00F8203C">
      <w:pPr>
        <w:spacing w:after="0" w:line="240" w:lineRule="auto"/>
      </w:pPr>
      <w:r>
        <w:separator/>
      </w:r>
    </w:p>
  </w:endnote>
  <w:endnote w:type="continuationSeparator" w:id="0">
    <w:p w:rsidR="00F8203C" w:rsidRDefault="00F8203C" w:rsidP="00F8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03C" w:rsidRDefault="00F8203C" w:rsidP="00F8203C">
      <w:pPr>
        <w:spacing w:after="0" w:line="240" w:lineRule="auto"/>
      </w:pPr>
      <w:r>
        <w:separator/>
      </w:r>
    </w:p>
  </w:footnote>
  <w:footnote w:type="continuationSeparator" w:id="0">
    <w:p w:rsidR="00F8203C" w:rsidRDefault="00F8203C" w:rsidP="00F8203C">
      <w:pPr>
        <w:spacing w:after="0" w:line="240" w:lineRule="auto"/>
      </w:pPr>
      <w:r>
        <w:continuationSeparator/>
      </w:r>
    </w:p>
  </w:footnote>
  <w:footnote w:id="1">
    <w:p w:rsidR="00F908FD" w:rsidRDefault="00F908FD">
      <w:pPr>
        <w:pStyle w:val="FootnoteText"/>
      </w:pPr>
      <w:r>
        <w:rPr>
          <w:rStyle w:val="FootnoteReference"/>
        </w:rPr>
        <w:footnoteRef/>
      </w:r>
      <w:r>
        <w:t xml:space="preserve"> </w:t>
      </w:r>
      <w:r w:rsidR="00293FF4">
        <w:t xml:space="preserve">Michael. </w:t>
      </w:r>
      <w:r w:rsidRPr="00F908FD">
        <w:t>Hickey, Gallipoli (London: John Murray, 1995)</w:t>
      </w:r>
      <w:r>
        <w:t>.</w:t>
      </w:r>
    </w:p>
  </w:footnote>
  <w:footnote w:id="2">
    <w:p w:rsidR="00FF1331" w:rsidRDefault="00FF1331">
      <w:pPr>
        <w:pStyle w:val="FootnoteText"/>
      </w:pPr>
      <w:r>
        <w:rPr>
          <w:rStyle w:val="FootnoteReference"/>
        </w:rPr>
        <w:footnoteRef/>
      </w:r>
      <w:r>
        <w:t xml:space="preserve"> Nigel. </w:t>
      </w:r>
      <w:r w:rsidRPr="00FF1331">
        <w:t xml:space="preserve">Steel; </w:t>
      </w:r>
      <w:r>
        <w:t xml:space="preserve">Peter. </w:t>
      </w:r>
      <w:r w:rsidRPr="00FF1331">
        <w:t>Hart, Defeat at Gallipoli. (London: Macmillan, 1994).</w:t>
      </w:r>
    </w:p>
  </w:footnote>
  <w:footnote w:id="3">
    <w:p w:rsidR="00F908FD" w:rsidRDefault="00F908FD">
      <w:pPr>
        <w:pStyle w:val="FootnoteText"/>
      </w:pPr>
      <w:r>
        <w:rPr>
          <w:rStyle w:val="FootnoteReference"/>
        </w:rPr>
        <w:footnoteRef/>
      </w:r>
      <w:r>
        <w:t xml:space="preserve"> </w:t>
      </w:r>
      <w:r w:rsidR="00293FF4">
        <w:t xml:space="preserve">John. </w:t>
      </w:r>
      <w:proofErr w:type="spellStart"/>
      <w:r w:rsidRPr="00F908FD">
        <w:t>Laffin</w:t>
      </w:r>
      <w:proofErr w:type="spellEnd"/>
      <w:r w:rsidRPr="00F908FD">
        <w:t>, Damn the Dardanelles! the Agony of Gallipoli. (Gloucester: Alan Sutton, 1989).</w:t>
      </w:r>
    </w:p>
  </w:footnote>
  <w:footnote w:id="4">
    <w:p w:rsidR="00F908FD" w:rsidRDefault="00F908FD">
      <w:pPr>
        <w:pStyle w:val="FootnoteText"/>
      </w:pPr>
      <w:r>
        <w:rPr>
          <w:rStyle w:val="FootnoteReference"/>
        </w:rPr>
        <w:footnoteRef/>
      </w:r>
      <w:r>
        <w:t xml:space="preserve"> </w:t>
      </w:r>
      <w:r w:rsidR="00293FF4">
        <w:t xml:space="preserve">Robert. R. </w:t>
      </w:r>
      <w:r w:rsidRPr="00F908FD">
        <w:t>James, Gallipoli. (London: Pan books ltd, 1965).</w:t>
      </w:r>
    </w:p>
  </w:footnote>
  <w:footnote w:id="5">
    <w:p w:rsidR="00F908FD" w:rsidRDefault="00F908FD">
      <w:pPr>
        <w:pStyle w:val="FootnoteText"/>
      </w:pPr>
      <w:r>
        <w:rPr>
          <w:rStyle w:val="FootnoteReference"/>
        </w:rPr>
        <w:footnoteRef/>
      </w:r>
      <w:r>
        <w:t xml:space="preserve"> </w:t>
      </w:r>
      <w:r w:rsidR="00293FF4">
        <w:t xml:space="preserve">Trumbull. </w:t>
      </w:r>
      <w:r w:rsidRPr="00F908FD">
        <w:t>Higgins, Winston Churchill and the Dardanelles. (London: Heinemann, 1963).</w:t>
      </w:r>
    </w:p>
  </w:footnote>
  <w:footnote w:id="6">
    <w:p w:rsidR="00F908FD" w:rsidRDefault="00F908FD">
      <w:pPr>
        <w:pStyle w:val="FootnoteText"/>
      </w:pPr>
      <w:r>
        <w:rPr>
          <w:rStyle w:val="FootnoteReference"/>
        </w:rPr>
        <w:footnoteRef/>
      </w:r>
      <w:r>
        <w:t xml:space="preserve"> </w:t>
      </w:r>
      <w:proofErr w:type="spellStart"/>
      <w:r w:rsidRPr="00F908FD">
        <w:t>Laffin</w:t>
      </w:r>
      <w:proofErr w:type="spellEnd"/>
      <w:r w:rsidRPr="00F908FD">
        <w:t>, Damn the Dardanelles.</w:t>
      </w:r>
    </w:p>
  </w:footnote>
  <w:footnote w:id="7">
    <w:p w:rsidR="00F908FD" w:rsidRDefault="00F908FD">
      <w:pPr>
        <w:pStyle w:val="FootnoteText"/>
      </w:pPr>
      <w:r>
        <w:rPr>
          <w:rStyle w:val="FootnoteReference"/>
        </w:rPr>
        <w:footnoteRef/>
      </w:r>
      <w:r>
        <w:t xml:space="preserve"> </w:t>
      </w:r>
      <w:r w:rsidR="00293FF4">
        <w:t xml:space="preserve">Geoffrey. </w:t>
      </w:r>
      <w:r w:rsidRPr="00F908FD">
        <w:t>Moorhouse, Hell's Foundations a Town, its Myths &amp; Gallipoli. (Kent: Hodder and Stoughton, 1992).</w:t>
      </w:r>
    </w:p>
  </w:footnote>
  <w:footnote w:id="8">
    <w:p w:rsidR="00F908FD" w:rsidRDefault="00F908FD">
      <w:pPr>
        <w:pStyle w:val="FootnoteText"/>
      </w:pPr>
      <w:r>
        <w:rPr>
          <w:rStyle w:val="FootnoteReference"/>
        </w:rPr>
        <w:footnoteRef/>
      </w:r>
      <w:r>
        <w:t xml:space="preserve"> </w:t>
      </w:r>
      <w:r w:rsidR="00293FF4">
        <w:t xml:space="preserve">Alan. </w:t>
      </w:r>
      <w:proofErr w:type="spellStart"/>
      <w:r w:rsidRPr="00F908FD">
        <w:t>Moorehead</w:t>
      </w:r>
      <w:proofErr w:type="spellEnd"/>
      <w:r w:rsidRPr="00F908FD">
        <w:t>, Gallipoli. (London: Hamish Hamilton ltd, 1956).</w:t>
      </w:r>
    </w:p>
  </w:footnote>
  <w:footnote w:id="9">
    <w:p w:rsidR="00F908FD" w:rsidRDefault="00F908FD">
      <w:pPr>
        <w:pStyle w:val="FootnoteText"/>
      </w:pPr>
      <w:r>
        <w:rPr>
          <w:rStyle w:val="FootnoteReference"/>
        </w:rPr>
        <w:footnoteRef/>
      </w:r>
      <w:r>
        <w:t xml:space="preserve"> </w:t>
      </w:r>
      <w:r w:rsidRPr="00F908FD">
        <w:t>Hickey,</w:t>
      </w:r>
      <w:r w:rsidR="00293FF4">
        <w:t xml:space="preserve"> </w:t>
      </w:r>
      <w:r w:rsidRPr="00F908FD">
        <w:t>Gallipoli.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17"/>
    <w:rsid w:val="0001789A"/>
    <w:rsid w:val="00042EC9"/>
    <w:rsid w:val="00104F61"/>
    <w:rsid w:val="00204313"/>
    <w:rsid w:val="00293FF4"/>
    <w:rsid w:val="003753AE"/>
    <w:rsid w:val="00392E13"/>
    <w:rsid w:val="00425673"/>
    <w:rsid w:val="004B6BAB"/>
    <w:rsid w:val="00536BB8"/>
    <w:rsid w:val="005C6ED8"/>
    <w:rsid w:val="00722DDE"/>
    <w:rsid w:val="0073576F"/>
    <w:rsid w:val="00775611"/>
    <w:rsid w:val="0077682F"/>
    <w:rsid w:val="007F15FA"/>
    <w:rsid w:val="00810A36"/>
    <w:rsid w:val="00882537"/>
    <w:rsid w:val="008E7729"/>
    <w:rsid w:val="00A05785"/>
    <w:rsid w:val="00A1125A"/>
    <w:rsid w:val="00A5701A"/>
    <w:rsid w:val="00A60393"/>
    <w:rsid w:val="00AB1234"/>
    <w:rsid w:val="00B44381"/>
    <w:rsid w:val="00B528DE"/>
    <w:rsid w:val="00BC2FC2"/>
    <w:rsid w:val="00C444D3"/>
    <w:rsid w:val="00CC4193"/>
    <w:rsid w:val="00F3622F"/>
    <w:rsid w:val="00F37B17"/>
    <w:rsid w:val="00F8203C"/>
    <w:rsid w:val="00F908FD"/>
    <w:rsid w:val="00FD7B93"/>
    <w:rsid w:val="00FF1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4E556"/>
  <w15:chartTrackingRefBased/>
  <w15:docId w15:val="{72CB4C10-E4D2-4A1F-974A-1BA0DACC3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20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203C"/>
    <w:rPr>
      <w:sz w:val="20"/>
      <w:szCs w:val="20"/>
    </w:rPr>
  </w:style>
  <w:style w:type="character" w:styleId="FootnoteReference">
    <w:name w:val="footnote reference"/>
    <w:basedOn w:val="DefaultParagraphFont"/>
    <w:uiPriority w:val="99"/>
    <w:semiHidden/>
    <w:unhideWhenUsed/>
    <w:rsid w:val="00F820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9609C-9AE2-453C-83D2-2D26FC3B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Jevon (1602506)</cp:lastModifiedBy>
  <cp:revision>12</cp:revision>
  <dcterms:created xsi:type="dcterms:W3CDTF">2019-11-04T12:20:00Z</dcterms:created>
  <dcterms:modified xsi:type="dcterms:W3CDTF">2019-11-08T09:48:00Z</dcterms:modified>
</cp:coreProperties>
</file>